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158F85B0" w:rsidR="00C953C3" w:rsidRPr="00004120" w:rsidRDefault="00C953C3" w:rsidP="00C953C3">
      <w:pPr>
        <w:pStyle w:val="Heading1"/>
        <w:rPr>
          <w:color w:val="000000" w:themeColor="text1"/>
        </w:rPr>
      </w:pPr>
      <w:r w:rsidRPr="00004120">
        <w:rPr>
          <w:color w:val="000000" w:themeColor="text1"/>
        </w:rPr>
        <w:t xml:space="preserve">Determination </w:t>
      </w:r>
      <w:r w:rsidR="00412E65" w:rsidRPr="00004120">
        <w:rPr>
          <w:color w:val="000000" w:themeColor="text1"/>
        </w:rPr>
        <w:t>13</w:t>
      </w:r>
      <w:r w:rsidR="00846EC5" w:rsidRPr="00004120">
        <w:rPr>
          <w:color w:val="000000" w:themeColor="text1"/>
        </w:rPr>
        <w:t xml:space="preserve"> </w:t>
      </w:r>
      <w:r w:rsidR="00C4163B" w:rsidRPr="00004120">
        <w:rPr>
          <w:color w:val="000000" w:themeColor="text1"/>
        </w:rPr>
        <w:t xml:space="preserve">of </w:t>
      </w:r>
      <w:r w:rsidR="00813DE0" w:rsidRPr="00004120">
        <w:rPr>
          <w:color w:val="000000" w:themeColor="text1"/>
        </w:rPr>
        <w:t>20</w:t>
      </w:r>
      <w:r w:rsidR="006D45E1" w:rsidRPr="00004120">
        <w:rPr>
          <w:color w:val="000000" w:themeColor="text1"/>
        </w:rPr>
        <w:t>21</w:t>
      </w:r>
      <w:r w:rsidR="001026C3" w:rsidRPr="00004120">
        <w:rPr>
          <w:color w:val="000000" w:themeColor="text1"/>
        </w:rPr>
        <w:t xml:space="preserve"> </w:t>
      </w:r>
      <w:r w:rsidR="00AA35D7" w:rsidRPr="00004120">
        <w:rPr>
          <w:color w:val="000000" w:themeColor="text1"/>
        </w:rPr>
        <w:t xml:space="preserve"> </w:t>
      </w:r>
      <w:r w:rsidR="00B25071" w:rsidRPr="00004120">
        <w:rPr>
          <w:color w:val="000000" w:themeColor="text1"/>
        </w:rPr>
        <w:t xml:space="preserve"> </w:t>
      </w:r>
      <w:r w:rsidR="00882B67" w:rsidRPr="00004120">
        <w:rPr>
          <w:color w:val="000000" w:themeColor="text1"/>
        </w:rPr>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351FF2">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1246BCDD" w14:textId="77777777" w:rsidR="00376D1F" w:rsidRPr="00351FF2" w:rsidRDefault="00376D1F" w:rsidP="00376D1F">
      <w:pPr>
        <w:pStyle w:val="Heading3"/>
        <w:numPr>
          <w:ilvl w:val="0"/>
          <w:numId w:val="0"/>
        </w:numPr>
        <w:spacing w:before="120"/>
        <w:ind w:left="720" w:hanging="720"/>
        <w:rPr>
          <w:szCs w:val="24"/>
        </w:rPr>
      </w:pPr>
      <w:r w:rsidRPr="00351FF2">
        <w:rPr>
          <w:szCs w:val="24"/>
        </w:rPr>
        <w:t xml:space="preserve">Background </w:t>
      </w:r>
    </w:p>
    <w:p w14:paraId="3EC824E1" w14:textId="1CE93E4B" w:rsidR="00376D1F" w:rsidRPr="007E4C79" w:rsidRDefault="00376D1F" w:rsidP="00376D1F">
      <w:pPr>
        <w:spacing w:before="120" w:after="60"/>
        <w:rPr>
          <w:color w:val="000000" w:themeColor="text1"/>
        </w:rPr>
      </w:pPr>
      <w:r w:rsidRPr="002F0FAE">
        <w:t xml:space="preserve">Section 10 of the Remuneration Tribunal Act 1995 (the Act) provides for the Remuneration Tribunal (the Tribunal) to inquire into and determine the remuneration, </w:t>
      </w:r>
      <w:proofErr w:type="gramStart"/>
      <w:r w:rsidRPr="002F0FAE">
        <w:t>allowances</w:t>
      </w:r>
      <w:proofErr w:type="gramEnd"/>
      <w:r w:rsidRPr="002F0FAE">
        <w:t xml:space="preserve">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4E8B2D97"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Considerations </w:t>
      </w:r>
    </w:p>
    <w:p w14:paraId="03E43073" w14:textId="77777777" w:rsidR="00E212EC" w:rsidRPr="00D947A9" w:rsidRDefault="00E212EC" w:rsidP="00E212EC">
      <w:pPr>
        <w:pStyle w:val="Heading2"/>
        <w:tabs>
          <w:tab w:val="left" w:pos="6078"/>
          <w:tab w:val="left" w:pos="7334"/>
        </w:tabs>
        <w:spacing w:before="120" w:after="60"/>
        <w:rPr>
          <w:rFonts w:asciiTheme="minorHAnsi" w:hAnsiTheme="minorHAnsi" w:cstheme="minorHAnsi"/>
          <w:b w:val="0"/>
          <w:iCs/>
          <w:color w:val="000000" w:themeColor="text1"/>
          <w:sz w:val="24"/>
          <w:szCs w:val="24"/>
        </w:rPr>
      </w:pPr>
      <w:r w:rsidRPr="00D947A9">
        <w:rPr>
          <w:rFonts w:asciiTheme="minorHAnsi" w:hAnsiTheme="minorHAnsi" w:cstheme="minorHAnsi"/>
          <w:b w:val="0"/>
          <w:color w:val="000000" w:themeColor="text1"/>
          <w:sz w:val="24"/>
          <w:szCs w:val="24"/>
        </w:rPr>
        <w:t xml:space="preserve">In September 2020, the Tribunal decided to determine no adjustment to remuneration, </w:t>
      </w:r>
      <w:proofErr w:type="gramStart"/>
      <w:r w:rsidRPr="00D947A9">
        <w:rPr>
          <w:rFonts w:asciiTheme="minorHAnsi" w:hAnsiTheme="minorHAnsi" w:cstheme="minorHAnsi"/>
          <w:b w:val="0"/>
          <w:color w:val="000000" w:themeColor="text1"/>
          <w:sz w:val="24"/>
          <w:szCs w:val="24"/>
        </w:rPr>
        <w:t>allowances</w:t>
      </w:r>
      <w:proofErr w:type="gramEnd"/>
      <w:r w:rsidRPr="00D947A9">
        <w:rPr>
          <w:rFonts w:asciiTheme="minorHAnsi" w:hAnsiTheme="minorHAnsi" w:cstheme="minorHAnsi"/>
          <w:b w:val="0"/>
          <w:color w:val="000000" w:themeColor="text1"/>
          <w:sz w:val="24"/>
          <w:szCs w:val="24"/>
        </w:rPr>
        <w:t xml:space="preserve"> or entitlements for the position holders within its jurisdiction. </w:t>
      </w:r>
    </w:p>
    <w:p w14:paraId="64236086" w14:textId="77777777" w:rsidR="00E212EC" w:rsidRPr="00D947A9" w:rsidRDefault="00E212EC" w:rsidP="00E212EC">
      <w:pPr>
        <w:pStyle w:val="Heading2"/>
        <w:tabs>
          <w:tab w:val="left" w:pos="6078"/>
          <w:tab w:val="left" w:pos="7334"/>
        </w:tabs>
        <w:spacing w:before="120" w:after="60"/>
        <w:rPr>
          <w:rFonts w:asciiTheme="minorHAnsi" w:hAnsiTheme="minorHAnsi" w:cstheme="minorHAnsi"/>
          <w:b w:val="0"/>
          <w:iCs/>
          <w:color w:val="000000" w:themeColor="text1"/>
          <w:sz w:val="24"/>
          <w:szCs w:val="24"/>
        </w:rPr>
      </w:pPr>
      <w:r w:rsidRPr="00D947A9">
        <w:rPr>
          <w:rFonts w:asciiTheme="minorHAnsi" w:hAnsiTheme="minorHAnsi" w:cstheme="minorHAnsi"/>
          <w:b w:val="0"/>
          <w:color w:val="000000" w:themeColor="text1"/>
          <w:sz w:val="24"/>
          <w:szCs w:val="24"/>
        </w:rPr>
        <w:t xml:space="preserve">At its 2021 Autumn Sitting, the Tribunal determined a 1.8% increase to the remuneration of certain position holders within its jurisdiction, including Members of the Legislative Assembly, ACT Public Service </w:t>
      </w:r>
      <w:proofErr w:type="gramStart"/>
      <w:r w:rsidRPr="00D947A9">
        <w:rPr>
          <w:rFonts w:asciiTheme="minorHAnsi" w:hAnsiTheme="minorHAnsi" w:cstheme="minorHAnsi"/>
          <w:b w:val="0"/>
          <w:color w:val="000000" w:themeColor="text1"/>
          <w:sz w:val="24"/>
          <w:szCs w:val="24"/>
        </w:rPr>
        <w:t>Executives</w:t>
      </w:r>
      <w:proofErr w:type="gramEnd"/>
      <w:r w:rsidRPr="00D947A9">
        <w:rPr>
          <w:rFonts w:asciiTheme="minorHAnsi" w:hAnsiTheme="minorHAnsi" w:cstheme="minorHAnsi"/>
          <w:b w:val="0"/>
          <w:color w:val="000000" w:themeColor="text1"/>
          <w:sz w:val="24"/>
          <w:szCs w:val="24"/>
        </w:rPr>
        <w:t xml:space="preserve"> and other full-time statutory officer holders.    </w:t>
      </w:r>
    </w:p>
    <w:p w14:paraId="3C3AF016"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 xml:space="preserve">At the time, the Tribunal gave considerable weight to community standards and expectations, </w:t>
      </w:r>
      <w:proofErr w:type="gramStart"/>
      <w:r w:rsidRPr="00E212EC">
        <w:rPr>
          <w:rFonts w:asciiTheme="minorHAnsi" w:hAnsiTheme="minorHAnsi" w:cstheme="minorHAnsi"/>
          <w:color w:val="000000" w:themeColor="text1"/>
        </w:rPr>
        <w:t>in particular in</w:t>
      </w:r>
      <w:proofErr w:type="gramEnd"/>
      <w:r w:rsidRPr="00E212EC">
        <w:rPr>
          <w:rFonts w:asciiTheme="minorHAnsi" w:hAnsiTheme="minorHAnsi" w:cstheme="minorHAnsi"/>
          <w:color w:val="000000" w:themeColor="text1"/>
        </w:rPr>
        <w:t xml:space="preserve"> terms of the continuing uncertainty of circumstances faced in the Territory by the outbreak of the COVID-19 Delta variant across the country.   </w:t>
      </w:r>
    </w:p>
    <w:p w14:paraId="3C195C0D"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As part of the 2021 Autumn Sitting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may create a lag, impact on maintaining existing relativities with other office holders and should be avoided wherever possible.</w:t>
      </w:r>
    </w:p>
    <w:p w14:paraId="33ED3351"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In September 2021, the Tribunal commenced its Spring Sitting.</w:t>
      </w:r>
      <w:r w:rsidRPr="00E212EC" w:rsidDel="00BB4820">
        <w:rPr>
          <w:rFonts w:asciiTheme="minorHAnsi" w:hAnsiTheme="minorHAnsi" w:cstheme="minorHAnsi"/>
          <w:color w:val="000000" w:themeColor="text1"/>
        </w:rPr>
        <w:t xml:space="preserve"> The Tribunal advertised its </w:t>
      </w:r>
      <w:r w:rsidRPr="00E212EC">
        <w:rPr>
          <w:rFonts w:asciiTheme="minorHAnsi" w:hAnsiTheme="minorHAnsi" w:cstheme="minorHAnsi"/>
          <w:color w:val="000000" w:themeColor="text1"/>
        </w:rPr>
        <w:t>Spring Sitting</w:t>
      </w:r>
      <w:r w:rsidRPr="00E212EC" w:rsidDel="00BB4820">
        <w:rPr>
          <w:rFonts w:asciiTheme="minorHAnsi" w:hAnsiTheme="minorHAnsi" w:cstheme="minorHAnsi"/>
          <w:color w:val="000000" w:themeColor="text1"/>
        </w:rPr>
        <w:t xml:space="preserve"> on its website and in </w:t>
      </w:r>
      <w:r w:rsidRPr="00E212EC">
        <w:rPr>
          <w:rFonts w:asciiTheme="minorHAnsi" w:hAnsiTheme="minorHAnsi" w:cstheme="minorHAnsi"/>
          <w:i/>
          <w:iCs/>
          <w:color w:val="000000" w:themeColor="text1"/>
        </w:rPr>
        <w:t>T</w:t>
      </w:r>
      <w:r w:rsidRPr="00E212EC" w:rsidDel="00BB4820">
        <w:rPr>
          <w:rFonts w:asciiTheme="minorHAnsi" w:hAnsiTheme="minorHAnsi" w:cstheme="minorHAnsi"/>
          <w:i/>
          <w:iCs/>
          <w:color w:val="000000" w:themeColor="text1"/>
        </w:rPr>
        <w:t>he Canberra Times</w:t>
      </w:r>
      <w:r w:rsidRPr="00E212EC" w:rsidDel="00BB4820">
        <w:rPr>
          <w:rFonts w:asciiTheme="minorHAnsi" w:hAnsiTheme="minorHAnsi" w:cstheme="minorHAnsi"/>
          <w:color w:val="000000" w:themeColor="text1"/>
        </w:rPr>
        <w:t xml:space="preserve"> on Saturday</w:t>
      </w:r>
      <w:r w:rsidRPr="00E212EC">
        <w:rPr>
          <w:rFonts w:asciiTheme="minorHAnsi" w:hAnsiTheme="minorHAnsi" w:cstheme="minorHAnsi"/>
          <w:color w:val="000000" w:themeColor="text1"/>
        </w:rPr>
        <w:t>,</w:t>
      </w:r>
      <w:r w:rsidRPr="00E212EC" w:rsidDel="00BB4820">
        <w:rPr>
          <w:rFonts w:asciiTheme="minorHAnsi" w:hAnsiTheme="minorHAnsi" w:cstheme="minorHAnsi"/>
          <w:color w:val="000000" w:themeColor="text1"/>
        </w:rPr>
        <w:t xml:space="preserve"> </w:t>
      </w:r>
      <w:r w:rsidRPr="00E212EC">
        <w:rPr>
          <w:rFonts w:asciiTheme="minorHAnsi" w:hAnsiTheme="minorHAnsi" w:cstheme="minorHAnsi"/>
          <w:color w:val="000000" w:themeColor="text1"/>
        </w:rPr>
        <w:t>4 September 2021</w:t>
      </w:r>
      <w:r w:rsidRPr="00E212EC" w:rsidDel="00BB4820">
        <w:rPr>
          <w:rFonts w:asciiTheme="minorHAnsi" w:hAnsiTheme="minorHAnsi" w:cstheme="minorHAnsi"/>
          <w:color w:val="000000" w:themeColor="text1"/>
        </w:rPr>
        <w:t xml:space="preserve">. </w:t>
      </w:r>
      <w:r w:rsidRPr="00E212EC">
        <w:rPr>
          <w:rFonts w:asciiTheme="minorHAnsi" w:hAnsiTheme="minorHAnsi" w:cstheme="minorHAnsi"/>
          <w:color w:val="000000" w:themeColor="text1"/>
        </w:rPr>
        <w:t xml:space="preserve">The Tribunal also wrote to the relevant office holders requesting submissions. </w:t>
      </w:r>
    </w:p>
    <w:p w14:paraId="2DD6870A"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lastRenderedPageBreak/>
        <w:t xml:space="preserve">At its meetings on 11 and 12 November 2021, the Tribunal met with the Chief Minister, </w:t>
      </w:r>
      <w:r w:rsidRPr="00E212EC">
        <w:rPr>
          <w:rFonts w:asciiTheme="minorHAnsi" w:hAnsiTheme="minorHAnsi" w:cstheme="minorHAnsi"/>
          <w:color w:val="000000" w:themeColor="text1"/>
        </w:rPr>
        <w:br/>
        <w:t>ACT Treasury officials, and officials responsible for the Enterprise Agreement bargaining for ACT Public Sector non-executive employees.</w:t>
      </w:r>
    </w:p>
    <w:p w14:paraId="1A075198"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 xml:space="preserve">In its deliberations, the Tribunal continued to </w:t>
      </w:r>
      <w:proofErr w:type="gramStart"/>
      <w:r w:rsidRPr="00E212EC">
        <w:rPr>
          <w:rFonts w:asciiTheme="minorHAnsi" w:hAnsiTheme="minorHAnsi" w:cstheme="minorHAnsi"/>
          <w:color w:val="000000" w:themeColor="text1"/>
        </w:rPr>
        <w:t>give consideration to</w:t>
      </w:r>
      <w:proofErr w:type="gramEnd"/>
      <w:r w:rsidRPr="00E212EC">
        <w:rPr>
          <w:rFonts w:asciiTheme="minorHAnsi" w:hAnsiTheme="minorHAnsi" w:cstheme="minorHAnsi"/>
          <w:color w:val="000000" w:themeColor="text1"/>
        </w:rPr>
        <w:t xml:space="preserve"> community standards and expectations.  In particular, the Tribunal noted the economic uncertainty in the Territory, and the nation, caused by the spread of the COVID-19 Delta variant a few months ago.   </w:t>
      </w:r>
    </w:p>
    <w:p w14:paraId="25D1E839"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The Tribunal noted the wage policies and recent remuneration determinations by its Commonwealth and State/Territory counterparts for comparable office holders being considered as part of the Spring Sitting.</w:t>
      </w:r>
    </w:p>
    <w:p w14:paraId="00C6886F"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 xml:space="preserve">The Tribunal noted the pay increases that applied to the ACT Public Sector non-executive workforce during 2020 and 2021 under Enterprise Agreements. The submission received from the Chief Minister advised that </w:t>
      </w:r>
      <w:proofErr w:type="gramStart"/>
      <w:r w:rsidRPr="00E212EC">
        <w:rPr>
          <w:rFonts w:asciiTheme="minorHAnsi" w:hAnsiTheme="minorHAnsi" w:cstheme="minorHAnsi"/>
          <w:color w:val="000000" w:themeColor="text1"/>
        </w:rPr>
        <w:t>the majority of</w:t>
      </w:r>
      <w:proofErr w:type="gramEnd"/>
      <w:r w:rsidRPr="00E212EC">
        <w:rPr>
          <w:rFonts w:asciiTheme="minorHAnsi" w:hAnsiTheme="minorHAnsi" w:cstheme="minorHAnsi"/>
          <w:color w:val="000000" w:themeColor="text1"/>
        </w:rPr>
        <w:t xml:space="preserve"> those Enterprise Agreements expired on 31 October 2021 and that, while negotiations had commenced early in 2021, these negotiations had been severely impacted by the second COVID-19 outbreak which placed increased demand on both unions and the public service. The Tribunal noted the Government’s intention to finalise and ballot new Enterprise Agreements with no substantial changes with an expiry date of 31 October 2022. These 12-month Enterprise Agreements would provide two pay rises of 1.35 per cent from December 2021 and June 2022, providing a cumulative pay rise of 2.7 per cent.</w:t>
      </w:r>
    </w:p>
    <w:p w14:paraId="5B6CC6DD" w14:textId="2594264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 xml:space="preserve">In addition, the Tribunal considered the pay increases for the </w:t>
      </w:r>
      <w:r>
        <w:rPr>
          <w:rFonts w:asciiTheme="minorHAnsi" w:hAnsiTheme="minorHAnsi" w:cstheme="minorHAnsi"/>
          <w:color w:val="000000" w:themeColor="text1"/>
        </w:rPr>
        <w:t>Part-time Public Office Holders</w:t>
      </w:r>
      <w:r w:rsidRPr="00E212EC">
        <w:rPr>
          <w:rFonts w:asciiTheme="minorHAnsi" w:hAnsiTheme="minorHAnsi" w:cstheme="minorHAnsi"/>
          <w:color w:val="000000" w:themeColor="text1"/>
        </w:rPr>
        <w:t xml:space="preserve"> in the context of the pay increases that were provided to executives in the ACT Public Service and other statutory office holders from the 2021 Autumn Sitting. </w:t>
      </w:r>
    </w:p>
    <w:p w14:paraId="7716037F"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The Tribunal had regard to the 2021–22 ACT Budget, released in August 2021, which forecasted a WPI of 1.75 per cent and CPI of 1.75 per cent.</w:t>
      </w:r>
      <w:r w:rsidRPr="00E212EC">
        <w:rPr>
          <w:rStyle w:val="FootnoteReference"/>
          <w:rFonts w:asciiTheme="minorHAnsi" w:hAnsiTheme="minorHAnsi" w:cstheme="minorHAnsi"/>
          <w:color w:val="000000" w:themeColor="text1"/>
        </w:rPr>
        <w:footnoteReference w:id="2"/>
      </w:r>
    </w:p>
    <w:p w14:paraId="22910411"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The Australian Bureau of Statistics released the CPI for the 2021 September quarter on 27 October 2021, which included an increase of 0.8 per cent for the ACT during that quarter, with a 3.7 per cent increase over the year (June quarter 2020 to June quarter 2021).</w:t>
      </w:r>
      <w:r w:rsidRPr="00E212EC">
        <w:rPr>
          <w:rStyle w:val="FootnoteReference"/>
          <w:rFonts w:asciiTheme="minorHAnsi" w:hAnsiTheme="minorHAnsi" w:cstheme="minorHAnsi"/>
          <w:color w:val="000000" w:themeColor="text1"/>
        </w:rPr>
        <w:footnoteReference w:id="3"/>
      </w:r>
      <w:r w:rsidRPr="00E212EC">
        <w:rPr>
          <w:rFonts w:asciiTheme="minorHAnsi" w:hAnsiTheme="minorHAnsi" w:cstheme="minorHAnsi"/>
          <w:color w:val="000000" w:themeColor="text1"/>
        </w:rPr>
        <w:t xml:space="preserve"> The Tribunal noted that since making its decision as part of the 2021 Autumn Sitting, the national trimmed mean inflation rate increased to 2.1 per cent, from 1.6 per cent in the June 2021 quarter.</w:t>
      </w:r>
      <w:r w:rsidRPr="00E212EC">
        <w:rPr>
          <w:rStyle w:val="FootnoteReference"/>
          <w:rFonts w:asciiTheme="minorHAnsi" w:hAnsiTheme="minorHAnsi" w:cstheme="minorHAnsi"/>
          <w:color w:val="000000" w:themeColor="text1"/>
        </w:rPr>
        <w:footnoteReference w:id="4"/>
      </w:r>
    </w:p>
    <w:p w14:paraId="3055CD6E" w14:textId="77777777" w:rsidR="00E212EC" w:rsidRPr="00E212EC" w:rsidRDefault="00E212EC" w:rsidP="00E212EC">
      <w:pPr>
        <w:spacing w:after="120"/>
        <w:rPr>
          <w:rFonts w:asciiTheme="minorHAnsi" w:hAnsiTheme="minorHAnsi" w:cstheme="minorHAnsi"/>
          <w:color w:val="000000" w:themeColor="text1"/>
        </w:rPr>
      </w:pPr>
      <w:r w:rsidRPr="00E212EC">
        <w:rPr>
          <w:rFonts w:asciiTheme="minorHAnsi" w:hAnsiTheme="minorHAnsi" w:cstheme="minorHAnsi"/>
          <w:color w:val="000000" w:themeColor="text1"/>
        </w:rPr>
        <w:t xml:space="preserve">The Australian Bureau of Statistics released the WPI for the 2021 September quarter on 17 November 2021, which included an increase of 1.0 per cent for the ACT during that quarter — the equal highest quarterly growth rate of all jurisdictions. Over the year, to the September 2021 Quarter, the WPI in the ACT increased by 2.1 per cent, which was marginally lower than the national average. There was a 2.0 per cent growth in the ACT public sector WPI over the year which was higher than the national average of 1.7 per cent, </w:t>
      </w:r>
      <w:r w:rsidRPr="00E212EC">
        <w:rPr>
          <w:rFonts w:asciiTheme="minorHAnsi" w:hAnsiTheme="minorHAnsi" w:cstheme="minorHAnsi"/>
          <w:color w:val="000000" w:themeColor="text1"/>
        </w:rPr>
        <w:lastRenderedPageBreak/>
        <w:t>for the first time since the September 2013 quarter. The ACT private sector WPI had a growth of 2.4 per cent, equal with the national average.</w:t>
      </w:r>
      <w:r w:rsidRPr="00E212EC">
        <w:rPr>
          <w:rStyle w:val="FootnoteReference"/>
          <w:rFonts w:asciiTheme="minorHAnsi" w:hAnsiTheme="minorHAnsi" w:cstheme="minorHAnsi"/>
          <w:color w:val="000000" w:themeColor="text1"/>
        </w:rPr>
        <w:footnoteReference w:id="5"/>
      </w:r>
    </w:p>
    <w:p w14:paraId="348F97DC" w14:textId="77777777" w:rsidR="00807670" w:rsidRPr="00807670" w:rsidRDefault="00807670" w:rsidP="00807670">
      <w:pPr>
        <w:spacing w:after="120"/>
        <w:rPr>
          <w:color w:val="000000" w:themeColor="text1"/>
          <w:u w:val="single"/>
        </w:rPr>
      </w:pPr>
      <w:r w:rsidRPr="00807670">
        <w:rPr>
          <w:color w:val="000000" w:themeColor="text1"/>
          <w:u w:val="single"/>
        </w:rPr>
        <w:t>New referrals</w:t>
      </w:r>
    </w:p>
    <w:p w14:paraId="03C19038" w14:textId="77777777" w:rsidR="00807670" w:rsidRPr="00807670" w:rsidRDefault="00807670" w:rsidP="00807670">
      <w:pPr>
        <w:spacing w:after="120"/>
        <w:rPr>
          <w:color w:val="000000" w:themeColor="text1"/>
        </w:rPr>
      </w:pPr>
      <w:r w:rsidRPr="00807670">
        <w:rPr>
          <w:color w:val="000000" w:themeColor="text1"/>
        </w:rPr>
        <w:t xml:space="preserve">The Tribunal received referrals from the Chief Minister to determine the remuneration, </w:t>
      </w:r>
      <w:proofErr w:type="gramStart"/>
      <w:r w:rsidRPr="00807670">
        <w:rPr>
          <w:color w:val="000000" w:themeColor="text1"/>
        </w:rPr>
        <w:t>allowances</w:t>
      </w:r>
      <w:proofErr w:type="gramEnd"/>
      <w:r w:rsidRPr="00807670">
        <w:rPr>
          <w:color w:val="000000" w:themeColor="text1"/>
        </w:rPr>
        <w:t xml:space="preserve"> and other entitlements for each of the following offices:</w:t>
      </w:r>
    </w:p>
    <w:p w14:paraId="33C657C9" w14:textId="77777777" w:rsidR="00807670" w:rsidRPr="00807670" w:rsidRDefault="00807670" w:rsidP="00807670">
      <w:pPr>
        <w:pStyle w:val="ListParagraph"/>
        <w:numPr>
          <w:ilvl w:val="0"/>
          <w:numId w:val="23"/>
        </w:numPr>
        <w:spacing w:after="120"/>
        <w:rPr>
          <w:color w:val="000000" w:themeColor="text1"/>
          <w:sz w:val="24"/>
          <w:szCs w:val="24"/>
        </w:rPr>
      </w:pPr>
      <w:r w:rsidRPr="00807670">
        <w:rPr>
          <w:color w:val="000000" w:themeColor="text1"/>
          <w:sz w:val="24"/>
          <w:szCs w:val="24"/>
        </w:rPr>
        <w:t xml:space="preserve">Diversification and Sustainability Support Fund Advisory Board: Chair and </w:t>
      </w:r>
      <w:proofErr w:type="gramStart"/>
      <w:r w:rsidRPr="00807670">
        <w:rPr>
          <w:color w:val="000000" w:themeColor="text1"/>
          <w:sz w:val="24"/>
          <w:szCs w:val="24"/>
        </w:rPr>
        <w:t>Members;</w:t>
      </w:r>
      <w:proofErr w:type="gramEnd"/>
    </w:p>
    <w:p w14:paraId="5B2290A3" w14:textId="77777777" w:rsidR="00807670" w:rsidRPr="00807670" w:rsidRDefault="00807670" w:rsidP="00807670">
      <w:pPr>
        <w:pStyle w:val="ListParagraph"/>
        <w:numPr>
          <w:ilvl w:val="0"/>
          <w:numId w:val="23"/>
        </w:numPr>
        <w:spacing w:after="120"/>
        <w:rPr>
          <w:color w:val="000000" w:themeColor="text1"/>
          <w:sz w:val="24"/>
          <w:szCs w:val="24"/>
        </w:rPr>
      </w:pPr>
      <w:r w:rsidRPr="00807670">
        <w:rPr>
          <w:color w:val="000000" w:themeColor="text1"/>
          <w:sz w:val="24"/>
          <w:szCs w:val="24"/>
        </w:rPr>
        <w:t>Lesbian, Gay, Bisexual, Transgender, Intersex and Queer (LGBTIQ+) Ministerial Advisory Council: Members only; and</w:t>
      </w:r>
    </w:p>
    <w:p w14:paraId="58139627" w14:textId="77777777" w:rsidR="00807670" w:rsidRPr="00807670" w:rsidRDefault="00807670" w:rsidP="00807670">
      <w:pPr>
        <w:pStyle w:val="ListParagraph"/>
        <w:numPr>
          <w:ilvl w:val="0"/>
          <w:numId w:val="23"/>
        </w:numPr>
        <w:spacing w:after="120"/>
        <w:rPr>
          <w:color w:val="000000" w:themeColor="text1"/>
          <w:sz w:val="24"/>
          <w:szCs w:val="24"/>
        </w:rPr>
      </w:pPr>
      <w:r w:rsidRPr="00807670">
        <w:rPr>
          <w:color w:val="000000" w:themeColor="text1"/>
          <w:sz w:val="24"/>
          <w:szCs w:val="24"/>
        </w:rPr>
        <w:t xml:space="preserve">Our </w:t>
      </w:r>
      <w:proofErr w:type="spellStart"/>
      <w:r w:rsidRPr="00807670">
        <w:rPr>
          <w:color w:val="000000" w:themeColor="text1"/>
          <w:sz w:val="24"/>
          <w:szCs w:val="24"/>
        </w:rPr>
        <w:t>Booris</w:t>
      </w:r>
      <w:proofErr w:type="spellEnd"/>
      <w:r w:rsidRPr="00807670">
        <w:rPr>
          <w:color w:val="000000" w:themeColor="text1"/>
          <w:sz w:val="24"/>
          <w:szCs w:val="24"/>
        </w:rPr>
        <w:t xml:space="preserve"> Our Way Implementation Oversight Committee: Chair and Members.</w:t>
      </w:r>
    </w:p>
    <w:p w14:paraId="27534CF0" w14:textId="47568F51" w:rsidR="00536C9C" w:rsidRPr="00D947A9" w:rsidRDefault="00536C9C" w:rsidP="00807670">
      <w:pPr>
        <w:spacing w:after="120"/>
        <w:rPr>
          <w:color w:val="000000" w:themeColor="text1"/>
          <w:szCs w:val="24"/>
        </w:rPr>
      </w:pPr>
      <w:r w:rsidRPr="00D947A9">
        <w:rPr>
          <w:color w:val="000000" w:themeColor="text1"/>
          <w:szCs w:val="24"/>
        </w:rPr>
        <w:t xml:space="preserve">In considering the remuneration, </w:t>
      </w:r>
      <w:proofErr w:type="gramStart"/>
      <w:r w:rsidRPr="00D947A9">
        <w:rPr>
          <w:color w:val="000000" w:themeColor="text1"/>
          <w:szCs w:val="24"/>
        </w:rPr>
        <w:t>allowances</w:t>
      </w:r>
      <w:proofErr w:type="gramEnd"/>
      <w:r w:rsidRPr="00D947A9">
        <w:rPr>
          <w:color w:val="000000" w:themeColor="text1"/>
          <w:szCs w:val="24"/>
        </w:rPr>
        <w:t xml:space="preserve"> and entitlements for these new referrals the Tribunal had discussions with officials from the Justice and Community Safety Directorate, the Chief Minister, Treasury and Economic Development Directorate and the Community Services Directorate respectively.   </w:t>
      </w:r>
    </w:p>
    <w:p w14:paraId="02744750" w14:textId="77777777" w:rsidR="00807670" w:rsidRPr="00807670" w:rsidRDefault="00807670" w:rsidP="00807670">
      <w:pPr>
        <w:spacing w:after="120"/>
        <w:rPr>
          <w:color w:val="000000" w:themeColor="text1"/>
          <w:szCs w:val="24"/>
          <w:u w:val="single"/>
        </w:rPr>
      </w:pPr>
      <w:r w:rsidRPr="00807670">
        <w:rPr>
          <w:color w:val="000000" w:themeColor="text1"/>
          <w:szCs w:val="24"/>
          <w:u w:val="single"/>
        </w:rPr>
        <w:t>Other matters</w:t>
      </w:r>
    </w:p>
    <w:p w14:paraId="41E0862E" w14:textId="2778DC25" w:rsidR="00807670" w:rsidRDefault="00807670" w:rsidP="00807670">
      <w:pPr>
        <w:spacing w:after="120"/>
        <w:rPr>
          <w:color w:val="000000" w:themeColor="text1"/>
          <w:szCs w:val="24"/>
        </w:rPr>
      </w:pPr>
      <w:r w:rsidRPr="00807670">
        <w:rPr>
          <w:color w:val="000000" w:themeColor="text1"/>
          <w:szCs w:val="24"/>
        </w:rPr>
        <w:t xml:space="preserve">The Tribunal received correspondence in relation to the Aboriginal and Torres Strait Islander Elected Body </w:t>
      </w:r>
      <w:r w:rsidR="00536C9C">
        <w:rPr>
          <w:color w:val="000000" w:themeColor="text1"/>
          <w:szCs w:val="24"/>
        </w:rPr>
        <w:t xml:space="preserve">(from the Community Services Directorate) </w:t>
      </w:r>
      <w:r w:rsidRPr="00807670">
        <w:rPr>
          <w:color w:val="000000" w:themeColor="text1"/>
          <w:szCs w:val="24"/>
        </w:rPr>
        <w:t>and the Official Visitors</w:t>
      </w:r>
      <w:r w:rsidR="00536C9C">
        <w:rPr>
          <w:color w:val="000000" w:themeColor="text1"/>
          <w:szCs w:val="24"/>
        </w:rPr>
        <w:t xml:space="preserve"> (from the Justice and Community Safety Directorate)</w:t>
      </w:r>
      <w:r w:rsidRPr="00807670">
        <w:rPr>
          <w:color w:val="000000" w:themeColor="text1"/>
          <w:szCs w:val="24"/>
        </w:rPr>
        <w:t>. The Tribunal commenced its consideration of the correspondence relating to the Elected Body. However</w:t>
      </w:r>
      <w:r w:rsidR="00B91E9A">
        <w:rPr>
          <w:color w:val="000000" w:themeColor="text1"/>
          <w:szCs w:val="24"/>
        </w:rPr>
        <w:t>,</w:t>
      </w:r>
      <w:r w:rsidRPr="00807670">
        <w:rPr>
          <w:color w:val="000000" w:themeColor="text1"/>
          <w:szCs w:val="24"/>
        </w:rPr>
        <w:t xml:space="preserve"> the Community Services Directorate has notified the Tribunal that further advice is being sought from the Elected Body. As a result, the Tribunal has postponed further consideration of the remuneration of members of the Elected Body until that further advice is received.</w:t>
      </w:r>
    </w:p>
    <w:p w14:paraId="7E613A1E" w14:textId="3ACEC437" w:rsidR="00536C9C" w:rsidRPr="00807670" w:rsidRDefault="00F41F26" w:rsidP="00807670">
      <w:pPr>
        <w:spacing w:after="120"/>
        <w:rPr>
          <w:color w:val="000000" w:themeColor="text1"/>
          <w:szCs w:val="24"/>
        </w:rPr>
      </w:pPr>
      <w:r>
        <w:rPr>
          <w:color w:val="000000" w:themeColor="text1"/>
          <w:szCs w:val="24"/>
        </w:rPr>
        <w:t>The Tribunal considered correspondence from the Justice and Community Safety Directorate in relation to Official Visitors. The Tribunal considered it appropriate to provide advice to the Justice and Community Safety Directorate about this matter and determined that no amendments were needed to this determination as a result.</w:t>
      </w:r>
    </w:p>
    <w:p w14:paraId="5D885C71" w14:textId="77777777" w:rsidR="00807670" w:rsidRPr="00807670" w:rsidRDefault="00807670" w:rsidP="00807670">
      <w:pPr>
        <w:spacing w:after="120"/>
        <w:rPr>
          <w:color w:val="000000" w:themeColor="text1"/>
          <w:szCs w:val="24"/>
        </w:rPr>
      </w:pPr>
      <w:r w:rsidRPr="00807670">
        <w:rPr>
          <w:color w:val="000000" w:themeColor="text1"/>
          <w:szCs w:val="24"/>
        </w:rPr>
        <w:t xml:space="preserve">The Tribunal received additional information from the judicial members of the Sentence Administration Board as part of the further examination </w:t>
      </w:r>
      <w:r w:rsidRPr="00807670">
        <w:rPr>
          <w:color w:val="000000" w:themeColor="text1"/>
        </w:rPr>
        <w:t xml:space="preserve">into the remuneration, </w:t>
      </w:r>
      <w:proofErr w:type="gramStart"/>
      <w:r w:rsidRPr="00807670">
        <w:rPr>
          <w:color w:val="000000" w:themeColor="text1"/>
        </w:rPr>
        <w:t>allowances</w:t>
      </w:r>
      <w:proofErr w:type="gramEnd"/>
      <w:r w:rsidRPr="00807670">
        <w:rPr>
          <w:color w:val="000000" w:themeColor="text1"/>
        </w:rPr>
        <w:t xml:space="preserve"> and other entitlements for judicial and related offices.  (Information about the further examination is set out below.)</w:t>
      </w:r>
    </w:p>
    <w:p w14:paraId="534F41B4" w14:textId="77777777" w:rsidR="00807670" w:rsidRPr="007E4C79" w:rsidRDefault="00807670" w:rsidP="00807670">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22986A63" w14:textId="77777777" w:rsidR="00807670" w:rsidRDefault="00807670" w:rsidP="00807670">
      <w:pPr>
        <w:tabs>
          <w:tab w:val="left" w:pos="3780"/>
        </w:tabs>
        <w:rPr>
          <w:szCs w:val="24"/>
          <w:u w:val="single"/>
        </w:rPr>
      </w:pPr>
      <w:bookmarkStart w:id="1" w:name="_Hlk90796943"/>
      <w:r w:rsidRPr="00F7509F">
        <w:rPr>
          <w:szCs w:val="24"/>
          <w:u w:val="single"/>
        </w:rPr>
        <w:t>Diversification and Sustainability Support Fund Advisory Board</w:t>
      </w:r>
    </w:p>
    <w:p w14:paraId="4C362331" w14:textId="77777777" w:rsidR="00807670" w:rsidRPr="00D179B3" w:rsidRDefault="00807670" w:rsidP="00412E65">
      <w:pPr>
        <w:spacing w:before="120" w:after="120"/>
        <w:rPr>
          <w:bCs/>
          <w:color w:val="FF0000"/>
          <w:szCs w:val="24"/>
        </w:rPr>
      </w:pPr>
      <w:r w:rsidRPr="00A634B0">
        <w:rPr>
          <w:szCs w:val="24"/>
        </w:rPr>
        <w:t>The Diversification and Sustainabili</w:t>
      </w:r>
      <w:r>
        <w:rPr>
          <w:szCs w:val="24"/>
        </w:rPr>
        <w:t xml:space="preserve">ty Support Fund Advisory Board </w:t>
      </w:r>
      <w:r w:rsidRPr="00A634B0">
        <w:rPr>
          <w:szCs w:val="24"/>
        </w:rPr>
        <w:t xml:space="preserve">is </w:t>
      </w:r>
      <w:r>
        <w:rPr>
          <w:szCs w:val="24"/>
        </w:rPr>
        <w:t xml:space="preserve">a </w:t>
      </w:r>
      <w:r w:rsidRPr="00A634B0">
        <w:rPr>
          <w:szCs w:val="24"/>
        </w:rPr>
        <w:t>statutory body established under the Gaming Machine Act 2004. The purpose of the Board is to advise the Minister for Gaming on matters concerning the fund</w:t>
      </w:r>
      <w:r>
        <w:rPr>
          <w:szCs w:val="24"/>
        </w:rPr>
        <w:t>,</w:t>
      </w:r>
      <w:r w:rsidRPr="00A634B0">
        <w:rPr>
          <w:szCs w:val="24"/>
        </w:rPr>
        <w:t xml:space="preserve"> and to make recommendations about payments to be made from the fund.</w:t>
      </w:r>
      <w:r>
        <w:rPr>
          <w:szCs w:val="24"/>
        </w:rPr>
        <w:t xml:space="preserve"> The Tribunal </w:t>
      </w:r>
      <w:r w:rsidRPr="001F0F41">
        <w:rPr>
          <w:color w:val="000000" w:themeColor="text1"/>
          <w:szCs w:val="24"/>
        </w:rPr>
        <w:t xml:space="preserve">decided that the </w:t>
      </w:r>
      <w:r w:rsidRPr="001F0F41">
        <w:rPr>
          <w:bCs/>
          <w:color w:val="000000" w:themeColor="text1"/>
          <w:szCs w:val="24"/>
        </w:rPr>
        <w:t xml:space="preserve">Chair will be </w:t>
      </w:r>
      <w:r w:rsidRPr="00412E65">
        <w:rPr>
          <w:color w:val="000000" w:themeColor="text1"/>
        </w:rPr>
        <w:t>remunerated</w:t>
      </w:r>
      <w:r w:rsidRPr="001F0F41">
        <w:rPr>
          <w:bCs/>
          <w:color w:val="000000" w:themeColor="text1"/>
          <w:szCs w:val="24"/>
        </w:rPr>
        <w:t xml:space="preserve"> at $570 per diem and Members at $490 per diem.</w:t>
      </w:r>
    </w:p>
    <w:bookmarkEnd w:id="1"/>
    <w:p w14:paraId="53F0F6BA" w14:textId="77777777" w:rsidR="00807670" w:rsidRDefault="00807670" w:rsidP="00807670">
      <w:pPr>
        <w:rPr>
          <w:szCs w:val="24"/>
        </w:rPr>
      </w:pPr>
    </w:p>
    <w:p w14:paraId="5D252AD6" w14:textId="77777777" w:rsidR="00E212EC" w:rsidRDefault="00E212EC" w:rsidP="00807670">
      <w:pPr>
        <w:tabs>
          <w:tab w:val="left" w:pos="3780"/>
        </w:tabs>
        <w:rPr>
          <w:szCs w:val="24"/>
          <w:u w:val="single"/>
        </w:rPr>
      </w:pPr>
    </w:p>
    <w:p w14:paraId="11B0EED3" w14:textId="77777777" w:rsidR="00E212EC" w:rsidRDefault="00E212EC" w:rsidP="00807670">
      <w:pPr>
        <w:tabs>
          <w:tab w:val="left" w:pos="3780"/>
        </w:tabs>
        <w:rPr>
          <w:szCs w:val="24"/>
          <w:u w:val="single"/>
        </w:rPr>
      </w:pPr>
    </w:p>
    <w:p w14:paraId="5E3614EF" w14:textId="75E94960" w:rsidR="00807670" w:rsidRPr="00F7509F" w:rsidRDefault="00807670" w:rsidP="00807670">
      <w:pPr>
        <w:tabs>
          <w:tab w:val="left" w:pos="3780"/>
        </w:tabs>
        <w:rPr>
          <w:szCs w:val="24"/>
          <w:u w:val="single"/>
        </w:rPr>
      </w:pPr>
      <w:bookmarkStart w:id="2" w:name="_Hlk90796950"/>
      <w:r w:rsidRPr="00F7509F">
        <w:rPr>
          <w:szCs w:val="24"/>
          <w:u w:val="single"/>
        </w:rPr>
        <w:lastRenderedPageBreak/>
        <w:t>Lesbian, Gay, Bisexual, Transgender, Intersex and Queer (LGBTIQ+) Ministerial Advisory Council</w:t>
      </w:r>
    </w:p>
    <w:p w14:paraId="5BCE0D15" w14:textId="5E803746" w:rsidR="00807670" w:rsidRDefault="00807670" w:rsidP="00412E65">
      <w:pPr>
        <w:spacing w:before="120" w:after="120"/>
        <w:rPr>
          <w:szCs w:val="24"/>
        </w:rPr>
      </w:pPr>
      <w:r w:rsidRPr="00A634B0">
        <w:rPr>
          <w:szCs w:val="24"/>
        </w:rPr>
        <w:t>The Territory’s Lesbian, Gay, Bisexual, Trans</w:t>
      </w:r>
      <w:r w:rsidR="00900822">
        <w:rPr>
          <w:szCs w:val="24"/>
        </w:rPr>
        <w:t>gender</w:t>
      </w:r>
      <w:r w:rsidRPr="00A634B0">
        <w:rPr>
          <w:szCs w:val="24"/>
        </w:rPr>
        <w:t>, Intersex and Queer (LG</w:t>
      </w:r>
      <w:r>
        <w:rPr>
          <w:szCs w:val="24"/>
        </w:rPr>
        <w:t>BTIQ+) Ministerial Council is a non-statutory body providing</w:t>
      </w:r>
      <w:r w:rsidRPr="00A634B0">
        <w:rPr>
          <w:szCs w:val="24"/>
        </w:rPr>
        <w:t xml:space="preserve"> strategic advice to the ACT Government on issues affecting LGBTIQ+ Canberrans.</w:t>
      </w:r>
      <w:r>
        <w:rPr>
          <w:szCs w:val="24"/>
        </w:rPr>
        <w:t xml:space="preserve"> The Chair of the Council already receives a per diem payment. The Tribunal decided that Members of the Council will be remunerated at $490 per diem.</w:t>
      </w:r>
    </w:p>
    <w:p w14:paraId="0AD8CCED" w14:textId="77777777" w:rsidR="00807670" w:rsidRDefault="00807670" w:rsidP="00807670">
      <w:pPr>
        <w:rPr>
          <w:szCs w:val="24"/>
        </w:rPr>
      </w:pPr>
    </w:p>
    <w:p w14:paraId="3A3A61F6" w14:textId="77777777" w:rsidR="00807670" w:rsidRPr="00F7509F" w:rsidRDefault="00807670" w:rsidP="00807670">
      <w:pPr>
        <w:rPr>
          <w:szCs w:val="24"/>
          <w:u w:val="single"/>
        </w:rPr>
      </w:pPr>
      <w:r w:rsidRPr="00F7509F">
        <w:rPr>
          <w:szCs w:val="24"/>
          <w:u w:val="single"/>
        </w:rPr>
        <w:t xml:space="preserve">Our </w:t>
      </w:r>
      <w:proofErr w:type="spellStart"/>
      <w:r w:rsidRPr="00F7509F">
        <w:rPr>
          <w:szCs w:val="24"/>
          <w:u w:val="single"/>
        </w:rPr>
        <w:t>Booris</w:t>
      </w:r>
      <w:proofErr w:type="spellEnd"/>
      <w:r w:rsidRPr="00F7509F">
        <w:rPr>
          <w:szCs w:val="24"/>
          <w:u w:val="single"/>
        </w:rPr>
        <w:t xml:space="preserve"> Our Way Implementation Oversight Committee</w:t>
      </w:r>
    </w:p>
    <w:p w14:paraId="6CCCE73E" w14:textId="272AAB35" w:rsidR="00807670" w:rsidRDefault="00807670" w:rsidP="00412E65">
      <w:pPr>
        <w:spacing w:before="120" w:after="120"/>
        <w:rPr>
          <w:szCs w:val="24"/>
        </w:rPr>
      </w:pPr>
      <w:r w:rsidRPr="00A634B0">
        <w:rPr>
          <w:szCs w:val="24"/>
        </w:rPr>
        <w:t xml:space="preserve">The Our </w:t>
      </w:r>
      <w:proofErr w:type="spellStart"/>
      <w:r w:rsidRPr="00A634B0">
        <w:rPr>
          <w:szCs w:val="24"/>
        </w:rPr>
        <w:t>Booris</w:t>
      </w:r>
      <w:proofErr w:type="spellEnd"/>
      <w:r w:rsidRPr="00A634B0">
        <w:rPr>
          <w:szCs w:val="24"/>
        </w:rPr>
        <w:t xml:space="preserve"> Our Way Implementation Oversight Committee is a non-statutory body established to monitor and guide the Government’s implementation of the recommendations of the Our </w:t>
      </w:r>
      <w:proofErr w:type="spellStart"/>
      <w:r w:rsidRPr="00A634B0">
        <w:rPr>
          <w:szCs w:val="24"/>
        </w:rPr>
        <w:t>Booris</w:t>
      </w:r>
      <w:proofErr w:type="spellEnd"/>
      <w:r w:rsidRPr="00A634B0">
        <w:rPr>
          <w:szCs w:val="24"/>
        </w:rPr>
        <w:t xml:space="preserve"> Our Way review, into </w:t>
      </w:r>
      <w:r w:rsidRPr="001F0F41">
        <w:rPr>
          <w:szCs w:val="24"/>
        </w:rPr>
        <w:t>the over</w:t>
      </w:r>
      <w:r>
        <w:rPr>
          <w:szCs w:val="24"/>
        </w:rPr>
        <w:t>-</w:t>
      </w:r>
      <w:r w:rsidRPr="001F0F41">
        <w:rPr>
          <w:szCs w:val="24"/>
        </w:rPr>
        <w:t xml:space="preserve">representation of Aboriginal children and young people in the child protection system. </w:t>
      </w:r>
      <w:r w:rsidR="00B20C7C">
        <w:rPr>
          <w:szCs w:val="24"/>
        </w:rPr>
        <w:t>Given the time limited nature and particular expertise required of members on this Committee, t</w:t>
      </w:r>
      <w:r w:rsidRPr="001F0F41">
        <w:rPr>
          <w:szCs w:val="24"/>
        </w:rPr>
        <w:t xml:space="preserve">he Tribunal decided that the Chair </w:t>
      </w:r>
      <w:r>
        <w:rPr>
          <w:szCs w:val="24"/>
        </w:rPr>
        <w:t xml:space="preserve">of the Committee </w:t>
      </w:r>
      <w:r w:rsidRPr="001F0F41">
        <w:rPr>
          <w:szCs w:val="24"/>
        </w:rPr>
        <w:t>will be remunerated at $840 per diem</w:t>
      </w:r>
      <w:r>
        <w:rPr>
          <w:szCs w:val="24"/>
        </w:rPr>
        <w:t>,</w:t>
      </w:r>
      <w:r w:rsidRPr="001F0F41">
        <w:rPr>
          <w:szCs w:val="24"/>
        </w:rPr>
        <w:t xml:space="preserve"> and Member</w:t>
      </w:r>
      <w:r>
        <w:rPr>
          <w:szCs w:val="24"/>
        </w:rPr>
        <w:t>s</w:t>
      </w:r>
      <w:r w:rsidRPr="001F0F41">
        <w:rPr>
          <w:szCs w:val="24"/>
        </w:rPr>
        <w:t xml:space="preserve"> at $740 per diem.</w:t>
      </w:r>
    </w:p>
    <w:bookmarkEnd w:id="2"/>
    <w:p w14:paraId="0BD01D4D" w14:textId="77777777" w:rsidR="00807670" w:rsidRDefault="00807670" w:rsidP="00807670">
      <w:pPr>
        <w:tabs>
          <w:tab w:val="left" w:pos="3780"/>
        </w:tabs>
        <w:rPr>
          <w:szCs w:val="24"/>
        </w:rPr>
      </w:pPr>
    </w:p>
    <w:p w14:paraId="4A00DC7A" w14:textId="77777777" w:rsidR="00807670" w:rsidRPr="00F7509F" w:rsidRDefault="00807670" w:rsidP="00807670">
      <w:pPr>
        <w:tabs>
          <w:tab w:val="left" w:pos="3780"/>
        </w:tabs>
        <w:rPr>
          <w:szCs w:val="24"/>
          <w:u w:val="single"/>
        </w:rPr>
      </w:pPr>
      <w:r>
        <w:rPr>
          <w:szCs w:val="24"/>
          <w:u w:val="single"/>
        </w:rPr>
        <w:t>Sentence Administration Board</w:t>
      </w:r>
    </w:p>
    <w:p w14:paraId="2626C53A" w14:textId="435E43C1" w:rsidR="00E212EC" w:rsidRPr="00C730E6" w:rsidRDefault="00E212EC" w:rsidP="00E212EC">
      <w:pPr>
        <w:spacing w:before="120" w:after="120"/>
        <w:rPr>
          <w:color w:val="000000" w:themeColor="text1"/>
        </w:rPr>
      </w:pPr>
      <w:r w:rsidRPr="00C730E6">
        <w:rPr>
          <w:color w:val="000000" w:themeColor="text1"/>
        </w:rPr>
        <w:t xml:space="preserve">At the 2019 Spring Sitting, the Tribunal determined that it would undertake a further examination of the remuneration, </w:t>
      </w:r>
      <w:proofErr w:type="gramStart"/>
      <w:r w:rsidRPr="00C730E6">
        <w:rPr>
          <w:color w:val="000000" w:themeColor="text1"/>
        </w:rPr>
        <w:t>allowances</w:t>
      </w:r>
      <w:proofErr w:type="gramEnd"/>
      <w:r w:rsidRPr="00C730E6">
        <w:rPr>
          <w:color w:val="000000" w:themeColor="text1"/>
        </w:rPr>
        <w:t xml:space="preserve"> and other entitlements for judicial and related offices. This examination would include consideration of the allowance payable to the </w:t>
      </w:r>
      <w:r w:rsidR="00412E65">
        <w:rPr>
          <w:color w:val="000000" w:themeColor="text1"/>
        </w:rPr>
        <w:br/>
      </w:r>
      <w:r w:rsidRPr="00C730E6">
        <w:rPr>
          <w:color w:val="000000" w:themeColor="text1"/>
        </w:rPr>
        <w:t>Chief Justice and the remuneration payable to the Associate Judge, Magistrates (including the Chief Magistrate)</w:t>
      </w:r>
      <w:r>
        <w:rPr>
          <w:color w:val="000000" w:themeColor="text1"/>
        </w:rPr>
        <w:t>,</w:t>
      </w:r>
      <w:r w:rsidRPr="00C730E6">
        <w:rPr>
          <w:color w:val="000000" w:themeColor="text1"/>
        </w:rPr>
        <w:t xml:space="preserve"> and </w:t>
      </w:r>
      <w:r>
        <w:rPr>
          <w:color w:val="000000" w:themeColor="text1"/>
        </w:rPr>
        <w:t>to various related offices (</w:t>
      </w:r>
      <w:r w:rsidRPr="00C730E6">
        <w:rPr>
          <w:color w:val="000000" w:themeColor="text1"/>
        </w:rPr>
        <w:t>the ACT Civil and Administrative Tribunal</w:t>
      </w:r>
      <w:r>
        <w:rPr>
          <w:color w:val="000000" w:themeColor="text1"/>
        </w:rPr>
        <w:t>, the Sentence Administration Board, and the Director of Public Prosecutions)</w:t>
      </w:r>
      <w:r w:rsidRPr="00C730E6">
        <w:rPr>
          <w:color w:val="000000" w:themeColor="text1"/>
        </w:rPr>
        <w:t xml:space="preserve">. </w:t>
      </w:r>
    </w:p>
    <w:p w14:paraId="3868FE50" w14:textId="77777777" w:rsidR="00E212EC" w:rsidRPr="00C730E6" w:rsidRDefault="00E212EC" w:rsidP="00E212EC">
      <w:pPr>
        <w:spacing w:after="120"/>
        <w:rPr>
          <w:color w:val="000000" w:themeColor="text1"/>
        </w:rPr>
      </w:pPr>
      <w:r w:rsidRPr="00C730E6">
        <w:rPr>
          <w:color w:val="000000" w:themeColor="text1"/>
        </w:rPr>
        <w:t xml:space="preserve">As a result of </w:t>
      </w:r>
      <w:r>
        <w:rPr>
          <w:color w:val="000000" w:themeColor="text1"/>
        </w:rPr>
        <w:t xml:space="preserve">a </w:t>
      </w:r>
      <w:r w:rsidRPr="00C730E6">
        <w:rPr>
          <w:color w:val="000000" w:themeColor="text1"/>
        </w:rPr>
        <w:t xml:space="preserve">reallocation of </w:t>
      </w:r>
      <w:r>
        <w:rPr>
          <w:color w:val="000000" w:themeColor="text1"/>
        </w:rPr>
        <w:t xml:space="preserve">government </w:t>
      </w:r>
      <w:r w:rsidRPr="00C730E6">
        <w:rPr>
          <w:color w:val="000000" w:themeColor="text1"/>
        </w:rPr>
        <w:t xml:space="preserve">resources and </w:t>
      </w:r>
      <w:r>
        <w:rPr>
          <w:color w:val="000000" w:themeColor="text1"/>
        </w:rPr>
        <w:t xml:space="preserve">changed </w:t>
      </w:r>
      <w:r w:rsidRPr="00C730E6">
        <w:rPr>
          <w:color w:val="000000" w:themeColor="text1"/>
        </w:rPr>
        <w:t>priorities</w:t>
      </w:r>
      <w:r>
        <w:rPr>
          <w:color w:val="000000" w:themeColor="text1"/>
        </w:rPr>
        <w:t xml:space="preserve">, in response to </w:t>
      </w:r>
      <w:r w:rsidRPr="00C730E6">
        <w:rPr>
          <w:color w:val="000000" w:themeColor="text1"/>
        </w:rPr>
        <w:t xml:space="preserve">the COVID-19 pandemic, the further examination was placed in abeyance in 2020. At its 2021 Autumn Sitting, the Tribunal decided to proceed with the further examination. </w:t>
      </w:r>
    </w:p>
    <w:p w14:paraId="5C48B6A5" w14:textId="40A4C820" w:rsidR="00293BE9" w:rsidRPr="0014504F" w:rsidRDefault="00E212EC" w:rsidP="00E212EC">
      <w:pPr>
        <w:spacing w:after="120"/>
        <w:rPr>
          <w:i/>
          <w:iCs/>
          <w:color w:val="000000" w:themeColor="text1"/>
          <w:highlight w:val="yellow"/>
        </w:rPr>
      </w:pPr>
      <w:r w:rsidRPr="00C730E6">
        <w:rPr>
          <w:color w:val="000000" w:themeColor="text1"/>
        </w:rPr>
        <w:t>The Tribunal invited the judicial and related officers to provide any new or additional information to support the further examination</w:t>
      </w:r>
      <w:r>
        <w:rPr>
          <w:color w:val="000000" w:themeColor="text1"/>
        </w:rPr>
        <w:t>, and considered the information provided</w:t>
      </w:r>
      <w:r w:rsidRPr="00C730E6">
        <w:rPr>
          <w:color w:val="000000" w:themeColor="text1"/>
        </w:rPr>
        <w:t>.</w:t>
      </w:r>
      <w:r>
        <w:rPr>
          <w:color w:val="000000" w:themeColor="text1"/>
        </w:rPr>
        <w:t xml:space="preserve">  </w:t>
      </w:r>
      <w:r w:rsidRPr="00C730E6">
        <w:rPr>
          <w:color w:val="000000" w:themeColor="text1"/>
        </w:rPr>
        <w:t xml:space="preserve">The Tribunal </w:t>
      </w:r>
      <w:r>
        <w:rPr>
          <w:color w:val="000000" w:themeColor="text1"/>
        </w:rPr>
        <w:t>also considered the remuneration of judicial and related positions, in other Australian jurisdictions</w:t>
      </w:r>
      <w:r w:rsidR="00293BE9">
        <w:rPr>
          <w:color w:val="000000" w:themeColor="text1"/>
        </w:rPr>
        <w:t>.</w:t>
      </w:r>
    </w:p>
    <w:p w14:paraId="769DE005" w14:textId="77777777" w:rsidR="00807670" w:rsidRDefault="00807670" w:rsidP="00807670">
      <w:pPr>
        <w:spacing w:after="120"/>
      </w:pPr>
      <w:r>
        <w:t xml:space="preserve">As part of the further examination, the Tribunal was provided a comprehensive briefing on the history of the Sentence Administration Board (SAB), and the decisions of previous Tribunals. </w:t>
      </w:r>
    </w:p>
    <w:p w14:paraId="21A80F76" w14:textId="77777777" w:rsidR="00807670" w:rsidRDefault="00807670" w:rsidP="00807670">
      <w:pPr>
        <w:spacing w:after="120"/>
      </w:pPr>
      <w:r w:rsidRPr="00C84358">
        <w:t>The Tribunal</w:t>
      </w:r>
      <w:r>
        <w:t xml:space="preserve"> </w:t>
      </w:r>
      <w:r w:rsidRPr="00C84358">
        <w:t>consider</w:t>
      </w:r>
      <w:r>
        <w:t>ed current and previous submissions from the SAB</w:t>
      </w:r>
      <w:r w:rsidRPr="00C84358">
        <w:t xml:space="preserve">, </w:t>
      </w:r>
      <w:r>
        <w:t xml:space="preserve">and remuneration </w:t>
      </w:r>
      <w:r w:rsidRPr="00C84358">
        <w:t xml:space="preserve">relativities </w:t>
      </w:r>
      <w:r>
        <w:t xml:space="preserve">for officeholders </w:t>
      </w:r>
      <w:r w:rsidRPr="00C84358">
        <w:t>within the ACT and across other jurisdictions.</w:t>
      </w:r>
      <w:r>
        <w:t xml:space="preserve"> </w:t>
      </w:r>
    </w:p>
    <w:p w14:paraId="4765EE38" w14:textId="30A1394F" w:rsidR="00807670" w:rsidRDefault="00807670" w:rsidP="00807670">
      <w:pPr>
        <w:spacing w:after="120"/>
      </w:pPr>
      <w:r>
        <w:t xml:space="preserve">The Tribunal noted the significant increase in the volume of matters before the SAB, which appears </w:t>
      </w:r>
      <w:r w:rsidRPr="00372B23">
        <w:t>to be due to increased court activity, increased breaches o</w:t>
      </w:r>
      <w:r>
        <w:t>f</w:t>
      </w:r>
      <w:r w:rsidRPr="00372B23">
        <w:t xml:space="preserve"> parole</w:t>
      </w:r>
      <w:r>
        <w:t>,</w:t>
      </w:r>
      <w:r w:rsidRPr="00372B23">
        <w:t xml:space="preserve"> and the </w:t>
      </w:r>
      <w:r w:rsidRPr="00BC5B92">
        <w:rPr>
          <w:color w:val="000000" w:themeColor="text1"/>
        </w:rPr>
        <w:t>introduction</w:t>
      </w:r>
      <w:r w:rsidRPr="00372B23">
        <w:t xml:space="preserve"> of new victim legislation. The Tribunal acknowledge</w:t>
      </w:r>
      <w:r>
        <w:t>s</w:t>
      </w:r>
      <w:r w:rsidRPr="00372B23">
        <w:t xml:space="preserve"> that the SAB </w:t>
      </w:r>
      <w:r>
        <w:t>is</w:t>
      </w:r>
      <w:r w:rsidRPr="00372B23">
        <w:t xml:space="preserve"> dealing with the practical end of the justice process which requires acute care and independence of decision</w:t>
      </w:r>
      <w:r>
        <w:t>-</w:t>
      </w:r>
      <w:r w:rsidRPr="00372B23">
        <w:t>making to give effect to the decisions of courts.</w:t>
      </w:r>
      <w:r>
        <w:t xml:space="preserve"> The SAB is an</w:t>
      </w:r>
      <w:r w:rsidR="00C018B7">
        <w:t xml:space="preserve"> essential and</w:t>
      </w:r>
      <w:r>
        <w:t xml:space="preserve"> integral part of the justice </w:t>
      </w:r>
      <w:proofErr w:type="gramStart"/>
      <w:r>
        <w:t>system, and</w:t>
      </w:r>
      <w:proofErr w:type="gramEnd"/>
      <w:r>
        <w:t xml:space="preserve"> is an active force in driving community safety across the ACT. </w:t>
      </w:r>
      <w:r w:rsidR="00C018B7" w:rsidRPr="00D947A9">
        <w:rPr>
          <w:color w:val="000000" w:themeColor="text1"/>
        </w:rPr>
        <w:t xml:space="preserve">The SAB plays an important role in reducing recidivism. The SAB currently relies on annual reporting by the Productivity Commission in its </w:t>
      </w:r>
      <w:r w:rsidR="00C018B7" w:rsidRPr="00D947A9">
        <w:rPr>
          <w:i/>
          <w:color w:val="000000" w:themeColor="text1"/>
        </w:rPr>
        <w:t>Report on Government Services</w:t>
      </w:r>
      <w:r w:rsidR="00C018B7" w:rsidRPr="00D947A9">
        <w:rPr>
          <w:color w:val="000000" w:themeColor="text1"/>
        </w:rPr>
        <w:t xml:space="preserve"> (ROGS) to monitor how the SAB’s work has contributed to higher level outcomes. The 2021 report </w:t>
      </w:r>
      <w:r w:rsidR="00C018B7" w:rsidRPr="00D947A9">
        <w:rPr>
          <w:color w:val="000000" w:themeColor="text1"/>
        </w:rPr>
        <w:lastRenderedPageBreak/>
        <w:t>highlights the increasing use of community corrections as a sentencing option for recidivists in the ACT and the effectiveness of the community corrections system including the SAB’s work is becoming more critical to the success of the justice system in reducing recidivism in the ACT.</w:t>
      </w:r>
    </w:p>
    <w:p w14:paraId="2C70B7B5" w14:textId="77777777" w:rsidR="00807670" w:rsidRDefault="00807670" w:rsidP="00807670">
      <w:pPr>
        <w:spacing w:after="120"/>
      </w:pPr>
      <w:r>
        <w:t xml:space="preserve">From 2016, the SAB acquired the statutory function of supervising breaches and other aspects of Intensive Corrections Orders. The Tribunal was advised that </w:t>
      </w:r>
      <w:r w:rsidRPr="00275B78">
        <w:t xml:space="preserve">supervising </w:t>
      </w:r>
      <w:r>
        <w:t>these order</w:t>
      </w:r>
      <w:r w:rsidRPr="00275B78">
        <w:t>s is significantly more complicated and more time-consuming for the</w:t>
      </w:r>
      <w:r>
        <w:t xml:space="preserve"> SAB. The Tribunal noted that the SAB’s decisions are made largely within defined legislative parameters.</w:t>
      </w:r>
    </w:p>
    <w:p w14:paraId="7B445AAA" w14:textId="7B73CB3F" w:rsidR="00807670" w:rsidRDefault="00807670" w:rsidP="00807670">
      <w:pPr>
        <w:spacing w:after="120"/>
      </w:pPr>
      <w:r>
        <w:t xml:space="preserve">The Tribunal acknowledged that the recent legislative changes have affected the nature of the decisions the SAB needs to make, as well as the volume of those decisions. </w:t>
      </w:r>
      <w:r w:rsidR="00220E81" w:rsidRPr="00220E81">
        <w:t xml:space="preserve">The Tribunal had </w:t>
      </w:r>
      <w:proofErr w:type="gramStart"/>
      <w:r w:rsidR="00220E81" w:rsidRPr="00220E81">
        <w:t>particular regard</w:t>
      </w:r>
      <w:proofErr w:type="gramEnd"/>
      <w:r w:rsidR="00220E81" w:rsidRPr="00220E81">
        <w:t xml:space="preserve"> to the nature and context of the work of the SAB – the need for it to be accurate in giving effect to Court decisions, the need to be especially mindful of community protection and safety, being fair to offenders/parolees and the time criticality of the work.</w:t>
      </w:r>
    </w:p>
    <w:p w14:paraId="085729A4" w14:textId="77777777" w:rsidR="00807670" w:rsidRDefault="00807670" w:rsidP="00807670">
      <w:pPr>
        <w:spacing w:after="120"/>
        <w:rPr>
          <w:color w:val="000000" w:themeColor="text1"/>
        </w:rPr>
      </w:pPr>
      <w:r w:rsidRPr="00626A05">
        <w:t xml:space="preserve">The Tribunal </w:t>
      </w:r>
      <w:r>
        <w:t xml:space="preserve">considered </w:t>
      </w:r>
      <w:r w:rsidRPr="00626A05">
        <w:t xml:space="preserve">the potential for inequity between members of the </w:t>
      </w:r>
      <w:r>
        <w:t>SAB</w:t>
      </w:r>
      <w:r w:rsidRPr="00626A05">
        <w:t xml:space="preserve"> </w:t>
      </w:r>
      <w:r>
        <w:t>given that the judicial members (the Chair and Deputy Chairs) are remunerated on an annual basis and non-judicial members are remunerated on a per diem basis</w:t>
      </w:r>
      <w:r w:rsidRPr="00626A05">
        <w:t xml:space="preserve">. </w:t>
      </w:r>
      <w:r>
        <w:t xml:space="preserve">It is </w:t>
      </w:r>
      <w:r>
        <w:rPr>
          <w:color w:val="000000" w:themeColor="text1"/>
        </w:rPr>
        <w:t xml:space="preserve">difficult to compare annual remuneration and per diem remuneration.  However, it is possible that a non-judicial member could receive more remuneration </w:t>
      </w:r>
      <w:proofErr w:type="gramStart"/>
      <w:r>
        <w:rPr>
          <w:color w:val="000000" w:themeColor="text1"/>
        </w:rPr>
        <w:t>in a given year</w:t>
      </w:r>
      <w:proofErr w:type="gramEnd"/>
      <w:r>
        <w:rPr>
          <w:color w:val="000000" w:themeColor="text1"/>
        </w:rPr>
        <w:t xml:space="preserve"> than a judicial member, depending on the number of SAB meetings attended by the non-judicial member. The Tribunal has decided to establish an appropriate annualised remuneration for the Chair and Deputy Chairs to avoid these issues, and to acknowledge the higher contribution and expertise that is required for those roles.</w:t>
      </w:r>
    </w:p>
    <w:p w14:paraId="12E5320D" w14:textId="24492441" w:rsidR="00807670" w:rsidRPr="00DE4DC8" w:rsidRDefault="00807670" w:rsidP="00807670">
      <w:pPr>
        <w:spacing w:after="120"/>
        <w:rPr>
          <w:color w:val="000000" w:themeColor="text1"/>
        </w:rPr>
      </w:pPr>
      <w:r>
        <w:rPr>
          <w:color w:val="000000" w:themeColor="text1"/>
        </w:rPr>
        <w:t>While agreeing that the remuneration for SAB judicial members should be increased, t</w:t>
      </w:r>
      <w:r w:rsidRPr="00DE4DC8">
        <w:rPr>
          <w:color w:val="000000" w:themeColor="text1"/>
        </w:rPr>
        <w:t xml:space="preserve">he Tribunal </w:t>
      </w:r>
      <w:r>
        <w:rPr>
          <w:color w:val="000000" w:themeColor="text1"/>
        </w:rPr>
        <w:t xml:space="preserve">was not persuaded that there should be a fixed nexus between the </w:t>
      </w:r>
      <w:r w:rsidRPr="00DE4DC8">
        <w:rPr>
          <w:color w:val="000000" w:themeColor="text1"/>
        </w:rPr>
        <w:t>Chair</w:t>
      </w:r>
      <w:r>
        <w:rPr>
          <w:color w:val="000000" w:themeColor="text1"/>
        </w:rPr>
        <w:t xml:space="preserve">’s </w:t>
      </w:r>
      <w:r w:rsidRPr="00DE4DC8">
        <w:rPr>
          <w:color w:val="000000" w:themeColor="text1"/>
        </w:rPr>
        <w:t xml:space="preserve">remuneration </w:t>
      </w:r>
      <w:r>
        <w:rPr>
          <w:color w:val="000000" w:themeColor="text1"/>
        </w:rPr>
        <w:t xml:space="preserve">and the </w:t>
      </w:r>
      <w:r w:rsidRPr="00DE4DC8">
        <w:rPr>
          <w:color w:val="000000" w:themeColor="text1"/>
        </w:rPr>
        <w:t xml:space="preserve">daily rate of remuneration </w:t>
      </w:r>
      <w:r>
        <w:rPr>
          <w:color w:val="000000" w:themeColor="text1"/>
        </w:rPr>
        <w:t xml:space="preserve">for the </w:t>
      </w:r>
      <w:r w:rsidRPr="00DE4DC8">
        <w:rPr>
          <w:color w:val="000000" w:themeColor="text1"/>
        </w:rPr>
        <w:t>ACAT President/Magistrates</w:t>
      </w:r>
      <w:r>
        <w:rPr>
          <w:color w:val="000000" w:themeColor="text1"/>
        </w:rPr>
        <w:t>,</w:t>
      </w:r>
      <w:r w:rsidRPr="00DE4DC8">
        <w:rPr>
          <w:color w:val="000000" w:themeColor="text1"/>
        </w:rPr>
        <w:t xml:space="preserve"> or </w:t>
      </w:r>
      <w:r>
        <w:rPr>
          <w:color w:val="000000" w:themeColor="text1"/>
        </w:rPr>
        <w:t>between the Deputy Chairs</w:t>
      </w:r>
      <w:r w:rsidR="00E212EC">
        <w:rPr>
          <w:color w:val="000000" w:themeColor="text1"/>
        </w:rPr>
        <w:t>’</w:t>
      </w:r>
      <w:r>
        <w:rPr>
          <w:color w:val="000000" w:themeColor="text1"/>
        </w:rPr>
        <w:t xml:space="preserve"> remuneration and that of ACAT full-time Presidential members. </w:t>
      </w:r>
    </w:p>
    <w:p w14:paraId="7DBDDC69" w14:textId="4BB03E99" w:rsidR="00807670" w:rsidRDefault="00E212EC" w:rsidP="00807670">
      <w:pPr>
        <w:spacing w:after="120"/>
      </w:pPr>
      <w:proofErr w:type="gramStart"/>
      <w:r w:rsidRPr="00EB285E">
        <w:rPr>
          <w:rFonts w:asciiTheme="minorHAnsi" w:hAnsiTheme="minorHAnsi" w:cstheme="minorHAnsi"/>
          <w:color w:val="000000" w:themeColor="text1"/>
        </w:rPr>
        <w:t>Additionally</w:t>
      </w:r>
      <w:proofErr w:type="gramEnd"/>
      <w:r w:rsidRPr="00EB285E">
        <w:rPr>
          <w:rFonts w:asciiTheme="minorHAnsi" w:hAnsiTheme="minorHAnsi" w:cstheme="minorHAnsi"/>
          <w:color w:val="000000" w:themeColor="text1"/>
        </w:rPr>
        <w:t xml:space="preserve"> the Tribunal’s legislative obligation is to review the remuneration, allowances and other entitlements for </w:t>
      </w:r>
      <w:r>
        <w:rPr>
          <w:rFonts w:asciiTheme="minorHAnsi" w:hAnsiTheme="minorHAnsi" w:cstheme="minorHAnsi"/>
          <w:color w:val="000000" w:themeColor="text1"/>
        </w:rPr>
        <w:t>members of the SAB</w:t>
      </w:r>
      <w:r w:rsidRPr="00EB285E">
        <w:rPr>
          <w:rFonts w:asciiTheme="minorHAnsi" w:hAnsiTheme="minorHAnsi" w:cstheme="minorHAnsi"/>
          <w:color w:val="000000" w:themeColor="text1"/>
        </w:rPr>
        <w:t xml:space="preserve"> (and other office</w:t>
      </w:r>
      <w:r>
        <w:rPr>
          <w:rFonts w:asciiTheme="minorHAnsi" w:hAnsiTheme="minorHAnsi" w:cstheme="minorHAnsi"/>
          <w:color w:val="000000" w:themeColor="text1"/>
        </w:rPr>
        <w:t xml:space="preserve"> </w:t>
      </w:r>
      <w:r w:rsidRPr="00EB285E">
        <w:rPr>
          <w:rFonts w:asciiTheme="minorHAnsi" w:hAnsiTheme="minorHAnsi" w:cstheme="minorHAnsi"/>
          <w:color w:val="000000" w:themeColor="text1"/>
        </w:rPr>
        <w:t xml:space="preserve">holders) on an annual basis. If the Tribunal were to establish a fixed nexus it would still be required to consider the appropriateness of that nexus, annually. </w:t>
      </w:r>
      <w:r w:rsidR="00807670">
        <w:t xml:space="preserve">For example, the </w:t>
      </w:r>
      <w:r w:rsidR="00807670" w:rsidRPr="00421426">
        <w:t>remuneration, allowances and entitlements</w:t>
      </w:r>
      <w:r w:rsidR="00807670">
        <w:t xml:space="preserve"> of resident judges of the ACT Supreme Court are linked, by section 37</w:t>
      </w:r>
      <w:proofErr w:type="gramStart"/>
      <w:r w:rsidR="00807670">
        <w:t>U(</w:t>
      </w:r>
      <w:proofErr w:type="gramEnd"/>
      <w:r w:rsidR="00807670">
        <w:t xml:space="preserve">2) of the </w:t>
      </w:r>
      <w:r w:rsidR="00807670" w:rsidRPr="00AF33EA">
        <w:rPr>
          <w:i/>
          <w:iCs/>
        </w:rPr>
        <w:t>Supreme Court Act 1933</w:t>
      </w:r>
      <w:r w:rsidR="00807670">
        <w:t>, to those of a Federal Court judge, from time to time</w:t>
      </w:r>
      <w:r w:rsidR="00807670" w:rsidRPr="00C730E6">
        <w:rPr>
          <w:color w:val="000000" w:themeColor="text1"/>
        </w:rPr>
        <w:t>.</w:t>
      </w:r>
      <w:r w:rsidR="00807670">
        <w:rPr>
          <w:color w:val="0070C0"/>
        </w:rPr>
        <w:t xml:space="preserve"> </w:t>
      </w:r>
    </w:p>
    <w:p w14:paraId="77BD911E" w14:textId="125A2A98" w:rsidR="00807670" w:rsidRPr="00372B23" w:rsidRDefault="00807670" w:rsidP="00807670">
      <w:pPr>
        <w:spacing w:after="120"/>
      </w:pPr>
      <w:r w:rsidRPr="00372B23">
        <w:t xml:space="preserve">The Tribunal continues to encourage the SAB to utilise secretariat resources for undertaking </w:t>
      </w:r>
      <w:r w:rsidRPr="00BC5B92">
        <w:rPr>
          <w:color w:val="000000" w:themeColor="text1"/>
        </w:rPr>
        <w:t>administrative</w:t>
      </w:r>
      <w:r w:rsidRPr="00372B23">
        <w:t xml:space="preserve"> functions </w:t>
      </w:r>
      <w:proofErr w:type="gramStart"/>
      <w:r w:rsidRPr="00372B23">
        <w:t>in order to</w:t>
      </w:r>
      <w:proofErr w:type="gramEnd"/>
      <w:r w:rsidRPr="00372B23">
        <w:t xml:space="preserve"> reduce the pressure on the </w:t>
      </w:r>
      <w:r>
        <w:t>C</w:t>
      </w:r>
      <w:r w:rsidRPr="00372B23">
        <w:t>hair</w:t>
      </w:r>
      <w:r>
        <w:t xml:space="preserve"> and other judicial members of the SAB</w:t>
      </w:r>
      <w:r w:rsidRPr="00372B23">
        <w:t xml:space="preserve">. The Tribunal understands that </w:t>
      </w:r>
      <w:r>
        <w:t xml:space="preserve">the </w:t>
      </w:r>
      <w:r w:rsidRPr="00372B23">
        <w:t>Justice and Community Safety Directorate has recently provided resourcing for additional secretariat support</w:t>
      </w:r>
      <w:r>
        <w:t>, includ</w:t>
      </w:r>
      <w:r w:rsidR="00E212EC">
        <w:t>ing</w:t>
      </w:r>
      <w:r>
        <w:t xml:space="preserve"> a dedicated SAB budget</w:t>
      </w:r>
      <w:r w:rsidRPr="00372B23">
        <w:t xml:space="preserve">. </w:t>
      </w:r>
    </w:p>
    <w:p w14:paraId="3E75182C" w14:textId="77777777" w:rsidR="00807670" w:rsidRDefault="00807670" w:rsidP="00807670">
      <w:pPr>
        <w:spacing w:after="120"/>
      </w:pPr>
      <w:r>
        <w:t>The Tribunal determined that the remuneration of the judicial members of the SAB will be adjusted as follows:</w:t>
      </w:r>
    </w:p>
    <w:p w14:paraId="2D2D1598" w14:textId="2820B6C7" w:rsidR="00807670" w:rsidRPr="00BC5B92" w:rsidRDefault="00807670" w:rsidP="00807670">
      <w:pPr>
        <w:pStyle w:val="ListParagraph"/>
        <w:numPr>
          <w:ilvl w:val="0"/>
          <w:numId w:val="24"/>
        </w:numPr>
        <w:spacing w:after="120"/>
        <w:rPr>
          <w:sz w:val="24"/>
          <w:szCs w:val="24"/>
        </w:rPr>
      </w:pPr>
      <w:r w:rsidRPr="00BC5B92">
        <w:rPr>
          <w:sz w:val="24"/>
          <w:szCs w:val="24"/>
        </w:rPr>
        <w:t>Chair: $</w:t>
      </w:r>
      <w:r w:rsidR="00B20C7C">
        <w:rPr>
          <w:sz w:val="24"/>
          <w:szCs w:val="24"/>
        </w:rPr>
        <w:t>99,960</w:t>
      </w:r>
      <w:r w:rsidRPr="00BC5B92">
        <w:rPr>
          <w:sz w:val="24"/>
          <w:szCs w:val="24"/>
        </w:rPr>
        <w:t>; and</w:t>
      </w:r>
    </w:p>
    <w:p w14:paraId="35A2383E" w14:textId="3DEB7145" w:rsidR="00807670" w:rsidRPr="00BC5B92" w:rsidRDefault="00807670" w:rsidP="00807670">
      <w:pPr>
        <w:pStyle w:val="ListParagraph"/>
        <w:numPr>
          <w:ilvl w:val="0"/>
          <w:numId w:val="24"/>
        </w:numPr>
        <w:spacing w:after="120"/>
        <w:rPr>
          <w:sz w:val="24"/>
          <w:szCs w:val="24"/>
        </w:rPr>
      </w:pPr>
      <w:r w:rsidRPr="00BC5B92">
        <w:rPr>
          <w:sz w:val="24"/>
          <w:szCs w:val="24"/>
        </w:rPr>
        <w:t>Deputy Chair: $</w:t>
      </w:r>
      <w:r w:rsidR="00B20C7C">
        <w:rPr>
          <w:sz w:val="24"/>
          <w:szCs w:val="24"/>
        </w:rPr>
        <w:t>89,26</w:t>
      </w:r>
      <w:r w:rsidR="00FC1F56">
        <w:rPr>
          <w:sz w:val="24"/>
          <w:szCs w:val="24"/>
        </w:rPr>
        <w:t>5</w:t>
      </w:r>
      <w:r w:rsidRPr="00BC5B92">
        <w:rPr>
          <w:sz w:val="24"/>
          <w:szCs w:val="24"/>
        </w:rPr>
        <w:t>.</w:t>
      </w:r>
    </w:p>
    <w:p w14:paraId="6D0EB657" w14:textId="77777777" w:rsidR="00412E65" w:rsidRDefault="00412E65" w:rsidP="00807670">
      <w:pPr>
        <w:tabs>
          <w:tab w:val="left" w:pos="3780"/>
        </w:tabs>
        <w:rPr>
          <w:szCs w:val="24"/>
          <w:u w:val="single"/>
        </w:rPr>
      </w:pPr>
    </w:p>
    <w:p w14:paraId="14052E70" w14:textId="77777777" w:rsidR="00412E65" w:rsidRDefault="00412E65" w:rsidP="00807670">
      <w:pPr>
        <w:tabs>
          <w:tab w:val="left" w:pos="3780"/>
        </w:tabs>
        <w:rPr>
          <w:szCs w:val="24"/>
          <w:u w:val="single"/>
        </w:rPr>
      </w:pPr>
    </w:p>
    <w:p w14:paraId="32ED5EC9" w14:textId="77777777" w:rsidR="00412E65" w:rsidRDefault="00412E65" w:rsidP="00807670">
      <w:pPr>
        <w:tabs>
          <w:tab w:val="left" w:pos="3780"/>
        </w:tabs>
        <w:rPr>
          <w:szCs w:val="24"/>
          <w:u w:val="single"/>
        </w:rPr>
      </w:pPr>
    </w:p>
    <w:p w14:paraId="2B547C10" w14:textId="25D336E3" w:rsidR="00807670" w:rsidRPr="00B67391" w:rsidRDefault="00807670" w:rsidP="00807670">
      <w:pPr>
        <w:tabs>
          <w:tab w:val="left" w:pos="3780"/>
        </w:tabs>
        <w:rPr>
          <w:szCs w:val="24"/>
          <w:u w:val="single"/>
        </w:rPr>
      </w:pPr>
      <w:r w:rsidRPr="00B67391">
        <w:rPr>
          <w:szCs w:val="24"/>
          <w:u w:val="single"/>
        </w:rPr>
        <w:lastRenderedPageBreak/>
        <w:t>Other Part-time Public Office Holders</w:t>
      </w:r>
    </w:p>
    <w:p w14:paraId="63284DF9" w14:textId="77777777" w:rsidR="00807670" w:rsidRDefault="00807670" w:rsidP="00412E65">
      <w:pPr>
        <w:spacing w:before="120" w:after="120"/>
        <w:rPr>
          <w:color w:val="000000" w:themeColor="text1"/>
          <w:szCs w:val="24"/>
        </w:rPr>
      </w:pPr>
      <w:r w:rsidRPr="00912464">
        <w:rPr>
          <w:szCs w:val="24"/>
        </w:rPr>
        <w:t xml:space="preserve">All other </w:t>
      </w:r>
      <w:r w:rsidRPr="00C50EE1">
        <w:rPr>
          <w:color w:val="000000" w:themeColor="text1"/>
          <w:szCs w:val="24"/>
        </w:rPr>
        <w:t>part-time public office holders will receive a 2% increase</w:t>
      </w:r>
      <w:r>
        <w:rPr>
          <w:color w:val="000000" w:themeColor="text1"/>
          <w:szCs w:val="24"/>
        </w:rPr>
        <w:t xml:space="preserve">, </w:t>
      </w:r>
      <w:r w:rsidRPr="00C50EE1">
        <w:rPr>
          <w:color w:val="000000" w:themeColor="text1"/>
          <w:szCs w:val="24"/>
        </w:rPr>
        <w:t>rounded up to the nearest $5, effective from 1 November 20</w:t>
      </w:r>
      <w:r>
        <w:rPr>
          <w:color w:val="000000" w:themeColor="text1"/>
          <w:szCs w:val="24"/>
        </w:rPr>
        <w:t>21</w:t>
      </w:r>
      <w:r w:rsidRPr="00C50EE1">
        <w:rPr>
          <w:color w:val="000000" w:themeColor="text1"/>
          <w:szCs w:val="24"/>
        </w:rPr>
        <w:t xml:space="preserve">. </w:t>
      </w:r>
    </w:p>
    <w:p w14:paraId="1C443355" w14:textId="77777777" w:rsidR="00807670" w:rsidRPr="00507612" w:rsidRDefault="00807670" w:rsidP="00807670">
      <w:pPr>
        <w:spacing w:before="120" w:after="60"/>
        <w:rPr>
          <w:szCs w:val="24"/>
        </w:rPr>
      </w:pPr>
      <w:r w:rsidRPr="00507612">
        <w:rPr>
          <w:szCs w:val="24"/>
        </w:rPr>
        <w:t>The retrospective application of this Determination does not affect the rights of a person (other than the ACT Government) in a manner prejudicial to that person, nor does it impose any liability on such person.</w:t>
      </w:r>
    </w:p>
    <w:p w14:paraId="1E216E56" w14:textId="77777777" w:rsidR="006257C0" w:rsidRDefault="006257C0" w:rsidP="00AA0031">
      <w:pPr>
        <w:rPr>
          <w:szCs w:val="24"/>
        </w:rPr>
      </w:pPr>
    </w:p>
    <w:p w14:paraId="56684822" w14:textId="346D3B2B" w:rsidR="00AE696C" w:rsidRDefault="006D45E1" w:rsidP="00A41965">
      <w:pPr>
        <w:ind w:left="360"/>
        <w:jc w:val="right"/>
        <w:rPr>
          <w:sz w:val="22"/>
          <w:szCs w:val="22"/>
        </w:rPr>
      </w:pPr>
      <w:r>
        <w:rPr>
          <w:szCs w:val="24"/>
        </w:rPr>
        <w:t>December 2021</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22C46C6E" w14:textId="77777777" w:rsidR="001F0EA2" w:rsidRDefault="001F0EA2" w:rsidP="001F0EA2">
      <w:pPr>
        <w:spacing w:before="120"/>
        <w:rPr>
          <w:rFonts w:cs="Arial"/>
        </w:rPr>
      </w:pPr>
    </w:p>
    <w:p w14:paraId="6480728E" w14:textId="77777777" w:rsidR="001F0EA2" w:rsidRPr="00D62589" w:rsidRDefault="001F0EA2" w:rsidP="001F0EA2">
      <w:pPr>
        <w:spacing w:before="120"/>
        <w:rPr>
          <w:rFonts w:cs="Arial"/>
          <w:sz w:val="28"/>
          <w:szCs w:val="28"/>
        </w:rPr>
      </w:pPr>
      <w:r>
        <w:rPr>
          <w:rFonts w:cs="Arial"/>
          <w:noProof/>
          <w:lang w:eastAsia="en-AU"/>
        </w:rPr>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2EB78D13" w14:textId="77777777" w:rsidR="001F0EA2" w:rsidRPr="00BC60C7" w:rsidRDefault="001F0EA2" w:rsidP="001F0EA2">
      <w:pPr>
        <w:pStyle w:val="Heading1"/>
      </w:pPr>
      <w:r w:rsidRPr="00BC60C7">
        <w:t xml:space="preserve">Part-time Public Office Holders </w:t>
      </w:r>
    </w:p>
    <w:p w14:paraId="52ABE36C" w14:textId="01A6139E" w:rsidR="001F0EA2" w:rsidRPr="008879E2" w:rsidRDefault="001F0EA2" w:rsidP="001F0EA2">
      <w:pPr>
        <w:pStyle w:val="Heading1"/>
        <w:rPr>
          <w:color w:val="000000" w:themeColor="text1"/>
        </w:rPr>
      </w:pPr>
      <w:r w:rsidRPr="00004120">
        <w:rPr>
          <w:color w:val="000000" w:themeColor="text1"/>
        </w:rPr>
        <w:t xml:space="preserve">Determination </w:t>
      </w:r>
      <w:r w:rsidR="00412E65" w:rsidRPr="00004120">
        <w:rPr>
          <w:color w:val="000000" w:themeColor="text1"/>
        </w:rPr>
        <w:t>13</w:t>
      </w:r>
      <w:r w:rsidR="00D568D6" w:rsidRPr="00004120">
        <w:rPr>
          <w:color w:val="000000" w:themeColor="text1"/>
        </w:rPr>
        <w:t xml:space="preserve"> </w:t>
      </w:r>
      <w:r w:rsidRPr="008879E2">
        <w:rPr>
          <w:color w:val="000000" w:themeColor="text1"/>
        </w:rPr>
        <w:t>of 20</w:t>
      </w:r>
      <w:r w:rsidR="006D45E1">
        <w:rPr>
          <w:color w:val="000000" w:themeColor="text1"/>
        </w:rPr>
        <w:t>21</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1F0EA2">
      <w:pPr>
        <w:pStyle w:val="N-line3"/>
        <w:pBdr>
          <w:top w:val="single" w:sz="12" w:space="1" w:color="auto"/>
          <w:bottom w:val="none" w:sz="0" w:space="0" w:color="auto"/>
        </w:pBdr>
        <w:spacing w:before="120" w:after="60"/>
        <w:rPr>
          <w:szCs w:val="24"/>
        </w:rPr>
      </w:pPr>
    </w:p>
    <w:p w14:paraId="3C749929" w14:textId="77777777" w:rsidR="001F0EA2" w:rsidRPr="00294FE9" w:rsidRDefault="001F0EA2" w:rsidP="001F0EA2">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6024868B" w14:textId="47BD8BE2"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instrument</w:t>
      </w:r>
      <w:r w:rsidR="006D45E1">
        <w:rPr>
          <w:color w:val="000000" w:themeColor="text1"/>
          <w:szCs w:val="24"/>
        </w:rPr>
        <w:t xml:space="preserve"> is taken to have </w:t>
      </w:r>
      <w:r w:rsidR="000772F7">
        <w:rPr>
          <w:color w:val="000000" w:themeColor="text1"/>
          <w:szCs w:val="24"/>
        </w:rPr>
        <w:t>commence</w:t>
      </w:r>
      <w:r w:rsidR="006D45E1">
        <w:rPr>
          <w:color w:val="000000" w:themeColor="text1"/>
          <w:szCs w:val="24"/>
        </w:rPr>
        <w:t>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6D45E1">
        <w:rPr>
          <w:color w:val="000000" w:themeColor="text1"/>
          <w:szCs w:val="24"/>
        </w:rPr>
        <w:t>21</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2B3ACA47"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1. </w:t>
      </w:r>
    </w:p>
    <w:p w14:paraId="19CBDAAA" w14:textId="77777777" w:rsidR="001F0EA2" w:rsidRPr="0077128F" w:rsidRDefault="001F0EA2" w:rsidP="001F0EA2">
      <w:pPr>
        <w:pStyle w:val="Heading4"/>
        <w:spacing w:before="120" w:after="60"/>
      </w:pPr>
      <w:r w:rsidRPr="0077128F">
        <w:t>Table 1: Remuneration rates for Part-time Holders of Public Office</w:t>
      </w:r>
    </w:p>
    <w:p w14:paraId="3C905E1C" w14:textId="77777777" w:rsidR="001F0EA2" w:rsidRPr="0077128F" w:rsidRDefault="001F0EA2" w:rsidP="001F0EA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12"/>
        <w:gridCol w:w="1681"/>
        <w:gridCol w:w="6"/>
        <w:gridCol w:w="1675"/>
        <w:gridCol w:w="13"/>
      </w:tblGrid>
      <w:tr w:rsidR="00B242F4" w:rsidRPr="0077128F" w14:paraId="3FDE59B6" w14:textId="34ABBE0B" w:rsidTr="0003415E">
        <w:trPr>
          <w:trHeight w:val="300"/>
          <w:tblHeader/>
          <w:jc w:val="center"/>
        </w:trPr>
        <w:tc>
          <w:tcPr>
            <w:tcW w:w="2830" w:type="dxa"/>
            <w:shd w:val="clear" w:color="auto" w:fill="auto"/>
            <w:hideMark/>
          </w:tcPr>
          <w:p w14:paraId="6C6144BA" w14:textId="77777777" w:rsidR="009E484F" w:rsidRPr="0077128F" w:rsidRDefault="009E484F" w:rsidP="001F0EA2">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1F0EA2">
            <w:pPr>
              <w:pStyle w:val="Heading5"/>
              <w:rPr>
                <w:b w:val="0"/>
                <w:color w:val="auto"/>
                <w:sz w:val="22"/>
                <w:szCs w:val="22"/>
              </w:rPr>
            </w:pPr>
            <w:r w:rsidRPr="0077128F">
              <w:rPr>
                <w:color w:val="auto"/>
                <w:sz w:val="22"/>
                <w:szCs w:val="22"/>
              </w:rPr>
              <w:t>Board, committee etc</w:t>
            </w:r>
          </w:p>
        </w:tc>
        <w:tc>
          <w:tcPr>
            <w:tcW w:w="2812" w:type="dxa"/>
            <w:shd w:val="clear" w:color="auto" w:fill="auto"/>
            <w:hideMark/>
          </w:tcPr>
          <w:p w14:paraId="2DBE43F5" w14:textId="77777777" w:rsidR="009E484F" w:rsidRPr="0077128F" w:rsidRDefault="009E484F" w:rsidP="001F0EA2">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1F0EA2">
            <w:pPr>
              <w:pStyle w:val="Heading5"/>
              <w:rPr>
                <w:color w:val="auto"/>
                <w:sz w:val="22"/>
                <w:szCs w:val="22"/>
              </w:rPr>
            </w:pPr>
            <w:r w:rsidRPr="0077128F">
              <w:rPr>
                <w:color w:val="auto"/>
                <w:sz w:val="22"/>
                <w:szCs w:val="22"/>
              </w:rPr>
              <w:t xml:space="preserve">Position </w:t>
            </w:r>
          </w:p>
        </w:tc>
        <w:tc>
          <w:tcPr>
            <w:tcW w:w="1687" w:type="dxa"/>
            <w:gridSpan w:val="2"/>
            <w:shd w:val="clear" w:color="auto" w:fill="auto"/>
            <w:noWrap/>
            <w:hideMark/>
          </w:tcPr>
          <w:p w14:paraId="33405F7B" w14:textId="1F9B5CF5" w:rsidR="009E484F" w:rsidRPr="0077128F" w:rsidRDefault="009E484F" w:rsidP="002C658A">
            <w:pPr>
              <w:pStyle w:val="Heading5"/>
              <w:contextualSpacing/>
              <w:rPr>
                <w:color w:val="auto"/>
                <w:sz w:val="22"/>
                <w:szCs w:val="22"/>
              </w:rPr>
            </w:pPr>
            <w:r w:rsidRPr="0077128F">
              <w:rPr>
                <w:color w:val="auto"/>
                <w:sz w:val="22"/>
                <w:szCs w:val="22"/>
              </w:rPr>
              <w:t>COLUMN 3</w:t>
            </w:r>
          </w:p>
          <w:p w14:paraId="479BD244" w14:textId="2649DCDA" w:rsidR="009E484F" w:rsidRPr="0077128F" w:rsidRDefault="005C15D6" w:rsidP="002C658A">
            <w:pPr>
              <w:pStyle w:val="Heading5"/>
              <w:contextualSpacing/>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688" w:type="dxa"/>
            <w:gridSpan w:val="2"/>
          </w:tcPr>
          <w:p w14:paraId="3BA686BC" w14:textId="212146EE" w:rsidR="009E484F" w:rsidRPr="0077128F" w:rsidRDefault="009E484F" w:rsidP="002C658A">
            <w:pPr>
              <w:pStyle w:val="Heading5"/>
              <w:contextualSpacing/>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B242F4" w:rsidRPr="0077128F" w14:paraId="76FD9D80" w14:textId="7E8BB2DC" w:rsidTr="0003415E">
        <w:trPr>
          <w:trHeight w:val="330"/>
          <w:jc w:val="center"/>
        </w:trPr>
        <w:tc>
          <w:tcPr>
            <w:tcW w:w="2830" w:type="dxa"/>
            <w:shd w:val="clear" w:color="auto" w:fill="auto"/>
          </w:tcPr>
          <w:p w14:paraId="237F1778" w14:textId="2DEF5483" w:rsidR="009E484F" w:rsidRPr="0077128F" w:rsidRDefault="009E484F" w:rsidP="001F0EA2">
            <w:pPr>
              <w:rPr>
                <w:sz w:val="22"/>
                <w:szCs w:val="22"/>
                <w:lang w:eastAsia="en-AU"/>
              </w:rPr>
            </w:pPr>
            <w:r w:rsidRPr="0077128F">
              <w:rPr>
                <w:sz w:val="22"/>
                <w:szCs w:val="22"/>
                <w:lang w:eastAsia="en-AU"/>
              </w:rPr>
              <w:t>ACT Region Catchment Management Coordination Group</w:t>
            </w:r>
          </w:p>
        </w:tc>
        <w:tc>
          <w:tcPr>
            <w:tcW w:w="2812" w:type="dxa"/>
            <w:shd w:val="clear" w:color="auto" w:fill="auto"/>
          </w:tcPr>
          <w:p w14:paraId="5DB4184E" w14:textId="32F88239" w:rsidR="009E484F" w:rsidRPr="0077128F" w:rsidRDefault="009E484F" w:rsidP="001F0EA2">
            <w:pPr>
              <w:rPr>
                <w:sz w:val="22"/>
                <w:szCs w:val="22"/>
                <w:lang w:eastAsia="en-AU"/>
              </w:rPr>
            </w:pPr>
            <w:r w:rsidRPr="0077128F">
              <w:rPr>
                <w:sz w:val="22"/>
                <w:szCs w:val="22"/>
                <w:lang w:eastAsia="en-AU"/>
              </w:rPr>
              <w:t xml:space="preserve">Chair </w:t>
            </w:r>
          </w:p>
          <w:p w14:paraId="61154DA3" w14:textId="02A884A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A1AB10A" w14:textId="16EE216A"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6A09047A" w14:textId="209A6423" w:rsidR="009E484F" w:rsidRPr="0077128F" w:rsidRDefault="00CE1EFA" w:rsidP="000C1091">
            <w:pPr>
              <w:jc w:val="center"/>
              <w:rPr>
                <w:bCs/>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shd w:val="clear" w:color="auto" w:fill="auto"/>
          </w:tcPr>
          <w:p w14:paraId="1F1A4C6C" w14:textId="77777777" w:rsidR="009E484F" w:rsidRPr="0077128F" w:rsidRDefault="00D81DFD" w:rsidP="002C658A">
            <w:pPr>
              <w:jc w:val="center"/>
              <w:rPr>
                <w:sz w:val="22"/>
                <w:szCs w:val="22"/>
                <w:lang w:eastAsia="en-AU"/>
              </w:rPr>
            </w:pPr>
            <w:r w:rsidRPr="0077128F">
              <w:rPr>
                <w:sz w:val="22"/>
                <w:szCs w:val="22"/>
                <w:lang w:eastAsia="en-AU"/>
              </w:rPr>
              <w:t>-</w:t>
            </w:r>
          </w:p>
          <w:p w14:paraId="50599696" w14:textId="4EF286E0" w:rsidR="00D81DFD" w:rsidRPr="0077128F" w:rsidRDefault="00D81DFD" w:rsidP="002C658A">
            <w:pPr>
              <w:jc w:val="center"/>
              <w:rPr>
                <w:strike/>
                <w:sz w:val="22"/>
                <w:szCs w:val="22"/>
                <w:lang w:eastAsia="en-AU"/>
              </w:rPr>
            </w:pPr>
            <w:r w:rsidRPr="0077128F">
              <w:rPr>
                <w:sz w:val="22"/>
                <w:szCs w:val="22"/>
                <w:lang w:eastAsia="en-AU"/>
              </w:rPr>
              <w:t>-</w:t>
            </w:r>
          </w:p>
        </w:tc>
      </w:tr>
      <w:tr w:rsidR="00646316" w:rsidRPr="0077128F" w14:paraId="4F2042B0" w14:textId="77777777" w:rsidTr="0003415E">
        <w:trPr>
          <w:trHeight w:val="594"/>
          <w:jc w:val="center"/>
        </w:trPr>
        <w:tc>
          <w:tcPr>
            <w:tcW w:w="2830" w:type="dxa"/>
            <w:shd w:val="clear" w:color="auto" w:fill="auto"/>
          </w:tcPr>
          <w:p w14:paraId="5CAB47D9" w14:textId="0F6F81A2" w:rsidR="00646316" w:rsidRPr="0077128F" w:rsidRDefault="00646316" w:rsidP="00D81DFD">
            <w:pPr>
              <w:rPr>
                <w:sz w:val="22"/>
                <w:szCs w:val="22"/>
                <w:lang w:eastAsia="en-AU"/>
              </w:rPr>
            </w:pPr>
            <w:r w:rsidRPr="0077128F">
              <w:rPr>
                <w:sz w:val="22"/>
                <w:szCs w:val="22"/>
                <w:lang w:eastAsia="en-AU"/>
              </w:rPr>
              <w:t>ACT Natural Resource Management (NRM) Council</w:t>
            </w:r>
          </w:p>
        </w:tc>
        <w:tc>
          <w:tcPr>
            <w:tcW w:w="2812" w:type="dxa"/>
            <w:shd w:val="clear" w:color="auto" w:fill="auto"/>
          </w:tcPr>
          <w:p w14:paraId="577D306A" w14:textId="77777777" w:rsidR="00646316" w:rsidRPr="0077128F" w:rsidRDefault="00646316" w:rsidP="001F0EA2">
            <w:pPr>
              <w:rPr>
                <w:sz w:val="22"/>
                <w:szCs w:val="22"/>
                <w:lang w:eastAsia="en-AU"/>
              </w:rPr>
            </w:pPr>
            <w:r w:rsidRPr="0077128F">
              <w:rPr>
                <w:sz w:val="22"/>
                <w:szCs w:val="22"/>
                <w:lang w:eastAsia="en-AU"/>
              </w:rPr>
              <w:t xml:space="preserve">Chair </w:t>
            </w:r>
          </w:p>
          <w:p w14:paraId="31F037FC" w14:textId="78B73F13"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22A01" w14:textId="4BF912D1" w:rsidR="00646316" w:rsidRPr="0077128F" w:rsidRDefault="00646316" w:rsidP="002C658A">
            <w:pPr>
              <w:jc w:val="center"/>
              <w:rPr>
                <w:bCs/>
                <w:sz w:val="22"/>
                <w:szCs w:val="22"/>
                <w:lang w:eastAsia="en-AU"/>
              </w:rPr>
            </w:pPr>
            <w:r w:rsidRPr="0077128F">
              <w:rPr>
                <w:bCs/>
                <w:sz w:val="22"/>
                <w:szCs w:val="22"/>
              </w:rPr>
              <w:t>$5</w:t>
            </w:r>
            <w:r w:rsidR="000C1091">
              <w:rPr>
                <w:bCs/>
                <w:sz w:val="22"/>
                <w:szCs w:val="22"/>
              </w:rPr>
              <w:t>70</w:t>
            </w:r>
          </w:p>
          <w:p w14:paraId="67A08474" w14:textId="002329DC" w:rsidR="00646316" w:rsidRPr="0077128F" w:rsidRDefault="00646316" w:rsidP="002C658A">
            <w:pPr>
              <w:jc w:val="center"/>
              <w:rPr>
                <w:bCs/>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shd w:val="clear" w:color="auto" w:fill="auto"/>
          </w:tcPr>
          <w:p w14:paraId="0BDCFA9C" w14:textId="77777777" w:rsidR="00646316" w:rsidRPr="0077128F" w:rsidRDefault="00646316" w:rsidP="002C658A">
            <w:pPr>
              <w:jc w:val="center"/>
            </w:pPr>
            <w:r w:rsidRPr="0077128F">
              <w:t>-</w:t>
            </w:r>
          </w:p>
          <w:p w14:paraId="1406420A" w14:textId="3786EF7A" w:rsidR="00646316" w:rsidRPr="0077128F" w:rsidRDefault="00646316" w:rsidP="002C658A">
            <w:pPr>
              <w:jc w:val="center"/>
            </w:pPr>
            <w:r w:rsidRPr="0077128F">
              <w:t>-</w:t>
            </w:r>
          </w:p>
        </w:tc>
      </w:tr>
      <w:tr w:rsidR="0003415E" w:rsidRPr="0077128F" w14:paraId="20E29067" w14:textId="77777777" w:rsidTr="0003415E">
        <w:trPr>
          <w:trHeight w:val="594"/>
          <w:jc w:val="center"/>
        </w:trPr>
        <w:tc>
          <w:tcPr>
            <w:tcW w:w="2830" w:type="dxa"/>
            <w:shd w:val="clear" w:color="auto" w:fill="auto"/>
          </w:tcPr>
          <w:p w14:paraId="284CF5CA" w14:textId="1352734A" w:rsidR="0003415E" w:rsidRPr="0077128F" w:rsidRDefault="0003415E" w:rsidP="00D81DFD">
            <w:pPr>
              <w:rPr>
                <w:sz w:val="22"/>
                <w:szCs w:val="22"/>
                <w:lang w:eastAsia="en-AU"/>
              </w:rPr>
            </w:pPr>
            <w:r w:rsidRPr="0077128F">
              <w:rPr>
                <w:sz w:val="22"/>
                <w:szCs w:val="22"/>
                <w:lang w:eastAsia="en-AU"/>
              </w:rPr>
              <w:t>ACT Judicial Council</w:t>
            </w:r>
          </w:p>
        </w:tc>
        <w:tc>
          <w:tcPr>
            <w:tcW w:w="2812" w:type="dxa"/>
            <w:shd w:val="clear" w:color="auto" w:fill="auto"/>
          </w:tcPr>
          <w:p w14:paraId="2B7E0CE4" w14:textId="31B73255" w:rsidR="0003415E" w:rsidRPr="0077128F" w:rsidRDefault="0003415E" w:rsidP="001F0EA2">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687" w:type="dxa"/>
            <w:gridSpan w:val="2"/>
            <w:shd w:val="clear" w:color="auto" w:fill="auto"/>
            <w:noWrap/>
          </w:tcPr>
          <w:p w14:paraId="78EA9F60" w14:textId="6541C6FA" w:rsidR="0003415E" w:rsidRPr="0077128F" w:rsidRDefault="000C1091" w:rsidP="002C658A">
            <w:pPr>
              <w:jc w:val="center"/>
              <w:rPr>
                <w:bCs/>
                <w:sz w:val="22"/>
                <w:szCs w:val="22"/>
              </w:rPr>
            </w:pPr>
            <w:r>
              <w:rPr>
                <w:bCs/>
                <w:sz w:val="22"/>
                <w:szCs w:val="22"/>
              </w:rPr>
              <w:t>$</w:t>
            </w:r>
            <w:r w:rsidR="00B353FA" w:rsidRPr="0077128F">
              <w:rPr>
                <w:bCs/>
                <w:sz w:val="22"/>
                <w:szCs w:val="22"/>
              </w:rPr>
              <w:t>80</w:t>
            </w:r>
            <w:r>
              <w:rPr>
                <w:bCs/>
                <w:sz w:val="22"/>
                <w:szCs w:val="22"/>
              </w:rPr>
              <w:t>0</w:t>
            </w:r>
          </w:p>
          <w:p w14:paraId="1DC15DBF" w14:textId="4234048A" w:rsidR="0003415E" w:rsidRPr="0077128F" w:rsidRDefault="000C1091" w:rsidP="002C658A">
            <w:pPr>
              <w:jc w:val="center"/>
              <w:rPr>
                <w:bCs/>
                <w:sz w:val="22"/>
                <w:szCs w:val="22"/>
              </w:rPr>
            </w:pPr>
            <w:r>
              <w:rPr>
                <w:bCs/>
                <w:sz w:val="22"/>
                <w:szCs w:val="22"/>
              </w:rPr>
              <w:t>$</w:t>
            </w:r>
            <w:r w:rsidR="00B353FA" w:rsidRPr="0077128F">
              <w:rPr>
                <w:bCs/>
                <w:sz w:val="22"/>
                <w:szCs w:val="22"/>
              </w:rPr>
              <w:t>80</w:t>
            </w:r>
            <w:r>
              <w:rPr>
                <w:bCs/>
                <w:sz w:val="22"/>
                <w:szCs w:val="22"/>
              </w:rPr>
              <w:t>0</w:t>
            </w:r>
          </w:p>
        </w:tc>
        <w:tc>
          <w:tcPr>
            <w:tcW w:w="1688" w:type="dxa"/>
            <w:gridSpan w:val="2"/>
            <w:shd w:val="clear" w:color="auto" w:fill="auto"/>
          </w:tcPr>
          <w:p w14:paraId="1E3636D7" w14:textId="77777777" w:rsidR="0003415E" w:rsidRPr="0077128F" w:rsidRDefault="0003415E" w:rsidP="002C658A">
            <w:pPr>
              <w:jc w:val="center"/>
            </w:pPr>
          </w:p>
        </w:tc>
      </w:tr>
      <w:tr w:rsidR="00646316" w:rsidRPr="0077128F" w14:paraId="41D50571" w14:textId="17F2CB4A" w:rsidTr="0003415E">
        <w:trPr>
          <w:trHeight w:val="844"/>
          <w:jc w:val="center"/>
        </w:trPr>
        <w:tc>
          <w:tcPr>
            <w:tcW w:w="2830" w:type="dxa"/>
            <w:shd w:val="clear" w:color="auto" w:fill="auto"/>
          </w:tcPr>
          <w:p w14:paraId="0757415B" w14:textId="7231B0D3" w:rsidR="00646316" w:rsidRPr="0077128F" w:rsidRDefault="00646316" w:rsidP="001F0EA2">
            <w:pPr>
              <w:rPr>
                <w:sz w:val="22"/>
                <w:szCs w:val="22"/>
                <w:lang w:eastAsia="en-AU"/>
              </w:rPr>
            </w:pPr>
            <w:r w:rsidRPr="0077128F">
              <w:rPr>
                <w:sz w:val="22"/>
                <w:szCs w:val="22"/>
                <w:lang w:eastAsia="en-AU"/>
              </w:rPr>
              <w:t>Aboriginal and Torres Strait Islander Elected Body</w:t>
            </w:r>
          </w:p>
        </w:tc>
        <w:tc>
          <w:tcPr>
            <w:tcW w:w="2812" w:type="dxa"/>
            <w:shd w:val="clear" w:color="auto" w:fill="auto"/>
          </w:tcPr>
          <w:p w14:paraId="1A10D9A6" w14:textId="77777777" w:rsidR="00646316" w:rsidRPr="0077128F" w:rsidRDefault="00646316" w:rsidP="00B04093">
            <w:pPr>
              <w:rPr>
                <w:sz w:val="22"/>
                <w:szCs w:val="22"/>
                <w:lang w:eastAsia="en-AU"/>
              </w:rPr>
            </w:pPr>
            <w:r w:rsidRPr="0077128F">
              <w:rPr>
                <w:sz w:val="22"/>
                <w:szCs w:val="22"/>
                <w:lang w:eastAsia="en-AU"/>
              </w:rPr>
              <w:t xml:space="preserve">Chair </w:t>
            </w:r>
          </w:p>
          <w:p w14:paraId="137A6F14" w14:textId="77777777" w:rsidR="00646316" w:rsidRPr="0077128F" w:rsidRDefault="00646316" w:rsidP="001F0EA2">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D08A5" w14:textId="77777777" w:rsidR="00646316" w:rsidRPr="0077128F" w:rsidRDefault="00646316" w:rsidP="002C658A">
            <w:pPr>
              <w:jc w:val="center"/>
              <w:rPr>
                <w:sz w:val="22"/>
                <w:szCs w:val="22"/>
                <w:lang w:eastAsia="en-AU"/>
              </w:rPr>
            </w:pPr>
            <w:r w:rsidRPr="0077128F">
              <w:rPr>
                <w:sz w:val="22"/>
                <w:szCs w:val="22"/>
                <w:lang w:eastAsia="en-AU"/>
              </w:rPr>
              <w:t>-</w:t>
            </w:r>
          </w:p>
          <w:p w14:paraId="0321A00D" w14:textId="77777777" w:rsidR="00646316" w:rsidRPr="0077128F" w:rsidRDefault="00646316" w:rsidP="002C658A">
            <w:pPr>
              <w:jc w:val="center"/>
              <w:rPr>
                <w:sz w:val="22"/>
                <w:szCs w:val="22"/>
                <w:lang w:eastAsia="en-AU"/>
              </w:rPr>
            </w:pPr>
            <w:r w:rsidRPr="0077128F">
              <w:rPr>
                <w:sz w:val="22"/>
                <w:szCs w:val="22"/>
                <w:lang w:eastAsia="en-AU"/>
              </w:rPr>
              <w:t>-</w:t>
            </w:r>
          </w:p>
          <w:p w14:paraId="0170074F" w14:textId="3C05BABC" w:rsidR="00646316" w:rsidRPr="0077128F" w:rsidRDefault="00646316" w:rsidP="002C658A">
            <w:pPr>
              <w:jc w:val="center"/>
              <w:rPr>
                <w:strike/>
                <w:sz w:val="22"/>
                <w:szCs w:val="22"/>
                <w:lang w:eastAsia="en-AU"/>
              </w:rPr>
            </w:pPr>
            <w:r w:rsidRPr="0077128F">
              <w:rPr>
                <w:sz w:val="22"/>
                <w:szCs w:val="22"/>
                <w:lang w:eastAsia="en-AU"/>
              </w:rPr>
              <w:t>-</w:t>
            </w:r>
          </w:p>
        </w:tc>
        <w:tc>
          <w:tcPr>
            <w:tcW w:w="1688" w:type="dxa"/>
            <w:gridSpan w:val="2"/>
            <w:shd w:val="clear" w:color="auto" w:fill="auto"/>
          </w:tcPr>
          <w:p w14:paraId="6186BE33" w14:textId="4CE50042"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33,400</w:t>
            </w:r>
          </w:p>
          <w:p w14:paraId="093BA051" w14:textId="467D07BD"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26,730</w:t>
            </w:r>
          </w:p>
          <w:p w14:paraId="586DA4B5" w14:textId="77178278" w:rsidR="00646316" w:rsidRPr="00E074DF" w:rsidRDefault="00BC540D" w:rsidP="000C1091">
            <w:pPr>
              <w:jc w:val="center"/>
              <w:rPr>
                <w:bCs/>
                <w:color w:val="000000" w:themeColor="text1"/>
                <w:sz w:val="22"/>
                <w:szCs w:val="22"/>
              </w:rPr>
            </w:pPr>
            <w:r w:rsidRPr="00E074DF">
              <w:rPr>
                <w:bCs/>
                <w:color w:val="000000" w:themeColor="text1"/>
                <w:sz w:val="22"/>
                <w:szCs w:val="22"/>
              </w:rPr>
              <w:t>$</w:t>
            </w:r>
            <w:r w:rsidR="000C1091">
              <w:rPr>
                <w:bCs/>
                <w:color w:val="000000" w:themeColor="text1"/>
                <w:sz w:val="22"/>
                <w:szCs w:val="22"/>
              </w:rPr>
              <w:t>17,735</w:t>
            </w:r>
          </w:p>
        </w:tc>
      </w:tr>
      <w:tr w:rsidR="00B242F4" w:rsidRPr="0077128F" w14:paraId="5C42C3B6" w14:textId="015490E5" w:rsidTr="0003415E">
        <w:trPr>
          <w:trHeight w:val="330"/>
          <w:jc w:val="center"/>
        </w:trPr>
        <w:tc>
          <w:tcPr>
            <w:tcW w:w="2830" w:type="dxa"/>
            <w:shd w:val="clear" w:color="auto" w:fill="auto"/>
          </w:tcPr>
          <w:p w14:paraId="0E9494A2" w14:textId="77777777" w:rsidR="009E484F" w:rsidRPr="0077128F" w:rsidRDefault="009E484F" w:rsidP="001F0EA2">
            <w:pPr>
              <w:rPr>
                <w:sz w:val="22"/>
                <w:szCs w:val="22"/>
                <w:lang w:eastAsia="en-AU"/>
              </w:rPr>
            </w:pPr>
            <w:r w:rsidRPr="0077128F">
              <w:rPr>
                <w:sz w:val="22"/>
                <w:szCs w:val="22"/>
                <w:lang w:eastAsia="en-AU"/>
              </w:rPr>
              <w:t>Animal Welfare Advisory Committee</w:t>
            </w:r>
          </w:p>
        </w:tc>
        <w:tc>
          <w:tcPr>
            <w:tcW w:w="2812" w:type="dxa"/>
            <w:shd w:val="clear" w:color="auto" w:fill="auto"/>
          </w:tcPr>
          <w:p w14:paraId="7516CF1C" w14:textId="293B8D49" w:rsidR="009E484F" w:rsidRPr="0077128F" w:rsidRDefault="009E484F" w:rsidP="001F0EA2">
            <w:pPr>
              <w:rPr>
                <w:sz w:val="22"/>
                <w:szCs w:val="22"/>
                <w:lang w:eastAsia="en-AU"/>
              </w:rPr>
            </w:pPr>
            <w:r w:rsidRPr="0077128F">
              <w:rPr>
                <w:sz w:val="22"/>
                <w:szCs w:val="22"/>
                <w:lang w:eastAsia="en-AU"/>
              </w:rPr>
              <w:t xml:space="preserve">Chair </w:t>
            </w:r>
          </w:p>
          <w:p w14:paraId="07145139" w14:textId="6CA7E1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FE1338E" w14:textId="6612A7D4"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16588068" w14:textId="1D59C1A3" w:rsidR="009E484F" w:rsidRPr="0077128F" w:rsidRDefault="00CE1EFA" w:rsidP="000C1091">
            <w:pPr>
              <w:jc w:val="center"/>
              <w:rPr>
                <w:strike/>
                <w:sz w:val="22"/>
                <w:szCs w:val="22"/>
                <w:lang w:eastAsia="en-AU"/>
              </w:rPr>
            </w:pPr>
            <w:r w:rsidRPr="0077128F">
              <w:rPr>
                <w:bCs/>
                <w:sz w:val="22"/>
                <w:szCs w:val="22"/>
              </w:rPr>
              <w:t>$4</w:t>
            </w:r>
            <w:r w:rsidR="000C1091">
              <w:rPr>
                <w:bCs/>
                <w:sz w:val="22"/>
                <w:szCs w:val="22"/>
              </w:rPr>
              <w:t>90</w:t>
            </w:r>
          </w:p>
        </w:tc>
        <w:tc>
          <w:tcPr>
            <w:tcW w:w="1688" w:type="dxa"/>
            <w:gridSpan w:val="2"/>
            <w:shd w:val="clear" w:color="auto" w:fill="auto"/>
          </w:tcPr>
          <w:p w14:paraId="716995FA"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03415E">
        <w:trPr>
          <w:trHeight w:val="330"/>
          <w:jc w:val="center"/>
        </w:trPr>
        <w:tc>
          <w:tcPr>
            <w:tcW w:w="2830" w:type="dxa"/>
            <w:shd w:val="clear" w:color="auto" w:fill="auto"/>
          </w:tcPr>
          <w:p w14:paraId="26BDAFC9" w14:textId="7AAB84FD" w:rsidR="009E484F" w:rsidRPr="0077128F" w:rsidRDefault="009E484F" w:rsidP="001F0EA2">
            <w:pPr>
              <w:rPr>
                <w:sz w:val="22"/>
                <w:szCs w:val="22"/>
                <w:lang w:eastAsia="en-AU"/>
              </w:rPr>
            </w:pPr>
            <w:r w:rsidRPr="0077128F">
              <w:rPr>
                <w:sz w:val="22"/>
                <w:szCs w:val="22"/>
                <w:lang w:eastAsia="en-AU"/>
              </w:rPr>
              <w:t>Architects Board</w:t>
            </w:r>
          </w:p>
        </w:tc>
        <w:tc>
          <w:tcPr>
            <w:tcW w:w="2812" w:type="dxa"/>
            <w:shd w:val="clear" w:color="auto" w:fill="auto"/>
          </w:tcPr>
          <w:p w14:paraId="560D8AE2" w14:textId="7F7B3CDE" w:rsidR="009E484F" w:rsidRPr="0077128F" w:rsidRDefault="009E484F" w:rsidP="001F0EA2">
            <w:pPr>
              <w:rPr>
                <w:sz w:val="22"/>
                <w:szCs w:val="22"/>
                <w:lang w:eastAsia="en-AU"/>
              </w:rPr>
            </w:pPr>
            <w:r w:rsidRPr="0077128F">
              <w:rPr>
                <w:sz w:val="22"/>
                <w:szCs w:val="22"/>
                <w:lang w:eastAsia="en-AU"/>
              </w:rPr>
              <w:t xml:space="preserve">Chair </w:t>
            </w:r>
          </w:p>
          <w:p w14:paraId="6095EA46" w14:textId="35DB1CD7"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8FCBAA" w14:textId="4B4A9F17"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0528C444" w14:textId="1447875C" w:rsidR="009E484F" w:rsidRPr="0077128F" w:rsidRDefault="00CE1EFA" w:rsidP="000C1091">
            <w:pPr>
              <w:jc w:val="center"/>
              <w:rPr>
                <w:strike/>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tcPr>
          <w:p w14:paraId="766B274D" w14:textId="77777777" w:rsidR="009E484F" w:rsidRPr="0077128F" w:rsidRDefault="002C658A" w:rsidP="002C658A">
            <w:pPr>
              <w:jc w:val="center"/>
              <w:rPr>
                <w:sz w:val="22"/>
                <w:szCs w:val="22"/>
                <w:lang w:eastAsia="en-AU"/>
              </w:rPr>
            </w:pPr>
            <w:r w:rsidRPr="0077128F">
              <w:rPr>
                <w:sz w:val="22"/>
                <w:szCs w:val="22"/>
                <w:lang w:eastAsia="en-AU"/>
              </w:rPr>
              <w:t>-</w:t>
            </w:r>
          </w:p>
          <w:p w14:paraId="50D893FE" w14:textId="4252DFF7"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17771FE7" w14:textId="1FB25024" w:rsidTr="0003415E">
        <w:trPr>
          <w:trHeight w:val="330"/>
          <w:jc w:val="center"/>
        </w:trPr>
        <w:tc>
          <w:tcPr>
            <w:tcW w:w="2830" w:type="dxa"/>
            <w:shd w:val="clear" w:color="auto" w:fill="auto"/>
            <w:hideMark/>
          </w:tcPr>
          <w:p w14:paraId="3C4D189D" w14:textId="07CF99FB" w:rsidR="009E484F" w:rsidRPr="0077128F" w:rsidRDefault="009E484F" w:rsidP="001F0EA2">
            <w:pPr>
              <w:rPr>
                <w:sz w:val="22"/>
                <w:szCs w:val="22"/>
                <w:lang w:eastAsia="en-AU"/>
              </w:rPr>
            </w:pPr>
            <w:r w:rsidRPr="0077128F">
              <w:rPr>
                <w:sz w:val="22"/>
                <w:szCs w:val="22"/>
                <w:lang w:eastAsia="en-AU"/>
              </w:rPr>
              <w:t>Board of Senior Secondary Studies</w:t>
            </w:r>
          </w:p>
        </w:tc>
        <w:tc>
          <w:tcPr>
            <w:tcW w:w="2812" w:type="dxa"/>
            <w:shd w:val="clear" w:color="auto" w:fill="auto"/>
            <w:hideMark/>
          </w:tcPr>
          <w:p w14:paraId="74B612A7" w14:textId="1CC2EA61" w:rsidR="009E484F" w:rsidRPr="0077128F" w:rsidRDefault="008306EE"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07F685C9" w14:textId="0066DFE6"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6B938E4" w14:textId="55E7D5C7" w:rsidR="009E484F" w:rsidRPr="0077128F" w:rsidRDefault="00CE1EFA" w:rsidP="000C1091">
            <w:pPr>
              <w:jc w:val="center"/>
              <w:rPr>
                <w:bCs/>
                <w:sz w:val="22"/>
                <w:szCs w:val="22"/>
              </w:rPr>
            </w:pPr>
            <w:r w:rsidRPr="0077128F">
              <w:rPr>
                <w:bCs/>
                <w:sz w:val="22"/>
                <w:szCs w:val="22"/>
              </w:rPr>
              <w:t>$</w:t>
            </w:r>
            <w:r w:rsidR="00BC540D" w:rsidRPr="0077128F">
              <w:rPr>
                <w:bCs/>
                <w:sz w:val="22"/>
                <w:szCs w:val="22"/>
              </w:rPr>
              <w:t>30,</w:t>
            </w:r>
            <w:r w:rsidR="000C1091">
              <w:rPr>
                <w:bCs/>
                <w:sz w:val="22"/>
                <w:szCs w:val="22"/>
              </w:rPr>
              <w:t>715</w:t>
            </w:r>
          </w:p>
        </w:tc>
      </w:tr>
      <w:tr w:rsidR="00B242F4" w:rsidRPr="0077128F" w14:paraId="52DBF891" w14:textId="5AC84510" w:rsidTr="0003415E">
        <w:trPr>
          <w:trHeight w:val="300"/>
          <w:jc w:val="center"/>
        </w:trPr>
        <w:tc>
          <w:tcPr>
            <w:tcW w:w="2830" w:type="dxa"/>
            <w:shd w:val="clear" w:color="auto" w:fill="auto"/>
            <w:hideMark/>
          </w:tcPr>
          <w:p w14:paraId="012153D7" w14:textId="77777777" w:rsidR="009E484F" w:rsidRPr="0077128F" w:rsidRDefault="009E484F" w:rsidP="001F0EA2">
            <w:pPr>
              <w:rPr>
                <w:sz w:val="22"/>
                <w:szCs w:val="22"/>
                <w:lang w:eastAsia="en-AU"/>
              </w:rPr>
            </w:pPr>
            <w:r w:rsidRPr="0077128F">
              <w:rPr>
                <w:sz w:val="22"/>
                <w:szCs w:val="22"/>
                <w:lang w:eastAsia="en-AU"/>
              </w:rPr>
              <w:t>Brand Strategic Advisory Board</w:t>
            </w:r>
          </w:p>
        </w:tc>
        <w:tc>
          <w:tcPr>
            <w:tcW w:w="2812" w:type="dxa"/>
            <w:shd w:val="clear" w:color="auto" w:fill="auto"/>
            <w:hideMark/>
          </w:tcPr>
          <w:p w14:paraId="769A1B58" w14:textId="31EE3840" w:rsidR="009E484F" w:rsidRPr="0077128F" w:rsidRDefault="009E484F" w:rsidP="001F0EA2">
            <w:pPr>
              <w:rPr>
                <w:sz w:val="22"/>
                <w:szCs w:val="22"/>
                <w:lang w:eastAsia="en-AU"/>
              </w:rPr>
            </w:pPr>
            <w:r w:rsidRPr="0077128F">
              <w:rPr>
                <w:sz w:val="22"/>
                <w:szCs w:val="22"/>
                <w:lang w:eastAsia="en-AU"/>
              </w:rPr>
              <w:t xml:space="preserve">Chair </w:t>
            </w:r>
          </w:p>
          <w:p w14:paraId="111800AD" w14:textId="1AF0C86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14BA3E0" w14:textId="56F9D0A8"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56213430" w14:textId="09CF8A10" w:rsidR="009E484F" w:rsidRPr="0077128F" w:rsidRDefault="00CE1EFA" w:rsidP="000C1091">
            <w:pPr>
              <w:jc w:val="center"/>
              <w:rPr>
                <w:strike/>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tcPr>
          <w:p w14:paraId="05A833E1" w14:textId="77777777" w:rsidR="009E484F" w:rsidRPr="0077128F" w:rsidRDefault="002C658A" w:rsidP="002C658A">
            <w:pPr>
              <w:jc w:val="center"/>
              <w:rPr>
                <w:sz w:val="22"/>
                <w:szCs w:val="22"/>
                <w:lang w:eastAsia="en-AU"/>
              </w:rPr>
            </w:pPr>
            <w:r w:rsidRPr="0077128F">
              <w:rPr>
                <w:sz w:val="22"/>
                <w:szCs w:val="22"/>
                <w:lang w:eastAsia="en-AU"/>
              </w:rPr>
              <w:t>-</w:t>
            </w:r>
          </w:p>
          <w:p w14:paraId="500E6688" w14:textId="0A48EB01" w:rsidR="002C658A" w:rsidRPr="0077128F" w:rsidRDefault="002C658A" w:rsidP="002C658A">
            <w:pPr>
              <w:jc w:val="center"/>
              <w:rPr>
                <w:strike/>
                <w:sz w:val="22"/>
                <w:szCs w:val="22"/>
                <w:lang w:eastAsia="en-AU"/>
              </w:rPr>
            </w:pPr>
            <w:r w:rsidRPr="0077128F">
              <w:rPr>
                <w:sz w:val="22"/>
                <w:szCs w:val="22"/>
                <w:lang w:eastAsia="en-AU"/>
              </w:rPr>
              <w:t>-</w:t>
            </w:r>
          </w:p>
        </w:tc>
      </w:tr>
      <w:tr w:rsidR="00B242F4" w:rsidRPr="0077128F" w14:paraId="512FE396" w14:textId="53804293" w:rsidTr="0003415E">
        <w:trPr>
          <w:trHeight w:val="610"/>
          <w:jc w:val="center"/>
        </w:trPr>
        <w:tc>
          <w:tcPr>
            <w:tcW w:w="2830" w:type="dxa"/>
            <w:shd w:val="clear" w:color="auto" w:fill="auto"/>
            <w:hideMark/>
          </w:tcPr>
          <w:p w14:paraId="173F2111" w14:textId="20DAF07F" w:rsidR="009E484F" w:rsidRPr="0077128F" w:rsidRDefault="009E484F" w:rsidP="001F0EA2">
            <w:pPr>
              <w:rPr>
                <w:sz w:val="22"/>
                <w:szCs w:val="22"/>
                <w:lang w:eastAsia="en-AU"/>
              </w:rPr>
            </w:pPr>
            <w:r w:rsidRPr="0077128F">
              <w:rPr>
                <w:sz w:val="22"/>
                <w:szCs w:val="22"/>
                <w:lang w:eastAsia="en-AU"/>
              </w:rPr>
              <w:lastRenderedPageBreak/>
              <w:t>Building Advisory Board</w:t>
            </w:r>
          </w:p>
        </w:tc>
        <w:tc>
          <w:tcPr>
            <w:tcW w:w="2812" w:type="dxa"/>
            <w:shd w:val="clear" w:color="auto" w:fill="auto"/>
            <w:hideMark/>
          </w:tcPr>
          <w:p w14:paraId="6BE43921" w14:textId="22456A32" w:rsidR="009E484F" w:rsidRPr="0077128F" w:rsidRDefault="009E484F" w:rsidP="001F0EA2">
            <w:pPr>
              <w:rPr>
                <w:sz w:val="22"/>
                <w:szCs w:val="22"/>
                <w:lang w:eastAsia="en-AU"/>
              </w:rPr>
            </w:pPr>
            <w:r w:rsidRPr="0077128F">
              <w:rPr>
                <w:sz w:val="22"/>
                <w:szCs w:val="22"/>
                <w:lang w:eastAsia="en-AU"/>
              </w:rPr>
              <w:t xml:space="preserve">Chair </w:t>
            </w:r>
          </w:p>
          <w:p w14:paraId="2D708A6B" w14:textId="5C07B1E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37F8E51" w14:textId="0DCF3233"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77AA0933" w14:textId="14C5AA47" w:rsidR="009E484F" w:rsidRPr="0077128F" w:rsidRDefault="00CE1EFA" w:rsidP="000C1091">
            <w:pPr>
              <w:jc w:val="center"/>
              <w:rPr>
                <w:sz w:val="22"/>
                <w:szCs w:val="22"/>
                <w:lang w:eastAsia="en-AU"/>
              </w:rPr>
            </w:pPr>
            <w:r w:rsidRPr="0077128F">
              <w:rPr>
                <w:bCs/>
                <w:sz w:val="22"/>
                <w:szCs w:val="22"/>
              </w:rPr>
              <w:t>$4</w:t>
            </w:r>
            <w:r w:rsidR="000C1091">
              <w:rPr>
                <w:bCs/>
                <w:sz w:val="22"/>
                <w:szCs w:val="22"/>
              </w:rPr>
              <w:t>90</w:t>
            </w:r>
          </w:p>
        </w:tc>
        <w:tc>
          <w:tcPr>
            <w:tcW w:w="1688" w:type="dxa"/>
            <w:gridSpan w:val="2"/>
          </w:tcPr>
          <w:p w14:paraId="2A6C2EC3" w14:textId="77777777" w:rsidR="009E484F" w:rsidRPr="0077128F" w:rsidRDefault="002C658A" w:rsidP="002C658A">
            <w:pPr>
              <w:jc w:val="center"/>
              <w:rPr>
                <w:sz w:val="22"/>
                <w:szCs w:val="22"/>
                <w:lang w:eastAsia="en-AU"/>
              </w:rPr>
            </w:pPr>
            <w:r w:rsidRPr="0077128F">
              <w:rPr>
                <w:sz w:val="22"/>
                <w:szCs w:val="22"/>
                <w:lang w:eastAsia="en-AU"/>
              </w:rPr>
              <w:t>-</w:t>
            </w:r>
          </w:p>
          <w:p w14:paraId="7A86F311" w14:textId="362E4664"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0C8E6B36" w14:textId="2627C212" w:rsidTr="0003415E">
        <w:trPr>
          <w:trHeight w:val="645"/>
          <w:jc w:val="center"/>
        </w:trPr>
        <w:tc>
          <w:tcPr>
            <w:tcW w:w="2830" w:type="dxa"/>
            <w:shd w:val="clear" w:color="auto" w:fill="auto"/>
            <w:hideMark/>
          </w:tcPr>
          <w:p w14:paraId="2AFC1489" w14:textId="134AC32D" w:rsidR="009E484F" w:rsidRPr="0077128F" w:rsidRDefault="009E484F" w:rsidP="001F0EA2">
            <w:pPr>
              <w:rPr>
                <w:sz w:val="22"/>
                <w:szCs w:val="22"/>
                <w:lang w:eastAsia="en-AU"/>
              </w:rPr>
            </w:pPr>
            <w:r w:rsidRPr="0077128F">
              <w:rPr>
                <w:sz w:val="22"/>
                <w:szCs w:val="22"/>
                <w:lang w:eastAsia="en-AU"/>
              </w:rPr>
              <w:t>Building and Construction Industry Training Fund Board</w:t>
            </w:r>
          </w:p>
        </w:tc>
        <w:tc>
          <w:tcPr>
            <w:tcW w:w="2812" w:type="dxa"/>
            <w:shd w:val="clear" w:color="auto" w:fill="auto"/>
            <w:hideMark/>
          </w:tcPr>
          <w:p w14:paraId="23AC9D85" w14:textId="30BEABEE" w:rsidR="009E484F" w:rsidRPr="0077128F" w:rsidRDefault="009E484F" w:rsidP="001F0EA2">
            <w:pPr>
              <w:rPr>
                <w:sz w:val="22"/>
                <w:szCs w:val="22"/>
                <w:lang w:eastAsia="en-AU"/>
              </w:rPr>
            </w:pPr>
            <w:r w:rsidRPr="0077128F">
              <w:rPr>
                <w:sz w:val="22"/>
                <w:szCs w:val="22"/>
                <w:lang w:eastAsia="en-AU"/>
              </w:rPr>
              <w:t xml:space="preserve">Chair </w:t>
            </w:r>
          </w:p>
          <w:p w14:paraId="3023B150" w14:textId="2E414F3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C4E8159" w14:textId="64444E27" w:rsidR="009E484F" w:rsidRPr="0077128F" w:rsidRDefault="002C658A" w:rsidP="002C658A">
            <w:pPr>
              <w:jc w:val="center"/>
              <w:rPr>
                <w:sz w:val="22"/>
                <w:szCs w:val="22"/>
                <w:lang w:eastAsia="en-AU"/>
              </w:rPr>
            </w:pPr>
            <w:r w:rsidRPr="0077128F">
              <w:rPr>
                <w:sz w:val="22"/>
                <w:szCs w:val="22"/>
                <w:lang w:eastAsia="en-AU"/>
              </w:rPr>
              <w:t>-</w:t>
            </w:r>
          </w:p>
          <w:p w14:paraId="555081BF" w14:textId="08F4BBBC" w:rsidR="009E484F" w:rsidRPr="0077128F" w:rsidRDefault="00CE1EFA" w:rsidP="000C1091">
            <w:pPr>
              <w:jc w:val="center"/>
              <w:rPr>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tcPr>
          <w:p w14:paraId="2B7727DA" w14:textId="2FD0CD45" w:rsidR="009E484F" w:rsidRPr="0077128F" w:rsidRDefault="00CE1EFA" w:rsidP="002C658A">
            <w:pPr>
              <w:jc w:val="center"/>
              <w:rPr>
                <w:bCs/>
                <w:sz w:val="22"/>
                <w:szCs w:val="22"/>
              </w:rPr>
            </w:pPr>
            <w:r w:rsidRPr="0077128F">
              <w:rPr>
                <w:bCs/>
                <w:sz w:val="22"/>
                <w:szCs w:val="22"/>
              </w:rPr>
              <w:t>$</w:t>
            </w:r>
            <w:r w:rsidR="000C1091">
              <w:rPr>
                <w:bCs/>
                <w:sz w:val="22"/>
                <w:szCs w:val="22"/>
              </w:rPr>
              <w:t>20,505</w:t>
            </w:r>
          </w:p>
          <w:p w14:paraId="5E4CFFC8" w14:textId="1540AF70" w:rsidR="002C658A" w:rsidRPr="0077128F" w:rsidRDefault="002C658A" w:rsidP="002C658A">
            <w:pPr>
              <w:jc w:val="center"/>
              <w:rPr>
                <w:bCs/>
                <w:sz w:val="22"/>
                <w:szCs w:val="22"/>
              </w:rPr>
            </w:pPr>
            <w:r w:rsidRPr="0077128F">
              <w:rPr>
                <w:bCs/>
                <w:sz w:val="22"/>
                <w:szCs w:val="22"/>
              </w:rPr>
              <w:t>-</w:t>
            </w:r>
          </w:p>
        </w:tc>
      </w:tr>
      <w:tr w:rsidR="00B242F4" w:rsidRPr="0077128F" w14:paraId="1215464C" w14:textId="4AFD944A" w:rsidTr="0003415E">
        <w:trPr>
          <w:trHeight w:val="610"/>
          <w:jc w:val="center"/>
        </w:trPr>
        <w:tc>
          <w:tcPr>
            <w:tcW w:w="2830" w:type="dxa"/>
            <w:shd w:val="clear" w:color="auto" w:fill="auto"/>
            <w:hideMark/>
          </w:tcPr>
          <w:p w14:paraId="5B88E3CC" w14:textId="77777777" w:rsidR="009E484F" w:rsidRPr="0077128F" w:rsidRDefault="009E484F" w:rsidP="001F0EA2">
            <w:pPr>
              <w:rPr>
                <w:sz w:val="22"/>
                <w:szCs w:val="22"/>
                <w:lang w:eastAsia="en-AU"/>
              </w:rPr>
            </w:pPr>
            <w:r w:rsidRPr="0077128F">
              <w:rPr>
                <w:sz w:val="22"/>
                <w:szCs w:val="22"/>
                <w:lang w:eastAsia="en-AU"/>
              </w:rPr>
              <w:t>Bush Fire Council</w:t>
            </w:r>
          </w:p>
        </w:tc>
        <w:tc>
          <w:tcPr>
            <w:tcW w:w="2812" w:type="dxa"/>
            <w:shd w:val="clear" w:color="auto" w:fill="auto"/>
            <w:hideMark/>
          </w:tcPr>
          <w:p w14:paraId="2D97F382" w14:textId="1A892928" w:rsidR="009E484F" w:rsidRPr="0077128F" w:rsidRDefault="009E484F" w:rsidP="001F0EA2">
            <w:pPr>
              <w:rPr>
                <w:sz w:val="22"/>
                <w:szCs w:val="22"/>
                <w:lang w:eastAsia="en-AU"/>
              </w:rPr>
            </w:pPr>
            <w:r w:rsidRPr="0077128F">
              <w:rPr>
                <w:sz w:val="22"/>
                <w:szCs w:val="22"/>
                <w:lang w:eastAsia="en-AU"/>
              </w:rPr>
              <w:t xml:space="preserve">Chair </w:t>
            </w:r>
          </w:p>
          <w:p w14:paraId="09B98E82" w14:textId="1AFCA92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35164CF" w14:textId="4336EBEA" w:rsidR="00CE1EFA" w:rsidRPr="0077128F" w:rsidRDefault="00CE1EFA" w:rsidP="002C658A">
            <w:pPr>
              <w:jc w:val="center"/>
              <w:rPr>
                <w:bCs/>
                <w:sz w:val="22"/>
                <w:szCs w:val="22"/>
                <w:lang w:eastAsia="en-AU"/>
              </w:rPr>
            </w:pPr>
            <w:r w:rsidRPr="0077128F">
              <w:rPr>
                <w:bCs/>
                <w:sz w:val="22"/>
                <w:szCs w:val="22"/>
              </w:rPr>
              <w:t>$5</w:t>
            </w:r>
            <w:r w:rsidR="000C1091">
              <w:rPr>
                <w:bCs/>
                <w:sz w:val="22"/>
                <w:szCs w:val="22"/>
              </w:rPr>
              <w:t>70</w:t>
            </w:r>
          </w:p>
          <w:p w14:paraId="4E5E48A2" w14:textId="3FFD0F59" w:rsidR="009E484F" w:rsidRPr="0077128F" w:rsidRDefault="00CE1EFA" w:rsidP="000C1091">
            <w:pPr>
              <w:jc w:val="center"/>
              <w:rPr>
                <w:sz w:val="22"/>
                <w:szCs w:val="22"/>
                <w:lang w:eastAsia="en-AU"/>
              </w:rPr>
            </w:pPr>
            <w:r w:rsidRPr="0077128F">
              <w:rPr>
                <w:bCs/>
                <w:sz w:val="22"/>
                <w:szCs w:val="22"/>
              </w:rPr>
              <w:t>$4</w:t>
            </w:r>
            <w:r w:rsidR="000C1091">
              <w:rPr>
                <w:bCs/>
                <w:sz w:val="22"/>
                <w:szCs w:val="22"/>
              </w:rPr>
              <w:t>9</w:t>
            </w:r>
            <w:r w:rsidR="00BC540D" w:rsidRPr="0077128F">
              <w:rPr>
                <w:bCs/>
                <w:sz w:val="22"/>
                <w:szCs w:val="22"/>
              </w:rPr>
              <w:t>0</w:t>
            </w:r>
          </w:p>
        </w:tc>
        <w:tc>
          <w:tcPr>
            <w:tcW w:w="1688" w:type="dxa"/>
            <w:gridSpan w:val="2"/>
          </w:tcPr>
          <w:p w14:paraId="34CB945B" w14:textId="77777777" w:rsidR="009E484F" w:rsidRPr="0077128F" w:rsidRDefault="002C658A" w:rsidP="002C658A">
            <w:pPr>
              <w:jc w:val="center"/>
              <w:rPr>
                <w:sz w:val="22"/>
                <w:szCs w:val="22"/>
                <w:lang w:eastAsia="en-AU"/>
              </w:rPr>
            </w:pPr>
            <w:r w:rsidRPr="0077128F">
              <w:rPr>
                <w:sz w:val="22"/>
                <w:szCs w:val="22"/>
                <w:lang w:eastAsia="en-AU"/>
              </w:rPr>
              <w:t>-</w:t>
            </w:r>
          </w:p>
          <w:p w14:paraId="7D2EC5A7" w14:textId="0AEA906A" w:rsidR="002C658A" w:rsidRPr="0077128F" w:rsidRDefault="002C658A" w:rsidP="002C658A">
            <w:pPr>
              <w:jc w:val="center"/>
              <w:rPr>
                <w:sz w:val="22"/>
                <w:szCs w:val="22"/>
                <w:lang w:eastAsia="en-AU"/>
              </w:rPr>
            </w:pPr>
            <w:r w:rsidRPr="0077128F">
              <w:rPr>
                <w:sz w:val="22"/>
                <w:szCs w:val="22"/>
                <w:lang w:eastAsia="en-AU"/>
              </w:rPr>
              <w:t>-</w:t>
            </w:r>
          </w:p>
        </w:tc>
      </w:tr>
      <w:tr w:rsidR="006D45E1" w:rsidRPr="0077128F" w14:paraId="0B628946" w14:textId="77777777" w:rsidTr="0003415E">
        <w:trPr>
          <w:trHeight w:val="610"/>
          <w:jc w:val="center"/>
        </w:trPr>
        <w:tc>
          <w:tcPr>
            <w:tcW w:w="2830" w:type="dxa"/>
            <w:shd w:val="clear" w:color="auto" w:fill="auto"/>
          </w:tcPr>
          <w:p w14:paraId="63201040" w14:textId="23BDA725"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Canberra Economic Recovery Advisory Group</w:t>
            </w:r>
          </w:p>
        </w:tc>
        <w:tc>
          <w:tcPr>
            <w:tcW w:w="2812" w:type="dxa"/>
            <w:shd w:val="clear" w:color="auto" w:fill="auto"/>
          </w:tcPr>
          <w:p w14:paraId="601C4715" w14:textId="3DC1EBB7" w:rsidR="006D45E1" w:rsidRPr="00CA7C51" w:rsidRDefault="006D45E1" w:rsidP="001F0EA2">
            <w:pPr>
              <w:rPr>
                <w:color w:val="000000" w:themeColor="text1"/>
                <w:sz w:val="22"/>
                <w:szCs w:val="22"/>
                <w:lang w:eastAsia="en-AU"/>
              </w:rPr>
            </w:pPr>
            <w:r w:rsidRPr="00CA7C51">
              <w:rPr>
                <w:color w:val="000000" w:themeColor="text1"/>
                <w:sz w:val="22"/>
                <w:szCs w:val="22"/>
                <w:lang w:eastAsia="en-AU"/>
              </w:rPr>
              <w:t>Members</w:t>
            </w:r>
          </w:p>
        </w:tc>
        <w:tc>
          <w:tcPr>
            <w:tcW w:w="1687" w:type="dxa"/>
            <w:gridSpan w:val="2"/>
            <w:shd w:val="clear" w:color="auto" w:fill="auto"/>
            <w:noWrap/>
          </w:tcPr>
          <w:p w14:paraId="37DFD6AF" w14:textId="70B6A2C2" w:rsidR="006D45E1" w:rsidRPr="00CA7C51" w:rsidRDefault="006D45E1" w:rsidP="002C658A">
            <w:pPr>
              <w:jc w:val="center"/>
              <w:rPr>
                <w:bCs/>
                <w:color w:val="000000" w:themeColor="text1"/>
                <w:sz w:val="22"/>
                <w:szCs w:val="22"/>
              </w:rPr>
            </w:pPr>
            <w:r w:rsidRPr="00CA7C51">
              <w:rPr>
                <w:bCs/>
                <w:color w:val="000000" w:themeColor="text1"/>
                <w:sz w:val="22"/>
                <w:szCs w:val="22"/>
              </w:rPr>
              <w:t>-</w:t>
            </w:r>
          </w:p>
        </w:tc>
        <w:tc>
          <w:tcPr>
            <w:tcW w:w="1688" w:type="dxa"/>
            <w:gridSpan w:val="2"/>
          </w:tcPr>
          <w:p w14:paraId="213BBA30" w14:textId="18D9A7E7" w:rsidR="006D45E1" w:rsidRPr="00CA7C51" w:rsidRDefault="006D45E1" w:rsidP="000C1091">
            <w:pPr>
              <w:jc w:val="center"/>
              <w:rPr>
                <w:bCs/>
                <w:color w:val="000000" w:themeColor="text1"/>
                <w:sz w:val="22"/>
                <w:szCs w:val="22"/>
              </w:rPr>
            </w:pPr>
            <w:r w:rsidRPr="00CA7C51">
              <w:rPr>
                <w:bCs/>
                <w:color w:val="000000" w:themeColor="text1"/>
                <w:sz w:val="22"/>
                <w:szCs w:val="22"/>
              </w:rPr>
              <w:t>$16,</w:t>
            </w:r>
            <w:r w:rsidR="000C1091" w:rsidRPr="00CA7C51">
              <w:rPr>
                <w:bCs/>
                <w:color w:val="000000" w:themeColor="text1"/>
                <w:sz w:val="22"/>
                <w:szCs w:val="22"/>
              </w:rPr>
              <w:t>320</w:t>
            </w:r>
          </w:p>
        </w:tc>
      </w:tr>
      <w:tr w:rsidR="00B242F4" w:rsidRPr="0077128F" w14:paraId="5AB4B83A" w14:textId="4F21190A" w:rsidTr="0003415E">
        <w:trPr>
          <w:trHeight w:val="610"/>
          <w:jc w:val="center"/>
        </w:trPr>
        <w:tc>
          <w:tcPr>
            <w:tcW w:w="2830" w:type="dxa"/>
            <w:shd w:val="clear" w:color="auto" w:fill="auto"/>
          </w:tcPr>
          <w:p w14:paraId="378D5BE4" w14:textId="639824C7" w:rsidR="009E484F" w:rsidRPr="0077128F" w:rsidRDefault="009E484F" w:rsidP="001F0EA2">
            <w:pPr>
              <w:rPr>
                <w:sz w:val="22"/>
                <w:szCs w:val="22"/>
                <w:lang w:eastAsia="en-AU"/>
              </w:rPr>
            </w:pPr>
            <w:r w:rsidRPr="0077128F">
              <w:rPr>
                <w:sz w:val="22"/>
                <w:szCs w:val="22"/>
                <w:lang w:eastAsia="en-AU"/>
              </w:rPr>
              <w:t>Canberra Institute of Technology Governing Board</w:t>
            </w:r>
          </w:p>
        </w:tc>
        <w:tc>
          <w:tcPr>
            <w:tcW w:w="2812" w:type="dxa"/>
            <w:shd w:val="clear" w:color="auto" w:fill="auto"/>
          </w:tcPr>
          <w:p w14:paraId="450AFE63" w14:textId="1DD6A0AE" w:rsidR="009E484F" w:rsidRPr="0077128F" w:rsidRDefault="009E484F" w:rsidP="001F0EA2">
            <w:pPr>
              <w:rPr>
                <w:sz w:val="22"/>
                <w:szCs w:val="22"/>
                <w:lang w:eastAsia="en-AU"/>
              </w:rPr>
            </w:pPr>
            <w:r w:rsidRPr="0077128F">
              <w:rPr>
                <w:sz w:val="22"/>
                <w:szCs w:val="22"/>
                <w:lang w:eastAsia="en-AU"/>
              </w:rPr>
              <w:t xml:space="preserve">Chair </w:t>
            </w:r>
          </w:p>
          <w:p w14:paraId="51CDFD85" w14:textId="4DDEF72C" w:rsidR="009E484F" w:rsidRPr="0077128F" w:rsidRDefault="009E484F" w:rsidP="001F0EA2">
            <w:pPr>
              <w:rPr>
                <w:sz w:val="22"/>
                <w:szCs w:val="22"/>
                <w:lang w:eastAsia="en-AU"/>
              </w:rPr>
            </w:pPr>
            <w:r w:rsidRPr="0077128F">
              <w:rPr>
                <w:sz w:val="22"/>
                <w:szCs w:val="22"/>
                <w:lang w:eastAsia="en-AU"/>
              </w:rPr>
              <w:t xml:space="preserve">Deputy Chair </w:t>
            </w:r>
          </w:p>
          <w:p w14:paraId="6683C42F" w14:textId="5FDF8FB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476810F" w14:textId="2F261DF7" w:rsidR="009E484F" w:rsidRPr="0077128F" w:rsidRDefault="002C658A" w:rsidP="002C658A">
            <w:pPr>
              <w:jc w:val="center"/>
              <w:rPr>
                <w:bCs/>
                <w:sz w:val="22"/>
                <w:szCs w:val="22"/>
              </w:rPr>
            </w:pPr>
            <w:r w:rsidRPr="0077128F">
              <w:rPr>
                <w:bCs/>
                <w:sz w:val="22"/>
                <w:szCs w:val="22"/>
              </w:rPr>
              <w:t>-</w:t>
            </w:r>
          </w:p>
          <w:p w14:paraId="2141EAFA" w14:textId="645862D2" w:rsidR="009E484F" w:rsidRPr="0077128F" w:rsidRDefault="002C658A" w:rsidP="002C658A">
            <w:pPr>
              <w:jc w:val="center"/>
              <w:rPr>
                <w:bCs/>
                <w:sz w:val="22"/>
                <w:szCs w:val="22"/>
              </w:rPr>
            </w:pPr>
            <w:r w:rsidRPr="0077128F">
              <w:rPr>
                <w:bCs/>
                <w:sz w:val="22"/>
                <w:szCs w:val="22"/>
              </w:rPr>
              <w:t>-</w:t>
            </w:r>
          </w:p>
          <w:p w14:paraId="62D684E2" w14:textId="58545052" w:rsidR="009E484F" w:rsidRPr="0077128F" w:rsidRDefault="00CE1EFA" w:rsidP="000C1091">
            <w:pPr>
              <w:jc w:val="center"/>
              <w:rPr>
                <w:bCs/>
                <w:sz w:val="22"/>
                <w:szCs w:val="22"/>
              </w:rPr>
            </w:pPr>
            <w:r w:rsidRPr="0077128F">
              <w:rPr>
                <w:bCs/>
                <w:sz w:val="22"/>
                <w:szCs w:val="22"/>
              </w:rPr>
              <w:t>$6</w:t>
            </w:r>
            <w:r w:rsidR="000C1091">
              <w:rPr>
                <w:bCs/>
                <w:sz w:val="22"/>
                <w:szCs w:val="22"/>
              </w:rPr>
              <w:t>30</w:t>
            </w:r>
          </w:p>
        </w:tc>
        <w:tc>
          <w:tcPr>
            <w:tcW w:w="1688" w:type="dxa"/>
            <w:gridSpan w:val="2"/>
          </w:tcPr>
          <w:p w14:paraId="09F3CAC1" w14:textId="4D87401B" w:rsidR="00BC540D" w:rsidRPr="0077128F" w:rsidRDefault="00BC540D" w:rsidP="00BC540D">
            <w:pPr>
              <w:jc w:val="center"/>
              <w:rPr>
                <w:bCs/>
                <w:sz w:val="22"/>
                <w:szCs w:val="22"/>
              </w:rPr>
            </w:pPr>
            <w:r w:rsidRPr="0077128F">
              <w:rPr>
                <w:bCs/>
                <w:sz w:val="22"/>
                <w:szCs w:val="22"/>
              </w:rPr>
              <w:t>$</w:t>
            </w:r>
            <w:r w:rsidR="000C1091">
              <w:rPr>
                <w:bCs/>
                <w:sz w:val="22"/>
                <w:szCs w:val="22"/>
              </w:rPr>
              <w:t>60,415</w:t>
            </w:r>
          </w:p>
          <w:p w14:paraId="68B5F18D" w14:textId="6A6AB1FA" w:rsidR="00BC540D" w:rsidRPr="0077128F" w:rsidRDefault="00BC540D" w:rsidP="00BC540D">
            <w:pPr>
              <w:jc w:val="center"/>
              <w:rPr>
                <w:bCs/>
                <w:sz w:val="22"/>
                <w:szCs w:val="22"/>
              </w:rPr>
            </w:pPr>
            <w:r w:rsidRPr="0077128F">
              <w:rPr>
                <w:bCs/>
                <w:sz w:val="22"/>
                <w:szCs w:val="22"/>
              </w:rPr>
              <w:t>$</w:t>
            </w:r>
            <w:r w:rsidR="000C1091">
              <w:rPr>
                <w:bCs/>
                <w:sz w:val="22"/>
                <w:szCs w:val="22"/>
              </w:rPr>
              <w:t>30,215</w:t>
            </w:r>
          </w:p>
          <w:p w14:paraId="43CA6A20" w14:textId="1977A251" w:rsidR="002C658A" w:rsidRPr="0077128F" w:rsidRDefault="002C658A" w:rsidP="002C658A">
            <w:pPr>
              <w:jc w:val="center"/>
              <w:rPr>
                <w:bCs/>
                <w:sz w:val="22"/>
                <w:szCs w:val="22"/>
              </w:rPr>
            </w:pPr>
            <w:r w:rsidRPr="0077128F">
              <w:rPr>
                <w:bCs/>
                <w:sz w:val="22"/>
                <w:szCs w:val="22"/>
              </w:rPr>
              <w:t>-</w:t>
            </w:r>
          </w:p>
        </w:tc>
      </w:tr>
      <w:tr w:rsidR="00B242F4" w:rsidRPr="0077128F" w14:paraId="7534FBC5" w14:textId="47563121" w:rsidTr="0003415E">
        <w:trPr>
          <w:trHeight w:val="610"/>
          <w:jc w:val="center"/>
        </w:trPr>
        <w:tc>
          <w:tcPr>
            <w:tcW w:w="2830" w:type="dxa"/>
            <w:shd w:val="clear" w:color="auto" w:fill="auto"/>
          </w:tcPr>
          <w:p w14:paraId="138B502B" w14:textId="77777777" w:rsidR="009E484F" w:rsidRPr="0077128F" w:rsidRDefault="009E484F" w:rsidP="001F0EA2">
            <w:pPr>
              <w:rPr>
                <w:sz w:val="22"/>
                <w:szCs w:val="22"/>
                <w:lang w:eastAsia="en-AU"/>
              </w:rPr>
            </w:pPr>
            <w:r w:rsidRPr="0077128F">
              <w:rPr>
                <w:sz w:val="22"/>
                <w:szCs w:val="22"/>
                <w:lang w:eastAsia="en-AU"/>
              </w:rPr>
              <w:t>Canberra Region Medical Education Council</w:t>
            </w:r>
          </w:p>
        </w:tc>
        <w:tc>
          <w:tcPr>
            <w:tcW w:w="2812" w:type="dxa"/>
            <w:shd w:val="clear" w:color="auto" w:fill="auto"/>
          </w:tcPr>
          <w:p w14:paraId="628F408F" w14:textId="1E98FCC8" w:rsidR="009E484F" w:rsidRPr="0077128F" w:rsidRDefault="009E484F" w:rsidP="001F0EA2">
            <w:pPr>
              <w:rPr>
                <w:sz w:val="22"/>
                <w:szCs w:val="22"/>
                <w:lang w:eastAsia="en-AU"/>
              </w:rPr>
            </w:pPr>
            <w:r w:rsidRPr="0077128F">
              <w:rPr>
                <w:sz w:val="22"/>
                <w:szCs w:val="22"/>
                <w:lang w:eastAsia="en-AU"/>
              </w:rPr>
              <w:t xml:space="preserve">External representative members </w:t>
            </w:r>
          </w:p>
        </w:tc>
        <w:tc>
          <w:tcPr>
            <w:tcW w:w="1687" w:type="dxa"/>
            <w:gridSpan w:val="2"/>
            <w:shd w:val="clear" w:color="auto" w:fill="auto"/>
            <w:noWrap/>
          </w:tcPr>
          <w:p w14:paraId="2CAC9DF8" w14:textId="4F262304" w:rsidR="009E484F" w:rsidRPr="0077128F" w:rsidRDefault="00CE1EFA" w:rsidP="00997958">
            <w:pPr>
              <w:jc w:val="center"/>
              <w:rPr>
                <w:sz w:val="22"/>
                <w:szCs w:val="22"/>
                <w:lang w:eastAsia="en-AU"/>
              </w:rPr>
            </w:pPr>
            <w:r w:rsidRPr="0077128F">
              <w:rPr>
                <w:bCs/>
                <w:sz w:val="22"/>
                <w:szCs w:val="22"/>
              </w:rPr>
              <w:t>$4</w:t>
            </w:r>
            <w:r w:rsidR="00997958">
              <w:rPr>
                <w:bCs/>
                <w:sz w:val="22"/>
                <w:szCs w:val="22"/>
              </w:rPr>
              <w:t>9</w:t>
            </w:r>
            <w:r w:rsidR="00BC540D" w:rsidRPr="0077128F">
              <w:rPr>
                <w:bCs/>
                <w:sz w:val="22"/>
                <w:szCs w:val="22"/>
              </w:rPr>
              <w:t>0</w:t>
            </w:r>
          </w:p>
        </w:tc>
        <w:tc>
          <w:tcPr>
            <w:tcW w:w="1688" w:type="dxa"/>
            <w:gridSpan w:val="2"/>
          </w:tcPr>
          <w:p w14:paraId="50A7A138" w14:textId="14973285" w:rsidR="009E484F" w:rsidRPr="0077128F" w:rsidRDefault="002C658A" w:rsidP="002C658A">
            <w:pPr>
              <w:jc w:val="center"/>
              <w:rPr>
                <w:sz w:val="22"/>
                <w:szCs w:val="22"/>
                <w:lang w:eastAsia="en-AU"/>
              </w:rPr>
            </w:pPr>
            <w:r w:rsidRPr="0077128F">
              <w:rPr>
                <w:sz w:val="22"/>
                <w:szCs w:val="22"/>
                <w:lang w:eastAsia="en-AU"/>
              </w:rPr>
              <w:t>-</w:t>
            </w:r>
          </w:p>
        </w:tc>
      </w:tr>
      <w:tr w:rsidR="00A634B0" w:rsidRPr="0077128F" w14:paraId="43C17001" w14:textId="77777777" w:rsidTr="0003415E">
        <w:trPr>
          <w:trHeight w:val="610"/>
          <w:jc w:val="center"/>
        </w:trPr>
        <w:tc>
          <w:tcPr>
            <w:tcW w:w="2830" w:type="dxa"/>
            <w:shd w:val="clear" w:color="auto" w:fill="auto"/>
          </w:tcPr>
          <w:p w14:paraId="55AA4568" w14:textId="206767D4"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Cemeteries and Crematoria Authority</w:t>
            </w:r>
          </w:p>
        </w:tc>
        <w:tc>
          <w:tcPr>
            <w:tcW w:w="2812" w:type="dxa"/>
            <w:shd w:val="clear" w:color="auto" w:fill="auto"/>
          </w:tcPr>
          <w:p w14:paraId="24D5A0D3" w14:textId="77777777"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Chair </w:t>
            </w:r>
          </w:p>
          <w:p w14:paraId="003578D5" w14:textId="328780AA" w:rsidR="00A634B0" w:rsidRPr="00CA7C51" w:rsidRDefault="00A634B0" w:rsidP="00A634B0">
            <w:pPr>
              <w:rPr>
                <w:color w:val="000000" w:themeColor="text1"/>
                <w:sz w:val="22"/>
                <w:szCs w:val="22"/>
                <w:lang w:eastAsia="en-AU"/>
              </w:rPr>
            </w:pPr>
            <w:r w:rsidRPr="00CA7C51">
              <w:rPr>
                <w:color w:val="000000" w:themeColor="text1"/>
                <w:sz w:val="22"/>
                <w:szCs w:val="22"/>
                <w:lang w:eastAsia="en-AU"/>
              </w:rPr>
              <w:t xml:space="preserve">Member </w:t>
            </w:r>
          </w:p>
        </w:tc>
        <w:tc>
          <w:tcPr>
            <w:tcW w:w="1687" w:type="dxa"/>
            <w:gridSpan w:val="2"/>
            <w:shd w:val="clear" w:color="auto" w:fill="auto"/>
            <w:noWrap/>
          </w:tcPr>
          <w:p w14:paraId="135FD493" w14:textId="77777777" w:rsidR="00A634B0" w:rsidRPr="00CA7C51" w:rsidRDefault="00A634B0" w:rsidP="00A634B0">
            <w:pPr>
              <w:jc w:val="center"/>
              <w:rPr>
                <w:bCs/>
                <w:color w:val="000000" w:themeColor="text1"/>
                <w:sz w:val="22"/>
                <w:szCs w:val="22"/>
                <w:lang w:eastAsia="en-AU"/>
              </w:rPr>
            </w:pPr>
            <w:r w:rsidRPr="00CA7C51">
              <w:rPr>
                <w:bCs/>
                <w:color w:val="000000" w:themeColor="text1"/>
                <w:sz w:val="22"/>
                <w:szCs w:val="22"/>
              </w:rPr>
              <w:t>$605</w:t>
            </w:r>
          </w:p>
          <w:p w14:paraId="1E6932E3" w14:textId="5E6AC492" w:rsidR="00A634B0" w:rsidRPr="00CA7C51" w:rsidRDefault="00A634B0" w:rsidP="00A634B0">
            <w:pPr>
              <w:jc w:val="center"/>
              <w:rPr>
                <w:bCs/>
                <w:color w:val="000000" w:themeColor="text1"/>
                <w:sz w:val="22"/>
                <w:szCs w:val="22"/>
              </w:rPr>
            </w:pPr>
            <w:r w:rsidRPr="00CA7C51">
              <w:rPr>
                <w:bCs/>
                <w:color w:val="000000" w:themeColor="text1"/>
                <w:sz w:val="22"/>
                <w:szCs w:val="22"/>
              </w:rPr>
              <w:t>$525</w:t>
            </w:r>
          </w:p>
        </w:tc>
        <w:tc>
          <w:tcPr>
            <w:tcW w:w="1688" w:type="dxa"/>
            <w:gridSpan w:val="2"/>
          </w:tcPr>
          <w:p w14:paraId="41040595" w14:textId="77777777" w:rsidR="00A634B0" w:rsidRPr="00A634B0" w:rsidRDefault="00A634B0" w:rsidP="00A634B0">
            <w:pPr>
              <w:jc w:val="center"/>
              <w:rPr>
                <w:color w:val="FF0000"/>
                <w:sz w:val="22"/>
                <w:szCs w:val="22"/>
                <w:lang w:eastAsia="en-AU"/>
              </w:rPr>
            </w:pPr>
            <w:r w:rsidRPr="00A634B0">
              <w:rPr>
                <w:color w:val="FF0000"/>
                <w:sz w:val="22"/>
                <w:szCs w:val="22"/>
                <w:lang w:eastAsia="en-AU"/>
              </w:rPr>
              <w:t>-</w:t>
            </w:r>
          </w:p>
          <w:p w14:paraId="44D1E816" w14:textId="5256F839" w:rsidR="00A634B0" w:rsidRPr="00A634B0" w:rsidRDefault="00A634B0" w:rsidP="00A634B0">
            <w:pPr>
              <w:jc w:val="center"/>
              <w:rPr>
                <w:color w:val="FF0000"/>
                <w:sz w:val="22"/>
                <w:szCs w:val="22"/>
                <w:lang w:eastAsia="en-AU"/>
              </w:rPr>
            </w:pPr>
            <w:r w:rsidRPr="00A634B0">
              <w:rPr>
                <w:color w:val="FF0000"/>
                <w:sz w:val="22"/>
                <w:szCs w:val="22"/>
                <w:lang w:eastAsia="en-AU"/>
              </w:rPr>
              <w:t>-</w:t>
            </w:r>
          </w:p>
        </w:tc>
      </w:tr>
      <w:tr w:rsidR="00CD176E" w:rsidRPr="0077128F" w14:paraId="33897A32" w14:textId="77777777" w:rsidTr="0003415E">
        <w:trPr>
          <w:trHeight w:val="610"/>
          <w:jc w:val="center"/>
        </w:trPr>
        <w:tc>
          <w:tcPr>
            <w:tcW w:w="2830" w:type="dxa"/>
            <w:shd w:val="clear" w:color="auto" w:fill="auto"/>
          </w:tcPr>
          <w:p w14:paraId="2A55BEE4" w14:textId="77777777" w:rsidR="00CD176E" w:rsidRPr="0077128F" w:rsidRDefault="00CD176E" w:rsidP="00CD176E">
            <w:pPr>
              <w:rPr>
                <w:sz w:val="22"/>
                <w:szCs w:val="22"/>
                <w:lang w:eastAsia="en-AU"/>
              </w:rPr>
            </w:pPr>
            <w:r w:rsidRPr="0077128F">
              <w:rPr>
                <w:sz w:val="22"/>
                <w:szCs w:val="22"/>
                <w:lang w:eastAsia="en-AU"/>
              </w:rPr>
              <w:t>Children and Young People Death Review Committee</w:t>
            </w:r>
          </w:p>
        </w:tc>
        <w:tc>
          <w:tcPr>
            <w:tcW w:w="2812" w:type="dxa"/>
            <w:shd w:val="clear" w:color="auto" w:fill="auto"/>
          </w:tcPr>
          <w:p w14:paraId="3688E760" w14:textId="77777777" w:rsidR="00CD176E" w:rsidRPr="0077128F" w:rsidRDefault="00CD176E" w:rsidP="00CD176E">
            <w:pPr>
              <w:rPr>
                <w:sz w:val="22"/>
                <w:szCs w:val="22"/>
                <w:lang w:eastAsia="en-AU"/>
              </w:rPr>
            </w:pPr>
            <w:r w:rsidRPr="0077128F">
              <w:rPr>
                <w:sz w:val="22"/>
                <w:szCs w:val="22"/>
                <w:lang w:eastAsia="en-AU"/>
              </w:rPr>
              <w:t xml:space="preserve">Chair </w:t>
            </w:r>
          </w:p>
          <w:p w14:paraId="3D2130B5" w14:textId="77777777"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D5659A2" w14:textId="5B44E958" w:rsidR="00CD176E" w:rsidRPr="0077128F" w:rsidRDefault="00CD176E" w:rsidP="00CD176E">
            <w:pPr>
              <w:jc w:val="center"/>
              <w:rPr>
                <w:bCs/>
                <w:sz w:val="22"/>
                <w:szCs w:val="22"/>
              </w:rPr>
            </w:pPr>
            <w:r w:rsidRPr="0077128F">
              <w:rPr>
                <w:bCs/>
                <w:sz w:val="22"/>
                <w:szCs w:val="22"/>
              </w:rPr>
              <w:t>$8</w:t>
            </w:r>
            <w:r w:rsidR="00997958">
              <w:rPr>
                <w:bCs/>
                <w:sz w:val="22"/>
                <w:szCs w:val="22"/>
              </w:rPr>
              <w:t>95</w:t>
            </w:r>
          </w:p>
          <w:p w14:paraId="34B97970" w14:textId="31C3851D" w:rsidR="00CD176E" w:rsidRPr="0077128F" w:rsidRDefault="00CD176E" w:rsidP="00997958">
            <w:pPr>
              <w:jc w:val="center"/>
              <w:rPr>
                <w:sz w:val="22"/>
                <w:szCs w:val="22"/>
                <w:lang w:eastAsia="en-AU"/>
              </w:rPr>
            </w:pPr>
            <w:r w:rsidRPr="0077128F">
              <w:rPr>
                <w:bCs/>
                <w:sz w:val="22"/>
                <w:szCs w:val="22"/>
              </w:rPr>
              <w:t>$</w:t>
            </w:r>
            <w:r w:rsidR="00BC540D" w:rsidRPr="0077128F">
              <w:rPr>
                <w:bCs/>
                <w:sz w:val="22"/>
                <w:szCs w:val="22"/>
              </w:rPr>
              <w:t>8</w:t>
            </w:r>
            <w:r w:rsidR="00997958">
              <w:rPr>
                <w:bCs/>
                <w:sz w:val="22"/>
                <w:szCs w:val="22"/>
              </w:rPr>
              <w:t>2</w:t>
            </w:r>
            <w:r w:rsidR="00BC540D" w:rsidRPr="0077128F">
              <w:rPr>
                <w:bCs/>
                <w:sz w:val="22"/>
                <w:szCs w:val="22"/>
              </w:rPr>
              <w:t>0</w:t>
            </w:r>
          </w:p>
        </w:tc>
        <w:tc>
          <w:tcPr>
            <w:tcW w:w="1688" w:type="dxa"/>
            <w:gridSpan w:val="2"/>
          </w:tcPr>
          <w:p w14:paraId="4A749282" w14:textId="77777777" w:rsidR="00CD176E" w:rsidRPr="0077128F" w:rsidRDefault="00CD176E" w:rsidP="00CD176E">
            <w:pPr>
              <w:jc w:val="center"/>
              <w:rPr>
                <w:sz w:val="22"/>
                <w:szCs w:val="22"/>
                <w:lang w:eastAsia="en-AU"/>
              </w:rPr>
            </w:pPr>
            <w:r w:rsidRPr="0077128F">
              <w:rPr>
                <w:sz w:val="22"/>
                <w:szCs w:val="22"/>
                <w:lang w:eastAsia="en-AU"/>
              </w:rPr>
              <w:t>-</w:t>
            </w:r>
          </w:p>
          <w:p w14:paraId="75255060" w14:textId="77777777"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266EFB6B" w14:textId="49E0C034" w:rsidTr="0003415E">
        <w:trPr>
          <w:trHeight w:val="610"/>
          <w:jc w:val="center"/>
        </w:trPr>
        <w:tc>
          <w:tcPr>
            <w:tcW w:w="2830" w:type="dxa"/>
            <w:shd w:val="clear" w:color="auto" w:fill="auto"/>
          </w:tcPr>
          <w:p w14:paraId="335C6EA4" w14:textId="77777777" w:rsidR="009E484F" w:rsidRPr="0077128F" w:rsidRDefault="009E484F" w:rsidP="001F0EA2">
            <w:pPr>
              <w:rPr>
                <w:sz w:val="22"/>
                <w:szCs w:val="22"/>
                <w:lang w:eastAsia="en-AU"/>
              </w:rPr>
            </w:pPr>
            <w:r w:rsidRPr="0077128F">
              <w:rPr>
                <w:sz w:val="22"/>
                <w:szCs w:val="22"/>
                <w:lang w:eastAsia="en-AU"/>
              </w:rPr>
              <w:t>Children and Youth Services Council</w:t>
            </w:r>
          </w:p>
        </w:tc>
        <w:tc>
          <w:tcPr>
            <w:tcW w:w="2812" w:type="dxa"/>
            <w:shd w:val="clear" w:color="auto" w:fill="auto"/>
          </w:tcPr>
          <w:p w14:paraId="7C0D55B4" w14:textId="6E2638F4" w:rsidR="009E484F" w:rsidRPr="0077128F" w:rsidRDefault="009E484F" w:rsidP="001F0EA2">
            <w:pPr>
              <w:rPr>
                <w:sz w:val="22"/>
                <w:szCs w:val="22"/>
                <w:lang w:eastAsia="en-AU"/>
              </w:rPr>
            </w:pPr>
            <w:r w:rsidRPr="0077128F">
              <w:rPr>
                <w:sz w:val="22"/>
                <w:szCs w:val="22"/>
                <w:lang w:eastAsia="en-AU"/>
              </w:rPr>
              <w:t xml:space="preserve">Chair </w:t>
            </w:r>
          </w:p>
          <w:p w14:paraId="269DC936" w14:textId="4B63E09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B5EDF63" w14:textId="21DFE98D" w:rsidR="00CE1EFA" w:rsidRPr="0077128F" w:rsidRDefault="00CE1EFA" w:rsidP="002C658A">
            <w:pPr>
              <w:jc w:val="center"/>
              <w:rPr>
                <w:bCs/>
                <w:sz w:val="22"/>
                <w:szCs w:val="22"/>
              </w:rPr>
            </w:pPr>
            <w:r w:rsidRPr="0077128F">
              <w:rPr>
                <w:bCs/>
                <w:sz w:val="22"/>
                <w:szCs w:val="22"/>
              </w:rPr>
              <w:t>$</w:t>
            </w:r>
            <w:r w:rsidR="00997958">
              <w:rPr>
                <w:bCs/>
                <w:sz w:val="22"/>
                <w:szCs w:val="22"/>
              </w:rPr>
              <w:t>705</w:t>
            </w:r>
          </w:p>
          <w:p w14:paraId="51C24F74" w14:textId="3FF81D6F" w:rsidR="009E484F" w:rsidRPr="0077128F" w:rsidRDefault="00CE1EFA" w:rsidP="00997958">
            <w:pPr>
              <w:jc w:val="center"/>
              <w:rPr>
                <w:sz w:val="22"/>
                <w:szCs w:val="22"/>
                <w:lang w:eastAsia="en-AU"/>
              </w:rPr>
            </w:pPr>
            <w:r w:rsidRPr="0077128F">
              <w:rPr>
                <w:bCs/>
                <w:sz w:val="22"/>
                <w:szCs w:val="22"/>
              </w:rPr>
              <w:t>$5</w:t>
            </w:r>
            <w:r w:rsidR="00997958">
              <w:rPr>
                <w:bCs/>
                <w:sz w:val="22"/>
                <w:szCs w:val="22"/>
              </w:rPr>
              <w:t>70</w:t>
            </w:r>
          </w:p>
        </w:tc>
        <w:tc>
          <w:tcPr>
            <w:tcW w:w="1688" w:type="dxa"/>
            <w:gridSpan w:val="2"/>
          </w:tcPr>
          <w:p w14:paraId="2DCCBBCE" w14:textId="77777777" w:rsidR="009E484F" w:rsidRPr="0077128F" w:rsidRDefault="002C658A" w:rsidP="002C658A">
            <w:pPr>
              <w:jc w:val="center"/>
              <w:rPr>
                <w:sz w:val="22"/>
                <w:szCs w:val="22"/>
                <w:lang w:eastAsia="en-AU"/>
              </w:rPr>
            </w:pPr>
            <w:r w:rsidRPr="0077128F">
              <w:rPr>
                <w:sz w:val="22"/>
                <w:szCs w:val="22"/>
                <w:lang w:eastAsia="en-AU"/>
              </w:rPr>
              <w:t>-</w:t>
            </w:r>
          </w:p>
          <w:p w14:paraId="4E3A6315" w14:textId="224D8FED" w:rsidR="002C658A" w:rsidRPr="0077128F" w:rsidRDefault="002C658A" w:rsidP="002C658A">
            <w:pPr>
              <w:jc w:val="center"/>
              <w:rPr>
                <w:sz w:val="22"/>
                <w:szCs w:val="22"/>
                <w:lang w:eastAsia="en-AU"/>
              </w:rPr>
            </w:pPr>
            <w:r w:rsidRPr="0077128F">
              <w:rPr>
                <w:sz w:val="22"/>
                <w:szCs w:val="22"/>
                <w:lang w:eastAsia="en-AU"/>
              </w:rPr>
              <w:t>-</w:t>
            </w:r>
          </w:p>
        </w:tc>
      </w:tr>
      <w:tr w:rsidR="00CD176E" w:rsidRPr="0077128F" w14:paraId="625D96D9" w14:textId="77777777" w:rsidTr="0003415E">
        <w:trPr>
          <w:trHeight w:val="610"/>
          <w:jc w:val="center"/>
        </w:trPr>
        <w:tc>
          <w:tcPr>
            <w:tcW w:w="2830" w:type="dxa"/>
            <w:shd w:val="clear" w:color="auto" w:fill="auto"/>
          </w:tcPr>
          <w:p w14:paraId="0FA0DD33" w14:textId="5FE8DF9C" w:rsidR="00CD176E" w:rsidRPr="0077128F" w:rsidRDefault="00CD176E" w:rsidP="00CD176E">
            <w:pPr>
              <w:rPr>
                <w:sz w:val="22"/>
                <w:szCs w:val="22"/>
                <w:lang w:eastAsia="en-AU"/>
              </w:rPr>
            </w:pPr>
            <w:r w:rsidRPr="0077128F">
              <w:rPr>
                <w:sz w:val="22"/>
                <w:szCs w:val="22"/>
              </w:rPr>
              <w:t>Clinical Leadership Forum</w:t>
            </w:r>
          </w:p>
        </w:tc>
        <w:tc>
          <w:tcPr>
            <w:tcW w:w="2812" w:type="dxa"/>
            <w:shd w:val="clear" w:color="auto" w:fill="auto"/>
          </w:tcPr>
          <w:p w14:paraId="7E07A5BD" w14:textId="77777777" w:rsidR="00CD176E" w:rsidRPr="0077128F" w:rsidRDefault="00CD176E" w:rsidP="00CD176E">
            <w:pPr>
              <w:rPr>
                <w:sz w:val="22"/>
                <w:szCs w:val="22"/>
                <w:lang w:eastAsia="en-AU"/>
              </w:rPr>
            </w:pPr>
            <w:r w:rsidRPr="0077128F">
              <w:rPr>
                <w:sz w:val="22"/>
                <w:szCs w:val="22"/>
                <w:lang w:eastAsia="en-AU"/>
              </w:rPr>
              <w:t xml:space="preserve">Chair </w:t>
            </w:r>
          </w:p>
          <w:p w14:paraId="2952B217" w14:textId="066E30AF"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C4E6824" w14:textId="5F017295" w:rsidR="00CD176E" w:rsidRPr="0077128F" w:rsidRDefault="00CD176E" w:rsidP="00CD176E">
            <w:pPr>
              <w:jc w:val="center"/>
              <w:rPr>
                <w:bCs/>
                <w:sz w:val="22"/>
                <w:szCs w:val="22"/>
              </w:rPr>
            </w:pPr>
            <w:r w:rsidRPr="0077128F">
              <w:rPr>
                <w:bCs/>
                <w:sz w:val="22"/>
                <w:szCs w:val="22"/>
              </w:rPr>
              <w:t>$5</w:t>
            </w:r>
            <w:r w:rsidR="00997958">
              <w:rPr>
                <w:bCs/>
                <w:sz w:val="22"/>
                <w:szCs w:val="22"/>
              </w:rPr>
              <w:t>70</w:t>
            </w:r>
          </w:p>
          <w:p w14:paraId="6486D78C" w14:textId="6BDEDE1E" w:rsidR="00CD176E" w:rsidRPr="0077128F" w:rsidRDefault="00CD176E" w:rsidP="00997958">
            <w:pPr>
              <w:jc w:val="center"/>
              <w:rPr>
                <w:bCs/>
                <w:sz w:val="22"/>
                <w:szCs w:val="22"/>
              </w:rPr>
            </w:pPr>
            <w:r w:rsidRPr="0077128F">
              <w:rPr>
                <w:bCs/>
                <w:sz w:val="22"/>
                <w:szCs w:val="22"/>
              </w:rPr>
              <w:t>$4</w:t>
            </w:r>
            <w:r w:rsidR="00997958">
              <w:rPr>
                <w:bCs/>
                <w:sz w:val="22"/>
                <w:szCs w:val="22"/>
              </w:rPr>
              <w:t>90</w:t>
            </w:r>
          </w:p>
        </w:tc>
        <w:tc>
          <w:tcPr>
            <w:tcW w:w="1688" w:type="dxa"/>
            <w:gridSpan w:val="2"/>
          </w:tcPr>
          <w:p w14:paraId="08766CE7" w14:textId="77777777" w:rsidR="00CD176E" w:rsidRPr="0077128F" w:rsidRDefault="00CD176E" w:rsidP="00CD176E">
            <w:pPr>
              <w:jc w:val="center"/>
              <w:rPr>
                <w:sz w:val="22"/>
                <w:szCs w:val="22"/>
                <w:lang w:eastAsia="en-AU"/>
              </w:rPr>
            </w:pPr>
            <w:r w:rsidRPr="0077128F">
              <w:rPr>
                <w:sz w:val="22"/>
                <w:szCs w:val="22"/>
                <w:lang w:eastAsia="en-AU"/>
              </w:rPr>
              <w:t>-</w:t>
            </w:r>
          </w:p>
          <w:p w14:paraId="240802BB" w14:textId="423C92F0"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74BDA426" w14:textId="30F7EE74" w:rsidTr="0003415E">
        <w:trPr>
          <w:trHeight w:val="610"/>
          <w:jc w:val="center"/>
        </w:trPr>
        <w:tc>
          <w:tcPr>
            <w:tcW w:w="2830" w:type="dxa"/>
            <w:shd w:val="clear" w:color="auto" w:fill="auto"/>
          </w:tcPr>
          <w:p w14:paraId="1F4B28CD" w14:textId="77777777" w:rsidR="009E484F" w:rsidRPr="0077128F" w:rsidRDefault="009E484F" w:rsidP="001F0EA2">
            <w:pPr>
              <w:rPr>
                <w:sz w:val="22"/>
                <w:szCs w:val="22"/>
                <w:lang w:eastAsia="en-AU"/>
              </w:rPr>
            </w:pPr>
            <w:r w:rsidRPr="0077128F">
              <w:rPr>
                <w:sz w:val="22"/>
                <w:szCs w:val="22"/>
                <w:lang w:eastAsia="en-AU"/>
              </w:rPr>
              <w:t>City Renewal Authority Board</w:t>
            </w:r>
          </w:p>
        </w:tc>
        <w:tc>
          <w:tcPr>
            <w:tcW w:w="2812" w:type="dxa"/>
            <w:shd w:val="clear" w:color="auto" w:fill="auto"/>
          </w:tcPr>
          <w:p w14:paraId="2169002A" w14:textId="7DBD2327" w:rsidR="009E484F" w:rsidRPr="0077128F" w:rsidRDefault="009E484F" w:rsidP="001F0EA2">
            <w:pPr>
              <w:rPr>
                <w:sz w:val="22"/>
                <w:szCs w:val="22"/>
                <w:lang w:eastAsia="en-AU"/>
              </w:rPr>
            </w:pPr>
            <w:r w:rsidRPr="0077128F">
              <w:rPr>
                <w:sz w:val="22"/>
                <w:szCs w:val="22"/>
                <w:lang w:eastAsia="en-AU"/>
              </w:rPr>
              <w:t xml:space="preserve">Chair </w:t>
            </w:r>
          </w:p>
          <w:p w14:paraId="54380DDE" w14:textId="5BFA9D01" w:rsidR="009E484F" w:rsidRPr="0077128F" w:rsidRDefault="009E484F" w:rsidP="001F0EA2">
            <w:pPr>
              <w:rPr>
                <w:sz w:val="22"/>
                <w:szCs w:val="22"/>
                <w:lang w:eastAsia="en-AU"/>
              </w:rPr>
            </w:pPr>
            <w:r w:rsidRPr="0077128F">
              <w:rPr>
                <w:sz w:val="22"/>
                <w:szCs w:val="22"/>
                <w:lang w:eastAsia="en-AU"/>
              </w:rPr>
              <w:t xml:space="preserve">Deputy Chair </w:t>
            </w:r>
          </w:p>
          <w:p w14:paraId="0578E9D9" w14:textId="386629B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12EB3DA" w14:textId="77777777" w:rsidR="009E484F" w:rsidRPr="0077128F" w:rsidRDefault="002C658A" w:rsidP="002C658A">
            <w:pPr>
              <w:jc w:val="center"/>
              <w:rPr>
                <w:sz w:val="22"/>
                <w:szCs w:val="22"/>
                <w:lang w:eastAsia="en-AU"/>
              </w:rPr>
            </w:pPr>
            <w:r w:rsidRPr="0077128F">
              <w:rPr>
                <w:sz w:val="22"/>
                <w:szCs w:val="22"/>
                <w:lang w:eastAsia="en-AU"/>
              </w:rPr>
              <w:t>-</w:t>
            </w:r>
          </w:p>
          <w:p w14:paraId="1520992A" w14:textId="77777777" w:rsidR="002C658A" w:rsidRPr="0077128F" w:rsidRDefault="002C658A" w:rsidP="002C658A">
            <w:pPr>
              <w:jc w:val="center"/>
              <w:rPr>
                <w:sz w:val="22"/>
                <w:szCs w:val="22"/>
                <w:lang w:eastAsia="en-AU"/>
              </w:rPr>
            </w:pPr>
            <w:r w:rsidRPr="0077128F">
              <w:rPr>
                <w:sz w:val="22"/>
                <w:szCs w:val="22"/>
                <w:lang w:eastAsia="en-AU"/>
              </w:rPr>
              <w:t>-</w:t>
            </w:r>
          </w:p>
          <w:p w14:paraId="79F2DAB7" w14:textId="36BE11AC" w:rsidR="002C658A" w:rsidRPr="0077128F" w:rsidRDefault="002C658A" w:rsidP="002C658A">
            <w:pPr>
              <w:jc w:val="center"/>
              <w:rPr>
                <w:sz w:val="22"/>
                <w:szCs w:val="22"/>
                <w:highlight w:val="yellow"/>
                <w:lang w:eastAsia="en-AU"/>
              </w:rPr>
            </w:pPr>
            <w:r w:rsidRPr="0077128F">
              <w:rPr>
                <w:sz w:val="22"/>
                <w:szCs w:val="22"/>
                <w:lang w:eastAsia="en-AU"/>
              </w:rPr>
              <w:t>-</w:t>
            </w:r>
          </w:p>
        </w:tc>
        <w:tc>
          <w:tcPr>
            <w:tcW w:w="1688" w:type="dxa"/>
            <w:gridSpan w:val="2"/>
          </w:tcPr>
          <w:p w14:paraId="03936326" w14:textId="66CC2C54" w:rsidR="00B64415" w:rsidRPr="0077128F" w:rsidRDefault="00B64415" w:rsidP="00B64415">
            <w:pPr>
              <w:jc w:val="center"/>
              <w:rPr>
                <w:bCs/>
                <w:sz w:val="22"/>
                <w:szCs w:val="22"/>
              </w:rPr>
            </w:pPr>
            <w:r w:rsidRPr="0077128F">
              <w:rPr>
                <w:bCs/>
                <w:sz w:val="22"/>
                <w:szCs w:val="22"/>
              </w:rPr>
              <w:t>$</w:t>
            </w:r>
            <w:r w:rsidR="00997958">
              <w:rPr>
                <w:bCs/>
                <w:sz w:val="22"/>
                <w:szCs w:val="22"/>
              </w:rPr>
              <w:t>76,895</w:t>
            </w:r>
          </w:p>
          <w:p w14:paraId="484F64E6" w14:textId="0440A884" w:rsidR="00B64415" w:rsidRPr="0077128F" w:rsidRDefault="00B64415" w:rsidP="00B64415">
            <w:pPr>
              <w:jc w:val="center"/>
              <w:rPr>
                <w:bCs/>
                <w:sz w:val="22"/>
                <w:szCs w:val="22"/>
              </w:rPr>
            </w:pPr>
            <w:r w:rsidRPr="0077128F">
              <w:rPr>
                <w:bCs/>
                <w:sz w:val="22"/>
                <w:szCs w:val="22"/>
              </w:rPr>
              <w:t>$</w:t>
            </w:r>
            <w:r w:rsidR="00997958">
              <w:rPr>
                <w:bCs/>
                <w:sz w:val="22"/>
                <w:szCs w:val="22"/>
              </w:rPr>
              <w:t>61,520</w:t>
            </w:r>
          </w:p>
          <w:p w14:paraId="3283991B" w14:textId="308DE070" w:rsidR="009E484F" w:rsidRPr="0077128F" w:rsidRDefault="00B64415" w:rsidP="00997958">
            <w:pPr>
              <w:jc w:val="center"/>
              <w:rPr>
                <w:bCs/>
                <w:sz w:val="22"/>
                <w:szCs w:val="22"/>
              </w:rPr>
            </w:pPr>
            <w:r w:rsidRPr="0077128F">
              <w:rPr>
                <w:bCs/>
                <w:sz w:val="22"/>
                <w:szCs w:val="22"/>
              </w:rPr>
              <w:t>$</w:t>
            </w:r>
            <w:r w:rsidR="00997958">
              <w:rPr>
                <w:bCs/>
                <w:sz w:val="22"/>
                <w:szCs w:val="22"/>
              </w:rPr>
              <w:t>41,205</w:t>
            </w:r>
          </w:p>
        </w:tc>
      </w:tr>
      <w:tr w:rsidR="00B242F4" w:rsidRPr="0077128F" w14:paraId="7FD4C50D" w14:textId="7D9566CA" w:rsidTr="0003415E">
        <w:trPr>
          <w:trHeight w:val="610"/>
          <w:jc w:val="center"/>
        </w:trPr>
        <w:tc>
          <w:tcPr>
            <w:tcW w:w="2830" w:type="dxa"/>
            <w:shd w:val="clear" w:color="auto" w:fill="auto"/>
          </w:tcPr>
          <w:p w14:paraId="3E82895F" w14:textId="1EA0923D" w:rsidR="009E484F" w:rsidRPr="0077128F" w:rsidRDefault="009E484F" w:rsidP="001F0EA2">
            <w:pPr>
              <w:rPr>
                <w:sz w:val="22"/>
                <w:szCs w:val="22"/>
                <w:lang w:eastAsia="en-AU"/>
              </w:rPr>
            </w:pPr>
            <w:r w:rsidRPr="0077128F">
              <w:rPr>
                <w:sz w:val="22"/>
                <w:szCs w:val="22"/>
                <w:lang w:eastAsia="en-AU"/>
              </w:rPr>
              <w:t>Climate Change Council</w:t>
            </w:r>
          </w:p>
        </w:tc>
        <w:tc>
          <w:tcPr>
            <w:tcW w:w="2812" w:type="dxa"/>
            <w:shd w:val="clear" w:color="auto" w:fill="auto"/>
          </w:tcPr>
          <w:p w14:paraId="30DCCBB1" w14:textId="51AC4671" w:rsidR="009E484F" w:rsidRPr="0077128F" w:rsidRDefault="009E484F" w:rsidP="001F0EA2">
            <w:pPr>
              <w:rPr>
                <w:sz w:val="22"/>
                <w:szCs w:val="22"/>
                <w:lang w:eastAsia="en-AU"/>
              </w:rPr>
            </w:pPr>
            <w:r w:rsidRPr="0077128F">
              <w:rPr>
                <w:sz w:val="22"/>
                <w:szCs w:val="22"/>
                <w:lang w:eastAsia="en-AU"/>
              </w:rPr>
              <w:t xml:space="preserve">Chair </w:t>
            </w:r>
          </w:p>
          <w:p w14:paraId="217F1866" w14:textId="5917365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5E92779" w14:textId="59316127" w:rsidR="00CE1EFA" w:rsidRPr="0077128F" w:rsidRDefault="00CE1EFA" w:rsidP="002C658A">
            <w:pPr>
              <w:jc w:val="center"/>
              <w:rPr>
                <w:bCs/>
                <w:sz w:val="22"/>
                <w:szCs w:val="22"/>
                <w:lang w:eastAsia="en-AU"/>
              </w:rPr>
            </w:pPr>
            <w:r w:rsidRPr="0077128F">
              <w:rPr>
                <w:bCs/>
                <w:sz w:val="22"/>
                <w:szCs w:val="22"/>
              </w:rPr>
              <w:t>$5</w:t>
            </w:r>
            <w:r w:rsidR="00997958">
              <w:rPr>
                <w:bCs/>
                <w:sz w:val="22"/>
                <w:szCs w:val="22"/>
              </w:rPr>
              <w:t>70</w:t>
            </w:r>
          </w:p>
          <w:p w14:paraId="27BC59FB" w14:textId="14C538F5" w:rsidR="009E484F" w:rsidRPr="0077128F" w:rsidRDefault="00CE1EFA" w:rsidP="00997958">
            <w:pPr>
              <w:jc w:val="center"/>
              <w:rPr>
                <w:sz w:val="22"/>
                <w:szCs w:val="22"/>
                <w:lang w:eastAsia="en-AU"/>
              </w:rPr>
            </w:pPr>
            <w:r w:rsidRPr="0077128F">
              <w:rPr>
                <w:bCs/>
                <w:sz w:val="22"/>
                <w:szCs w:val="22"/>
              </w:rPr>
              <w:t>$4</w:t>
            </w:r>
            <w:r w:rsidR="00997958">
              <w:rPr>
                <w:bCs/>
                <w:sz w:val="22"/>
                <w:szCs w:val="22"/>
              </w:rPr>
              <w:t>90</w:t>
            </w:r>
          </w:p>
        </w:tc>
        <w:tc>
          <w:tcPr>
            <w:tcW w:w="1688" w:type="dxa"/>
            <w:gridSpan w:val="2"/>
          </w:tcPr>
          <w:p w14:paraId="737DF9A5" w14:textId="77777777" w:rsidR="009E484F" w:rsidRPr="0077128F" w:rsidRDefault="002C658A" w:rsidP="002C658A">
            <w:pPr>
              <w:jc w:val="center"/>
              <w:rPr>
                <w:sz w:val="22"/>
                <w:szCs w:val="22"/>
                <w:lang w:eastAsia="en-AU"/>
              </w:rPr>
            </w:pPr>
            <w:r w:rsidRPr="0077128F">
              <w:rPr>
                <w:sz w:val="22"/>
                <w:szCs w:val="22"/>
                <w:lang w:eastAsia="en-AU"/>
              </w:rPr>
              <w:t>-</w:t>
            </w:r>
          </w:p>
          <w:p w14:paraId="6795463F" w14:textId="0617FC1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36B4076" w14:textId="64B4CA42" w:rsidTr="0003415E">
        <w:trPr>
          <w:trHeight w:val="495"/>
          <w:jc w:val="center"/>
        </w:trPr>
        <w:tc>
          <w:tcPr>
            <w:tcW w:w="2830" w:type="dxa"/>
            <w:shd w:val="clear" w:color="auto" w:fill="auto"/>
          </w:tcPr>
          <w:p w14:paraId="156EB3D5" w14:textId="42DF2840" w:rsidR="009E484F" w:rsidRPr="0077128F" w:rsidRDefault="009E484F" w:rsidP="001F0EA2">
            <w:pPr>
              <w:rPr>
                <w:sz w:val="22"/>
                <w:szCs w:val="22"/>
                <w:lang w:eastAsia="en-AU"/>
              </w:rPr>
            </w:pPr>
            <w:r w:rsidRPr="0077128F">
              <w:rPr>
                <w:sz w:val="22"/>
                <w:szCs w:val="22"/>
                <w:lang w:eastAsia="en-AU"/>
              </w:rPr>
              <w:t>Corrections Adjudicator</w:t>
            </w:r>
          </w:p>
        </w:tc>
        <w:tc>
          <w:tcPr>
            <w:tcW w:w="2812" w:type="dxa"/>
            <w:shd w:val="clear" w:color="auto" w:fill="auto"/>
          </w:tcPr>
          <w:p w14:paraId="52F5A4BB" w14:textId="6A8D7B67" w:rsidR="009E484F" w:rsidRPr="0077128F" w:rsidRDefault="009E484F" w:rsidP="001F0EA2">
            <w:pPr>
              <w:rPr>
                <w:sz w:val="22"/>
                <w:szCs w:val="22"/>
                <w:lang w:eastAsia="en-AU"/>
              </w:rPr>
            </w:pPr>
            <w:r w:rsidRPr="0077128F">
              <w:rPr>
                <w:sz w:val="22"/>
                <w:szCs w:val="22"/>
                <w:lang w:eastAsia="en-AU"/>
              </w:rPr>
              <w:t xml:space="preserve">Corrections Adjudicator </w:t>
            </w:r>
          </w:p>
        </w:tc>
        <w:tc>
          <w:tcPr>
            <w:tcW w:w="1687" w:type="dxa"/>
            <w:gridSpan w:val="2"/>
            <w:shd w:val="clear" w:color="auto" w:fill="auto"/>
            <w:noWrap/>
          </w:tcPr>
          <w:p w14:paraId="34BD762C" w14:textId="06F0ACF7" w:rsidR="009E484F" w:rsidRPr="0077128F" w:rsidRDefault="00CE1EFA" w:rsidP="00997958">
            <w:pPr>
              <w:jc w:val="center"/>
              <w:rPr>
                <w:bCs/>
                <w:sz w:val="22"/>
                <w:szCs w:val="22"/>
                <w:lang w:eastAsia="en-AU"/>
              </w:rPr>
            </w:pPr>
            <w:r w:rsidRPr="0077128F">
              <w:rPr>
                <w:bCs/>
                <w:sz w:val="22"/>
                <w:szCs w:val="22"/>
              </w:rPr>
              <w:t>$5</w:t>
            </w:r>
            <w:r w:rsidR="00997958">
              <w:rPr>
                <w:bCs/>
                <w:sz w:val="22"/>
                <w:szCs w:val="22"/>
              </w:rPr>
              <w:t>70</w:t>
            </w:r>
          </w:p>
        </w:tc>
        <w:tc>
          <w:tcPr>
            <w:tcW w:w="1688" w:type="dxa"/>
            <w:gridSpan w:val="2"/>
          </w:tcPr>
          <w:p w14:paraId="06C02AFC" w14:textId="347123F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CEE061C" w14:textId="77777777" w:rsidTr="0003415E">
        <w:trPr>
          <w:trHeight w:val="610"/>
          <w:jc w:val="center"/>
        </w:trPr>
        <w:tc>
          <w:tcPr>
            <w:tcW w:w="2830" w:type="dxa"/>
            <w:shd w:val="clear" w:color="auto" w:fill="auto"/>
          </w:tcPr>
          <w:p w14:paraId="7521CAEF" w14:textId="1148D308" w:rsidR="001D466F" w:rsidRPr="0077128F" w:rsidRDefault="001D466F" w:rsidP="001D466F">
            <w:pPr>
              <w:rPr>
                <w:sz w:val="22"/>
                <w:szCs w:val="22"/>
                <w:lang w:eastAsia="en-AU"/>
              </w:rPr>
            </w:pPr>
            <w:r w:rsidRPr="0077128F">
              <w:rPr>
                <w:sz w:val="22"/>
                <w:szCs w:val="22"/>
                <w:lang w:eastAsia="en-AU"/>
              </w:rPr>
              <w:t>Creative Council</w:t>
            </w:r>
          </w:p>
        </w:tc>
        <w:tc>
          <w:tcPr>
            <w:tcW w:w="2812" w:type="dxa"/>
            <w:shd w:val="clear" w:color="auto" w:fill="auto"/>
          </w:tcPr>
          <w:p w14:paraId="4562B631" w14:textId="50C414A7" w:rsidR="001D466F" w:rsidRPr="0077128F" w:rsidRDefault="001D466F" w:rsidP="001D466F">
            <w:pPr>
              <w:rPr>
                <w:sz w:val="22"/>
                <w:szCs w:val="22"/>
                <w:lang w:eastAsia="en-AU"/>
              </w:rPr>
            </w:pPr>
            <w:r w:rsidRPr="0077128F">
              <w:rPr>
                <w:sz w:val="22"/>
                <w:szCs w:val="22"/>
                <w:lang w:eastAsia="en-AU"/>
              </w:rPr>
              <w:t xml:space="preserve">Chair </w:t>
            </w:r>
          </w:p>
          <w:p w14:paraId="76F45050" w14:textId="0D593CA3" w:rsidR="001D466F" w:rsidRPr="0077128F" w:rsidRDefault="001D466F" w:rsidP="001D466F">
            <w:pPr>
              <w:rPr>
                <w:sz w:val="22"/>
                <w:szCs w:val="22"/>
                <w:lang w:eastAsia="en-AU"/>
              </w:rPr>
            </w:pPr>
            <w:r w:rsidRPr="0077128F">
              <w:rPr>
                <w:sz w:val="22"/>
                <w:szCs w:val="22"/>
                <w:lang w:eastAsia="en-AU"/>
              </w:rPr>
              <w:t xml:space="preserve">Deputy Chair </w:t>
            </w:r>
          </w:p>
          <w:p w14:paraId="2C731CA0" w14:textId="3377F742" w:rsidR="001D466F" w:rsidRPr="0077128F" w:rsidRDefault="001D466F" w:rsidP="001D466F">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A48E1BC" w14:textId="54E4F70B" w:rsidR="001D466F" w:rsidRPr="0077128F" w:rsidRDefault="001D466F" w:rsidP="001D466F">
            <w:pPr>
              <w:jc w:val="center"/>
              <w:rPr>
                <w:bCs/>
                <w:sz w:val="22"/>
                <w:szCs w:val="22"/>
              </w:rPr>
            </w:pPr>
            <w:r w:rsidRPr="0077128F">
              <w:rPr>
                <w:bCs/>
                <w:sz w:val="22"/>
                <w:szCs w:val="22"/>
              </w:rPr>
              <w:t>$5</w:t>
            </w:r>
            <w:r w:rsidR="00997958">
              <w:rPr>
                <w:bCs/>
                <w:sz w:val="22"/>
                <w:szCs w:val="22"/>
              </w:rPr>
              <w:t>70</w:t>
            </w:r>
          </w:p>
          <w:p w14:paraId="79089B7F" w14:textId="132C613E" w:rsidR="001D466F" w:rsidRPr="0077128F" w:rsidRDefault="001D466F" w:rsidP="001D466F">
            <w:pPr>
              <w:jc w:val="center"/>
              <w:rPr>
                <w:bCs/>
                <w:sz w:val="22"/>
                <w:szCs w:val="22"/>
              </w:rPr>
            </w:pPr>
            <w:r w:rsidRPr="0077128F">
              <w:rPr>
                <w:bCs/>
                <w:sz w:val="22"/>
                <w:szCs w:val="22"/>
              </w:rPr>
              <w:t>$5</w:t>
            </w:r>
            <w:r w:rsidR="00997958">
              <w:rPr>
                <w:bCs/>
                <w:sz w:val="22"/>
                <w:szCs w:val="22"/>
              </w:rPr>
              <w:t>30</w:t>
            </w:r>
          </w:p>
          <w:p w14:paraId="571DEBE2" w14:textId="678C3127" w:rsidR="001D466F" w:rsidRPr="0077128F" w:rsidRDefault="001D466F" w:rsidP="00997958">
            <w:pPr>
              <w:jc w:val="center"/>
              <w:rPr>
                <w:sz w:val="22"/>
                <w:szCs w:val="22"/>
                <w:lang w:eastAsia="en-AU"/>
              </w:rPr>
            </w:pPr>
            <w:r w:rsidRPr="0077128F">
              <w:rPr>
                <w:bCs/>
                <w:sz w:val="22"/>
                <w:szCs w:val="22"/>
              </w:rPr>
              <w:t>$4</w:t>
            </w:r>
            <w:r w:rsidR="00997958">
              <w:rPr>
                <w:bCs/>
                <w:sz w:val="22"/>
                <w:szCs w:val="22"/>
              </w:rPr>
              <w:t>90</w:t>
            </w:r>
          </w:p>
        </w:tc>
        <w:tc>
          <w:tcPr>
            <w:tcW w:w="1688" w:type="dxa"/>
            <w:gridSpan w:val="2"/>
          </w:tcPr>
          <w:p w14:paraId="3C62CA45" w14:textId="77777777" w:rsidR="001D466F" w:rsidRPr="0077128F" w:rsidRDefault="001D466F" w:rsidP="001D466F">
            <w:pPr>
              <w:jc w:val="center"/>
              <w:rPr>
                <w:sz w:val="22"/>
                <w:szCs w:val="22"/>
                <w:lang w:eastAsia="en-AU"/>
              </w:rPr>
            </w:pPr>
            <w:r w:rsidRPr="0077128F">
              <w:rPr>
                <w:sz w:val="22"/>
                <w:szCs w:val="22"/>
                <w:lang w:eastAsia="en-AU"/>
              </w:rPr>
              <w:t>-</w:t>
            </w:r>
          </w:p>
          <w:p w14:paraId="34F687E4" w14:textId="77777777" w:rsidR="001D466F" w:rsidRPr="0077128F" w:rsidRDefault="001D466F" w:rsidP="001D466F">
            <w:pPr>
              <w:jc w:val="center"/>
              <w:rPr>
                <w:sz w:val="22"/>
                <w:szCs w:val="22"/>
                <w:lang w:eastAsia="en-AU"/>
              </w:rPr>
            </w:pPr>
            <w:r w:rsidRPr="0077128F">
              <w:rPr>
                <w:sz w:val="22"/>
                <w:szCs w:val="22"/>
                <w:lang w:eastAsia="en-AU"/>
              </w:rPr>
              <w:t>-</w:t>
            </w:r>
          </w:p>
          <w:p w14:paraId="31EF1B10" w14:textId="70C812F6" w:rsidR="001D466F" w:rsidRPr="0077128F" w:rsidRDefault="001D466F" w:rsidP="001D466F">
            <w:pPr>
              <w:jc w:val="center"/>
              <w:rPr>
                <w:bCs/>
                <w:sz w:val="22"/>
                <w:szCs w:val="22"/>
              </w:rPr>
            </w:pPr>
            <w:r w:rsidRPr="0077128F">
              <w:rPr>
                <w:sz w:val="22"/>
                <w:szCs w:val="22"/>
                <w:lang w:eastAsia="en-AU"/>
              </w:rPr>
              <w:t>-</w:t>
            </w:r>
          </w:p>
        </w:tc>
      </w:tr>
      <w:tr w:rsidR="0077128F" w:rsidRPr="0077128F" w14:paraId="499E1C26" w14:textId="153DB355" w:rsidTr="0003415E">
        <w:trPr>
          <w:trHeight w:val="610"/>
          <w:jc w:val="center"/>
        </w:trPr>
        <w:tc>
          <w:tcPr>
            <w:tcW w:w="2830" w:type="dxa"/>
            <w:shd w:val="clear" w:color="auto" w:fill="auto"/>
          </w:tcPr>
          <w:p w14:paraId="7E0F34F4" w14:textId="77777777" w:rsidR="009E484F" w:rsidRPr="0077128F" w:rsidRDefault="009E484F" w:rsidP="001F0EA2">
            <w:pPr>
              <w:rPr>
                <w:sz w:val="22"/>
                <w:szCs w:val="22"/>
                <w:lang w:eastAsia="en-AU"/>
              </w:rPr>
            </w:pPr>
            <w:r w:rsidRPr="0077128F">
              <w:rPr>
                <w:sz w:val="22"/>
                <w:szCs w:val="22"/>
                <w:lang w:eastAsia="en-AU"/>
              </w:rPr>
              <w:t>Cultural Facilities Corporation Board</w:t>
            </w:r>
          </w:p>
        </w:tc>
        <w:tc>
          <w:tcPr>
            <w:tcW w:w="2812" w:type="dxa"/>
            <w:shd w:val="clear" w:color="auto" w:fill="auto"/>
          </w:tcPr>
          <w:p w14:paraId="286F6928" w14:textId="425B696F" w:rsidR="009E484F" w:rsidRPr="0077128F" w:rsidRDefault="009E484F" w:rsidP="001F0EA2">
            <w:pPr>
              <w:rPr>
                <w:sz w:val="22"/>
                <w:szCs w:val="22"/>
                <w:lang w:eastAsia="en-AU"/>
              </w:rPr>
            </w:pPr>
            <w:r w:rsidRPr="0077128F">
              <w:rPr>
                <w:sz w:val="22"/>
                <w:szCs w:val="22"/>
                <w:lang w:eastAsia="en-AU"/>
              </w:rPr>
              <w:t xml:space="preserve">Chair </w:t>
            </w:r>
          </w:p>
          <w:p w14:paraId="5521E864" w14:textId="47E8AF40" w:rsidR="009E484F" w:rsidRPr="0077128F" w:rsidRDefault="009E484F" w:rsidP="001F0EA2">
            <w:pPr>
              <w:rPr>
                <w:sz w:val="22"/>
                <w:szCs w:val="22"/>
                <w:lang w:eastAsia="en-AU"/>
              </w:rPr>
            </w:pPr>
            <w:r w:rsidRPr="0077128F">
              <w:rPr>
                <w:sz w:val="22"/>
                <w:szCs w:val="22"/>
                <w:lang w:eastAsia="en-AU"/>
              </w:rPr>
              <w:t xml:space="preserve">Deputy </w:t>
            </w:r>
            <w:r w:rsidR="005C15D6" w:rsidRPr="0077128F">
              <w:rPr>
                <w:sz w:val="22"/>
                <w:szCs w:val="22"/>
                <w:lang w:eastAsia="en-AU"/>
              </w:rPr>
              <w:t>C</w:t>
            </w:r>
            <w:r w:rsidRPr="0077128F">
              <w:rPr>
                <w:sz w:val="22"/>
                <w:szCs w:val="22"/>
                <w:lang w:eastAsia="en-AU"/>
              </w:rPr>
              <w:t xml:space="preserve">hair </w:t>
            </w:r>
          </w:p>
          <w:p w14:paraId="10DD1B66" w14:textId="4498019E"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34CEB27" w14:textId="77777777" w:rsidR="009E484F" w:rsidRPr="0077128F" w:rsidRDefault="002C658A" w:rsidP="002C658A">
            <w:pPr>
              <w:jc w:val="center"/>
              <w:rPr>
                <w:sz w:val="22"/>
                <w:szCs w:val="22"/>
                <w:lang w:eastAsia="en-AU"/>
              </w:rPr>
            </w:pPr>
            <w:r w:rsidRPr="0077128F">
              <w:rPr>
                <w:sz w:val="22"/>
                <w:szCs w:val="22"/>
                <w:lang w:eastAsia="en-AU"/>
              </w:rPr>
              <w:t>-</w:t>
            </w:r>
          </w:p>
          <w:p w14:paraId="68E62563" w14:textId="77777777" w:rsidR="002C658A" w:rsidRPr="0077128F" w:rsidRDefault="002C658A" w:rsidP="002C658A">
            <w:pPr>
              <w:jc w:val="center"/>
              <w:rPr>
                <w:sz w:val="22"/>
                <w:szCs w:val="22"/>
                <w:lang w:eastAsia="en-AU"/>
              </w:rPr>
            </w:pPr>
            <w:r w:rsidRPr="0077128F">
              <w:rPr>
                <w:sz w:val="22"/>
                <w:szCs w:val="22"/>
                <w:lang w:eastAsia="en-AU"/>
              </w:rPr>
              <w:t>-</w:t>
            </w:r>
          </w:p>
          <w:p w14:paraId="5179D2F0" w14:textId="2BF6C1AF"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4DB1DF0" w14:textId="1412FAEF" w:rsidR="00B64415" w:rsidRPr="0077128F" w:rsidRDefault="00B64415" w:rsidP="00B64415">
            <w:pPr>
              <w:jc w:val="center"/>
              <w:rPr>
                <w:bCs/>
                <w:sz w:val="22"/>
                <w:szCs w:val="22"/>
              </w:rPr>
            </w:pPr>
            <w:r w:rsidRPr="0077128F">
              <w:rPr>
                <w:bCs/>
                <w:sz w:val="22"/>
                <w:szCs w:val="22"/>
              </w:rPr>
              <w:t>$28,</w:t>
            </w:r>
            <w:r w:rsidR="00997958">
              <w:rPr>
                <w:bCs/>
                <w:sz w:val="22"/>
                <w:szCs w:val="22"/>
              </w:rPr>
              <w:t>685</w:t>
            </w:r>
          </w:p>
          <w:p w14:paraId="351835E9" w14:textId="7E54F0C6" w:rsidR="00B64415" w:rsidRPr="0077128F" w:rsidRDefault="00B64415" w:rsidP="00B64415">
            <w:pPr>
              <w:jc w:val="center"/>
              <w:rPr>
                <w:bCs/>
                <w:sz w:val="22"/>
                <w:szCs w:val="22"/>
              </w:rPr>
            </w:pPr>
            <w:r w:rsidRPr="0077128F">
              <w:rPr>
                <w:bCs/>
                <w:sz w:val="22"/>
                <w:szCs w:val="22"/>
              </w:rPr>
              <w:t>$14,</w:t>
            </w:r>
            <w:r w:rsidR="00997958">
              <w:rPr>
                <w:bCs/>
                <w:sz w:val="22"/>
                <w:szCs w:val="22"/>
              </w:rPr>
              <w:t>355</w:t>
            </w:r>
          </w:p>
          <w:p w14:paraId="7B1576AD" w14:textId="453A1341" w:rsidR="009E484F" w:rsidRPr="0077128F" w:rsidRDefault="00B64415" w:rsidP="00997958">
            <w:pPr>
              <w:ind w:left="358" w:hanging="358"/>
              <w:jc w:val="center"/>
              <w:rPr>
                <w:bCs/>
                <w:sz w:val="22"/>
                <w:szCs w:val="22"/>
              </w:rPr>
            </w:pPr>
            <w:r w:rsidRPr="0077128F">
              <w:rPr>
                <w:bCs/>
                <w:sz w:val="22"/>
                <w:szCs w:val="22"/>
              </w:rPr>
              <w:t>$</w:t>
            </w:r>
            <w:r w:rsidR="00997958">
              <w:rPr>
                <w:bCs/>
                <w:sz w:val="22"/>
                <w:szCs w:val="22"/>
              </w:rPr>
              <w:t>10,060</w:t>
            </w:r>
          </w:p>
        </w:tc>
      </w:tr>
      <w:tr w:rsidR="0077128F" w:rsidRPr="0077128F" w14:paraId="037F5420" w14:textId="0176D0E6" w:rsidTr="0003415E">
        <w:trPr>
          <w:trHeight w:val="1129"/>
          <w:jc w:val="center"/>
        </w:trPr>
        <w:tc>
          <w:tcPr>
            <w:tcW w:w="2830" w:type="dxa"/>
            <w:shd w:val="clear" w:color="auto" w:fill="auto"/>
          </w:tcPr>
          <w:p w14:paraId="179EEDC8" w14:textId="6035284C" w:rsidR="009E484F" w:rsidRPr="0077128F" w:rsidRDefault="009E484F" w:rsidP="00D568D6">
            <w:pPr>
              <w:rPr>
                <w:sz w:val="22"/>
                <w:szCs w:val="22"/>
                <w:lang w:eastAsia="en-AU"/>
              </w:rPr>
            </w:pPr>
            <w:r w:rsidRPr="0077128F">
              <w:rPr>
                <w:sz w:val="22"/>
                <w:szCs w:val="22"/>
                <w:lang w:eastAsia="en-AU"/>
              </w:rPr>
              <w:t>Defence Industry Advisory Board</w:t>
            </w:r>
          </w:p>
        </w:tc>
        <w:tc>
          <w:tcPr>
            <w:tcW w:w="2812" w:type="dxa"/>
            <w:shd w:val="clear" w:color="auto" w:fill="auto"/>
          </w:tcPr>
          <w:p w14:paraId="4714CEF3" w14:textId="1682DC4C" w:rsidR="009E484F" w:rsidRPr="0077128F" w:rsidRDefault="009E484F" w:rsidP="001F0EA2">
            <w:pPr>
              <w:rPr>
                <w:sz w:val="22"/>
                <w:szCs w:val="22"/>
                <w:lang w:eastAsia="en-AU"/>
              </w:rPr>
            </w:pPr>
            <w:r w:rsidRPr="0077128F">
              <w:rPr>
                <w:sz w:val="22"/>
                <w:szCs w:val="22"/>
                <w:lang w:eastAsia="en-AU"/>
              </w:rPr>
              <w:t xml:space="preserve">Chair </w:t>
            </w:r>
          </w:p>
          <w:p w14:paraId="27139E3F" w14:textId="3CA991C7" w:rsidR="009E484F" w:rsidRPr="0077128F" w:rsidRDefault="009E484F" w:rsidP="008306EE">
            <w:pPr>
              <w:ind w:left="-11"/>
              <w:rPr>
                <w:sz w:val="22"/>
                <w:szCs w:val="22"/>
                <w:lang w:eastAsia="en-AU"/>
              </w:rPr>
            </w:pPr>
            <w:r w:rsidRPr="0077128F">
              <w:rPr>
                <w:sz w:val="22"/>
                <w:szCs w:val="22"/>
                <w:lang w:eastAsia="en-AU"/>
              </w:rPr>
              <w:t xml:space="preserve">Defence Ambassador </w:t>
            </w:r>
            <w:r w:rsidRPr="0077128F">
              <w:rPr>
                <w:sz w:val="22"/>
                <w:szCs w:val="22"/>
                <w:lang w:eastAsia="en-AU"/>
              </w:rPr>
              <w:br/>
              <w:t xml:space="preserve">Defence Industry Sector Member  </w:t>
            </w:r>
          </w:p>
        </w:tc>
        <w:tc>
          <w:tcPr>
            <w:tcW w:w="1687" w:type="dxa"/>
            <w:gridSpan w:val="2"/>
            <w:shd w:val="clear" w:color="auto" w:fill="auto"/>
            <w:noWrap/>
          </w:tcPr>
          <w:p w14:paraId="17CBAA3A" w14:textId="77777777" w:rsidR="009E484F" w:rsidRPr="0077128F" w:rsidRDefault="002C658A" w:rsidP="002C658A">
            <w:pPr>
              <w:jc w:val="center"/>
              <w:rPr>
                <w:sz w:val="22"/>
                <w:szCs w:val="22"/>
                <w:lang w:eastAsia="en-AU"/>
              </w:rPr>
            </w:pPr>
            <w:r w:rsidRPr="0077128F">
              <w:rPr>
                <w:sz w:val="22"/>
                <w:szCs w:val="22"/>
                <w:lang w:eastAsia="en-AU"/>
              </w:rPr>
              <w:t>-</w:t>
            </w:r>
          </w:p>
          <w:p w14:paraId="6D971BF9" w14:textId="3300323B" w:rsidR="002C658A" w:rsidRPr="0077128F" w:rsidRDefault="002C658A" w:rsidP="002C658A">
            <w:pPr>
              <w:jc w:val="center"/>
              <w:rPr>
                <w:sz w:val="22"/>
                <w:szCs w:val="22"/>
                <w:lang w:eastAsia="en-AU"/>
              </w:rPr>
            </w:pPr>
            <w:r w:rsidRPr="0077128F">
              <w:rPr>
                <w:sz w:val="22"/>
                <w:szCs w:val="22"/>
                <w:lang w:eastAsia="en-AU"/>
              </w:rPr>
              <w:t>-</w:t>
            </w:r>
          </w:p>
          <w:p w14:paraId="5E2FB321" w14:textId="77777777" w:rsidR="00B64415" w:rsidRPr="0077128F" w:rsidRDefault="00B64415" w:rsidP="002C658A">
            <w:pPr>
              <w:jc w:val="center"/>
              <w:rPr>
                <w:bCs/>
                <w:sz w:val="22"/>
                <w:szCs w:val="22"/>
              </w:rPr>
            </w:pPr>
          </w:p>
          <w:p w14:paraId="7B4E3CCC" w14:textId="3EE756A8" w:rsidR="009E484F" w:rsidRPr="0077128F" w:rsidRDefault="009E484F" w:rsidP="00997958">
            <w:pPr>
              <w:jc w:val="center"/>
              <w:rPr>
                <w:sz w:val="22"/>
                <w:szCs w:val="22"/>
                <w:lang w:eastAsia="en-AU"/>
              </w:rPr>
            </w:pPr>
            <w:r w:rsidRPr="0077128F">
              <w:rPr>
                <w:bCs/>
                <w:sz w:val="22"/>
                <w:szCs w:val="22"/>
              </w:rPr>
              <w:t>$5</w:t>
            </w:r>
            <w:r w:rsidR="00997958">
              <w:rPr>
                <w:bCs/>
                <w:sz w:val="22"/>
                <w:szCs w:val="22"/>
              </w:rPr>
              <w:t>95</w:t>
            </w:r>
          </w:p>
        </w:tc>
        <w:tc>
          <w:tcPr>
            <w:tcW w:w="1688" w:type="dxa"/>
            <w:gridSpan w:val="2"/>
          </w:tcPr>
          <w:p w14:paraId="15DED37C" w14:textId="3340669E" w:rsidR="00B64415" w:rsidRPr="0077128F" w:rsidRDefault="00B64415" w:rsidP="00B64415">
            <w:pPr>
              <w:jc w:val="center"/>
              <w:rPr>
                <w:bCs/>
                <w:sz w:val="22"/>
                <w:szCs w:val="22"/>
              </w:rPr>
            </w:pPr>
            <w:r w:rsidRPr="0077128F">
              <w:rPr>
                <w:bCs/>
                <w:sz w:val="22"/>
                <w:szCs w:val="22"/>
              </w:rPr>
              <w:t>$</w:t>
            </w:r>
            <w:r w:rsidR="00997958">
              <w:rPr>
                <w:bCs/>
                <w:sz w:val="22"/>
                <w:szCs w:val="22"/>
              </w:rPr>
              <w:t>37,515</w:t>
            </w:r>
          </w:p>
          <w:p w14:paraId="76DF43F6" w14:textId="44184FCB" w:rsidR="00B64415" w:rsidRPr="0077128F" w:rsidRDefault="00B64415" w:rsidP="00B64415">
            <w:pPr>
              <w:jc w:val="center"/>
              <w:rPr>
                <w:bCs/>
                <w:sz w:val="22"/>
                <w:szCs w:val="22"/>
              </w:rPr>
            </w:pPr>
            <w:r w:rsidRPr="0077128F">
              <w:rPr>
                <w:bCs/>
                <w:sz w:val="22"/>
                <w:szCs w:val="22"/>
              </w:rPr>
              <w:t>$</w:t>
            </w:r>
            <w:r w:rsidR="00997958">
              <w:rPr>
                <w:bCs/>
                <w:sz w:val="22"/>
                <w:szCs w:val="22"/>
              </w:rPr>
              <w:t>26,800</w:t>
            </w:r>
          </w:p>
          <w:p w14:paraId="0A40C00F" w14:textId="77777777" w:rsidR="00B64415" w:rsidRPr="0077128F" w:rsidRDefault="00B64415" w:rsidP="002C658A">
            <w:pPr>
              <w:jc w:val="center"/>
              <w:rPr>
                <w:bCs/>
                <w:sz w:val="22"/>
                <w:szCs w:val="22"/>
              </w:rPr>
            </w:pPr>
          </w:p>
          <w:p w14:paraId="4638B962" w14:textId="7CBD5529" w:rsidR="002C658A" w:rsidRPr="0077128F" w:rsidRDefault="008306EE" w:rsidP="00B64415">
            <w:pPr>
              <w:jc w:val="center"/>
              <w:rPr>
                <w:bCs/>
                <w:sz w:val="22"/>
                <w:szCs w:val="22"/>
              </w:rPr>
            </w:pPr>
            <w:r w:rsidRPr="0077128F">
              <w:rPr>
                <w:bCs/>
                <w:sz w:val="22"/>
                <w:szCs w:val="22"/>
              </w:rPr>
              <w:t>-</w:t>
            </w:r>
          </w:p>
        </w:tc>
      </w:tr>
      <w:tr w:rsidR="0077128F" w:rsidRPr="0077128F" w14:paraId="078ACCCA" w14:textId="092CB66E" w:rsidTr="0003415E">
        <w:trPr>
          <w:trHeight w:val="610"/>
          <w:jc w:val="center"/>
        </w:trPr>
        <w:tc>
          <w:tcPr>
            <w:tcW w:w="2830" w:type="dxa"/>
            <w:shd w:val="clear" w:color="auto" w:fill="auto"/>
          </w:tcPr>
          <w:p w14:paraId="75C1486D" w14:textId="591919D0" w:rsidR="009E484F" w:rsidRPr="0077128F" w:rsidRDefault="009E484F" w:rsidP="001F0EA2">
            <w:pPr>
              <w:rPr>
                <w:sz w:val="22"/>
                <w:szCs w:val="22"/>
                <w:lang w:eastAsia="en-AU"/>
              </w:rPr>
            </w:pPr>
            <w:r w:rsidRPr="0077128F">
              <w:rPr>
                <w:sz w:val="22"/>
                <w:szCs w:val="22"/>
                <w:lang w:eastAsia="en-AU"/>
              </w:rPr>
              <w:t>Disability Reference Group</w:t>
            </w:r>
          </w:p>
        </w:tc>
        <w:tc>
          <w:tcPr>
            <w:tcW w:w="2812" w:type="dxa"/>
            <w:shd w:val="clear" w:color="auto" w:fill="auto"/>
          </w:tcPr>
          <w:p w14:paraId="1304617B" w14:textId="1293636F" w:rsidR="009E484F" w:rsidRPr="0077128F" w:rsidRDefault="009E484F" w:rsidP="001F0EA2">
            <w:pPr>
              <w:rPr>
                <w:sz w:val="22"/>
                <w:szCs w:val="22"/>
                <w:lang w:eastAsia="en-AU"/>
              </w:rPr>
            </w:pPr>
            <w:r w:rsidRPr="0077128F">
              <w:rPr>
                <w:sz w:val="22"/>
                <w:szCs w:val="22"/>
                <w:lang w:eastAsia="en-AU"/>
              </w:rPr>
              <w:t xml:space="preserve">Chair </w:t>
            </w:r>
          </w:p>
          <w:p w14:paraId="2A1C641B" w14:textId="3B5A4FA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9359B73" w14:textId="77085967" w:rsidR="00A85A8C" w:rsidRPr="0077128F" w:rsidRDefault="00A85A8C" w:rsidP="002C658A">
            <w:pPr>
              <w:jc w:val="center"/>
              <w:rPr>
                <w:bCs/>
                <w:sz w:val="22"/>
                <w:szCs w:val="22"/>
                <w:lang w:eastAsia="en-AU"/>
              </w:rPr>
            </w:pPr>
            <w:r w:rsidRPr="0077128F">
              <w:rPr>
                <w:bCs/>
                <w:sz w:val="22"/>
                <w:szCs w:val="22"/>
              </w:rPr>
              <w:t>$5</w:t>
            </w:r>
            <w:r w:rsidR="00997958">
              <w:rPr>
                <w:bCs/>
                <w:sz w:val="22"/>
                <w:szCs w:val="22"/>
              </w:rPr>
              <w:t>70</w:t>
            </w:r>
          </w:p>
          <w:p w14:paraId="131AD5DA" w14:textId="31363088" w:rsidR="009E484F" w:rsidRPr="0077128F" w:rsidRDefault="00A85A8C" w:rsidP="00997958">
            <w:pPr>
              <w:jc w:val="center"/>
              <w:rPr>
                <w:sz w:val="22"/>
                <w:szCs w:val="22"/>
                <w:lang w:eastAsia="en-AU"/>
              </w:rPr>
            </w:pPr>
            <w:r w:rsidRPr="0077128F">
              <w:rPr>
                <w:bCs/>
                <w:sz w:val="22"/>
                <w:szCs w:val="22"/>
              </w:rPr>
              <w:t>$4</w:t>
            </w:r>
            <w:r w:rsidR="00997958">
              <w:rPr>
                <w:bCs/>
                <w:sz w:val="22"/>
                <w:szCs w:val="22"/>
              </w:rPr>
              <w:t>90</w:t>
            </w:r>
          </w:p>
        </w:tc>
        <w:tc>
          <w:tcPr>
            <w:tcW w:w="1688" w:type="dxa"/>
            <w:gridSpan w:val="2"/>
          </w:tcPr>
          <w:p w14:paraId="3234D521" w14:textId="77777777" w:rsidR="009E484F" w:rsidRPr="0077128F" w:rsidRDefault="002C658A" w:rsidP="002C658A">
            <w:pPr>
              <w:jc w:val="center"/>
              <w:rPr>
                <w:sz w:val="22"/>
                <w:szCs w:val="22"/>
                <w:lang w:eastAsia="en-AU"/>
              </w:rPr>
            </w:pPr>
            <w:r w:rsidRPr="0077128F">
              <w:rPr>
                <w:sz w:val="22"/>
                <w:szCs w:val="22"/>
                <w:lang w:eastAsia="en-AU"/>
              </w:rPr>
              <w:t>-</w:t>
            </w:r>
          </w:p>
          <w:p w14:paraId="135F4007" w14:textId="6B92FD6B" w:rsidR="002C658A" w:rsidRPr="0077128F" w:rsidRDefault="002C658A" w:rsidP="002C658A">
            <w:pPr>
              <w:jc w:val="center"/>
              <w:rPr>
                <w:sz w:val="22"/>
                <w:szCs w:val="22"/>
                <w:lang w:eastAsia="en-AU"/>
              </w:rPr>
            </w:pPr>
            <w:r w:rsidRPr="0077128F">
              <w:rPr>
                <w:sz w:val="22"/>
                <w:szCs w:val="22"/>
                <w:lang w:eastAsia="en-AU"/>
              </w:rPr>
              <w:t>-</w:t>
            </w:r>
          </w:p>
        </w:tc>
      </w:tr>
      <w:tr w:rsidR="00054C69" w:rsidRPr="0077128F" w14:paraId="66B2A83F" w14:textId="77777777" w:rsidTr="0003415E">
        <w:trPr>
          <w:trHeight w:val="610"/>
          <w:jc w:val="center"/>
        </w:trPr>
        <w:tc>
          <w:tcPr>
            <w:tcW w:w="2830" w:type="dxa"/>
            <w:shd w:val="clear" w:color="auto" w:fill="auto"/>
          </w:tcPr>
          <w:p w14:paraId="4B02A322" w14:textId="394158CF" w:rsidR="00054C69" w:rsidRPr="00CA7C51" w:rsidRDefault="00054C69" w:rsidP="001F0EA2">
            <w:pPr>
              <w:rPr>
                <w:color w:val="000000" w:themeColor="text1"/>
                <w:sz w:val="22"/>
                <w:szCs w:val="22"/>
                <w:lang w:eastAsia="en-AU"/>
              </w:rPr>
            </w:pPr>
            <w:r w:rsidRPr="00CA7C51">
              <w:rPr>
                <w:color w:val="000000" w:themeColor="text1"/>
                <w:sz w:val="22"/>
                <w:szCs w:val="22"/>
                <w:lang w:eastAsia="en-AU"/>
              </w:rPr>
              <w:t>Diversification and Sustainability Support Fund Advisory Board</w:t>
            </w:r>
          </w:p>
        </w:tc>
        <w:tc>
          <w:tcPr>
            <w:tcW w:w="2812" w:type="dxa"/>
            <w:shd w:val="clear" w:color="auto" w:fill="auto"/>
          </w:tcPr>
          <w:p w14:paraId="1F481BD3"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3F392BAA" w14:textId="2C6029BF"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0C047E37" w14:textId="0C1C8354" w:rsidR="00054C69" w:rsidRPr="00CA7C51" w:rsidRDefault="00D179B3" w:rsidP="002C658A">
            <w:pPr>
              <w:jc w:val="center"/>
              <w:rPr>
                <w:bCs/>
                <w:color w:val="000000" w:themeColor="text1"/>
                <w:sz w:val="22"/>
                <w:szCs w:val="22"/>
              </w:rPr>
            </w:pPr>
            <w:r w:rsidRPr="00CA7C51">
              <w:rPr>
                <w:bCs/>
                <w:color w:val="000000" w:themeColor="text1"/>
                <w:sz w:val="22"/>
                <w:szCs w:val="22"/>
              </w:rPr>
              <w:t>$570</w:t>
            </w:r>
          </w:p>
          <w:p w14:paraId="0F4CEA35" w14:textId="37C43105" w:rsidR="00054C69" w:rsidRPr="00CA7C51" w:rsidRDefault="00D179B3" w:rsidP="002C658A">
            <w:pPr>
              <w:jc w:val="center"/>
              <w:rPr>
                <w:bCs/>
                <w:color w:val="000000" w:themeColor="text1"/>
                <w:sz w:val="22"/>
                <w:szCs w:val="22"/>
              </w:rPr>
            </w:pPr>
            <w:r w:rsidRPr="00CA7C51">
              <w:rPr>
                <w:bCs/>
                <w:color w:val="000000" w:themeColor="text1"/>
                <w:sz w:val="22"/>
                <w:szCs w:val="22"/>
              </w:rPr>
              <w:t>$490</w:t>
            </w:r>
          </w:p>
        </w:tc>
        <w:tc>
          <w:tcPr>
            <w:tcW w:w="1688" w:type="dxa"/>
            <w:gridSpan w:val="2"/>
          </w:tcPr>
          <w:p w14:paraId="14C1B7BE" w14:textId="4F046F73" w:rsidR="00054C69" w:rsidRPr="00054C69" w:rsidRDefault="00054C69" w:rsidP="002C658A">
            <w:pPr>
              <w:jc w:val="center"/>
              <w:rPr>
                <w:color w:val="FF0000"/>
                <w:sz w:val="22"/>
                <w:szCs w:val="22"/>
                <w:lang w:eastAsia="en-AU"/>
              </w:rPr>
            </w:pPr>
            <w:r w:rsidRPr="00054C69">
              <w:rPr>
                <w:color w:val="FF0000"/>
                <w:sz w:val="22"/>
                <w:szCs w:val="22"/>
                <w:lang w:eastAsia="en-AU"/>
              </w:rPr>
              <w:t>-</w:t>
            </w:r>
          </w:p>
        </w:tc>
      </w:tr>
      <w:tr w:rsidR="0077128F" w:rsidRPr="0077128F" w14:paraId="7E7B8042" w14:textId="48280A82" w:rsidTr="0003415E">
        <w:trPr>
          <w:trHeight w:val="610"/>
          <w:jc w:val="center"/>
        </w:trPr>
        <w:tc>
          <w:tcPr>
            <w:tcW w:w="2830" w:type="dxa"/>
            <w:shd w:val="clear" w:color="auto" w:fill="auto"/>
            <w:hideMark/>
          </w:tcPr>
          <w:p w14:paraId="70BD69C9" w14:textId="2FE1269C" w:rsidR="009E484F" w:rsidRPr="0077128F" w:rsidRDefault="009E484F" w:rsidP="001F0EA2">
            <w:pPr>
              <w:rPr>
                <w:sz w:val="22"/>
                <w:szCs w:val="22"/>
                <w:lang w:eastAsia="en-AU"/>
              </w:rPr>
            </w:pPr>
            <w:r w:rsidRPr="0077128F">
              <w:rPr>
                <w:sz w:val="22"/>
                <w:szCs w:val="22"/>
                <w:lang w:eastAsia="en-AU"/>
              </w:rPr>
              <w:t>Electoral Commission</w:t>
            </w:r>
          </w:p>
        </w:tc>
        <w:tc>
          <w:tcPr>
            <w:tcW w:w="2812" w:type="dxa"/>
            <w:shd w:val="clear" w:color="auto" w:fill="auto"/>
            <w:hideMark/>
          </w:tcPr>
          <w:p w14:paraId="2D902D72" w14:textId="7675F15B" w:rsidR="009E484F" w:rsidRPr="0077128F" w:rsidRDefault="009E484F" w:rsidP="001F0EA2">
            <w:pPr>
              <w:rPr>
                <w:sz w:val="22"/>
                <w:szCs w:val="22"/>
                <w:lang w:eastAsia="en-AU"/>
              </w:rPr>
            </w:pPr>
            <w:r w:rsidRPr="0077128F">
              <w:rPr>
                <w:sz w:val="22"/>
                <w:szCs w:val="22"/>
                <w:lang w:eastAsia="en-AU"/>
              </w:rPr>
              <w:t xml:space="preserve">Chair </w:t>
            </w:r>
          </w:p>
          <w:p w14:paraId="0F2C37C6" w14:textId="25B923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110EE68" w14:textId="77777777" w:rsidR="009E484F" w:rsidRPr="0077128F" w:rsidRDefault="002C658A" w:rsidP="002C658A">
            <w:pPr>
              <w:jc w:val="center"/>
              <w:rPr>
                <w:sz w:val="22"/>
                <w:szCs w:val="22"/>
                <w:lang w:eastAsia="en-AU"/>
              </w:rPr>
            </w:pPr>
            <w:r w:rsidRPr="0077128F">
              <w:rPr>
                <w:sz w:val="22"/>
                <w:szCs w:val="22"/>
                <w:lang w:eastAsia="en-AU"/>
              </w:rPr>
              <w:t>-</w:t>
            </w:r>
          </w:p>
          <w:p w14:paraId="59ED44F6" w14:textId="0E931FE5"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3D6DE0B7" w14:textId="55D2F081" w:rsidR="00B64415" w:rsidRPr="0077128F" w:rsidRDefault="00B64415" w:rsidP="00B64415">
            <w:pPr>
              <w:jc w:val="center"/>
              <w:rPr>
                <w:bCs/>
                <w:sz w:val="22"/>
                <w:szCs w:val="22"/>
              </w:rPr>
            </w:pPr>
            <w:r w:rsidRPr="0077128F">
              <w:rPr>
                <w:bCs/>
                <w:sz w:val="22"/>
                <w:szCs w:val="22"/>
              </w:rPr>
              <w:t>$</w:t>
            </w:r>
            <w:r w:rsidR="00997958">
              <w:rPr>
                <w:bCs/>
                <w:sz w:val="22"/>
                <w:szCs w:val="22"/>
              </w:rPr>
              <w:t>35,425</w:t>
            </w:r>
          </w:p>
          <w:p w14:paraId="4327FF62" w14:textId="6A611239" w:rsidR="009E484F" w:rsidRPr="0077128F" w:rsidRDefault="00B64415" w:rsidP="00997958">
            <w:pPr>
              <w:jc w:val="center"/>
              <w:rPr>
                <w:bCs/>
                <w:sz w:val="22"/>
                <w:szCs w:val="22"/>
              </w:rPr>
            </w:pPr>
            <w:r w:rsidRPr="0077128F">
              <w:rPr>
                <w:bCs/>
                <w:sz w:val="22"/>
                <w:szCs w:val="22"/>
              </w:rPr>
              <w:t>$</w:t>
            </w:r>
            <w:r w:rsidR="00997958">
              <w:rPr>
                <w:bCs/>
                <w:sz w:val="22"/>
                <w:szCs w:val="22"/>
              </w:rPr>
              <w:t>22,215</w:t>
            </w:r>
          </w:p>
        </w:tc>
      </w:tr>
      <w:tr w:rsidR="0077128F" w:rsidRPr="0077128F" w14:paraId="1440660E" w14:textId="707D2A7D" w:rsidTr="0003415E">
        <w:trPr>
          <w:trHeight w:val="684"/>
          <w:jc w:val="center"/>
        </w:trPr>
        <w:tc>
          <w:tcPr>
            <w:tcW w:w="2830" w:type="dxa"/>
            <w:tcBorders>
              <w:bottom w:val="single" w:sz="4" w:space="0" w:color="auto"/>
            </w:tcBorders>
            <w:shd w:val="clear" w:color="auto" w:fill="auto"/>
            <w:hideMark/>
          </w:tcPr>
          <w:p w14:paraId="53B715D6" w14:textId="0196BB11" w:rsidR="009E484F" w:rsidRPr="0077128F" w:rsidRDefault="009E484F" w:rsidP="001F0EA2">
            <w:pPr>
              <w:rPr>
                <w:sz w:val="22"/>
                <w:szCs w:val="22"/>
                <w:lang w:eastAsia="en-AU"/>
              </w:rPr>
            </w:pPr>
            <w:r w:rsidRPr="0077128F">
              <w:rPr>
                <w:sz w:val="22"/>
                <w:szCs w:val="22"/>
                <w:lang w:eastAsia="en-AU"/>
              </w:rPr>
              <w:lastRenderedPageBreak/>
              <w:t>Electrical Advisory Board</w:t>
            </w:r>
          </w:p>
        </w:tc>
        <w:tc>
          <w:tcPr>
            <w:tcW w:w="2812" w:type="dxa"/>
            <w:tcBorders>
              <w:bottom w:val="single" w:sz="4" w:space="0" w:color="auto"/>
            </w:tcBorders>
            <w:shd w:val="clear" w:color="auto" w:fill="auto"/>
            <w:hideMark/>
          </w:tcPr>
          <w:p w14:paraId="31CDA47C" w14:textId="12AE613C" w:rsidR="009E484F" w:rsidRPr="0077128F" w:rsidRDefault="009E484F" w:rsidP="001F0EA2">
            <w:pPr>
              <w:rPr>
                <w:sz w:val="22"/>
                <w:szCs w:val="22"/>
                <w:lang w:eastAsia="en-AU"/>
              </w:rPr>
            </w:pPr>
            <w:r w:rsidRPr="0077128F">
              <w:rPr>
                <w:sz w:val="22"/>
                <w:szCs w:val="22"/>
                <w:lang w:eastAsia="en-AU"/>
              </w:rPr>
              <w:t xml:space="preserve">Chair </w:t>
            </w:r>
          </w:p>
          <w:p w14:paraId="392BF88C" w14:textId="46D4EAA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0C58EF01" w14:textId="42BDE34B" w:rsidR="001F610C" w:rsidRPr="0077128F" w:rsidRDefault="001F610C" w:rsidP="002C658A">
            <w:pPr>
              <w:jc w:val="center"/>
              <w:rPr>
                <w:bCs/>
                <w:sz w:val="22"/>
                <w:szCs w:val="22"/>
                <w:lang w:eastAsia="en-AU"/>
              </w:rPr>
            </w:pPr>
            <w:r w:rsidRPr="0077128F">
              <w:rPr>
                <w:bCs/>
                <w:sz w:val="22"/>
                <w:szCs w:val="22"/>
              </w:rPr>
              <w:t>$5</w:t>
            </w:r>
            <w:r w:rsidR="00997958">
              <w:rPr>
                <w:bCs/>
                <w:sz w:val="22"/>
                <w:szCs w:val="22"/>
              </w:rPr>
              <w:t>70</w:t>
            </w:r>
          </w:p>
          <w:p w14:paraId="5BEC5331" w14:textId="77CC777C" w:rsidR="009E484F" w:rsidRPr="0077128F" w:rsidRDefault="001F610C" w:rsidP="00997958">
            <w:pPr>
              <w:jc w:val="center"/>
              <w:rPr>
                <w:sz w:val="22"/>
                <w:szCs w:val="22"/>
                <w:lang w:eastAsia="en-AU"/>
              </w:rPr>
            </w:pPr>
            <w:r w:rsidRPr="0077128F">
              <w:rPr>
                <w:bCs/>
                <w:sz w:val="22"/>
                <w:szCs w:val="22"/>
              </w:rPr>
              <w:t>$4</w:t>
            </w:r>
            <w:r w:rsidR="00997958">
              <w:rPr>
                <w:bCs/>
                <w:sz w:val="22"/>
                <w:szCs w:val="22"/>
              </w:rPr>
              <w:t>90</w:t>
            </w:r>
          </w:p>
        </w:tc>
        <w:tc>
          <w:tcPr>
            <w:tcW w:w="1688" w:type="dxa"/>
            <w:gridSpan w:val="2"/>
            <w:tcBorders>
              <w:bottom w:val="single" w:sz="4" w:space="0" w:color="auto"/>
            </w:tcBorders>
          </w:tcPr>
          <w:p w14:paraId="3D3B5351" w14:textId="77777777" w:rsidR="009E484F" w:rsidRPr="0077128F" w:rsidRDefault="002C658A" w:rsidP="002C658A">
            <w:pPr>
              <w:jc w:val="center"/>
              <w:rPr>
                <w:sz w:val="22"/>
                <w:szCs w:val="22"/>
                <w:lang w:eastAsia="en-AU"/>
              </w:rPr>
            </w:pPr>
            <w:r w:rsidRPr="0077128F">
              <w:rPr>
                <w:sz w:val="22"/>
                <w:szCs w:val="22"/>
                <w:lang w:eastAsia="en-AU"/>
              </w:rPr>
              <w:t>-</w:t>
            </w:r>
          </w:p>
          <w:p w14:paraId="0CD40017" w14:textId="7530EADF"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198BFB45" w14:textId="3C141D71" w:rsidTr="0003415E">
        <w:trPr>
          <w:trHeight w:val="607"/>
          <w:jc w:val="center"/>
        </w:trPr>
        <w:tc>
          <w:tcPr>
            <w:tcW w:w="2830" w:type="dxa"/>
            <w:tcBorders>
              <w:bottom w:val="single" w:sz="4" w:space="0" w:color="auto"/>
            </w:tcBorders>
            <w:shd w:val="clear" w:color="auto" w:fill="auto"/>
            <w:hideMark/>
          </w:tcPr>
          <w:p w14:paraId="0E372B1A" w14:textId="27F821AE" w:rsidR="009E484F" w:rsidRPr="0077128F" w:rsidRDefault="009E484F" w:rsidP="001F0EA2">
            <w:pPr>
              <w:rPr>
                <w:sz w:val="22"/>
                <w:szCs w:val="22"/>
                <w:lang w:eastAsia="en-AU"/>
              </w:rPr>
            </w:pPr>
            <w:r w:rsidRPr="0077128F">
              <w:rPr>
                <w:sz w:val="22"/>
                <w:szCs w:val="22"/>
                <w:lang w:eastAsia="en-AU"/>
              </w:rPr>
              <w:t>Gambling and Racing Commission Board</w:t>
            </w:r>
          </w:p>
        </w:tc>
        <w:tc>
          <w:tcPr>
            <w:tcW w:w="2812" w:type="dxa"/>
            <w:tcBorders>
              <w:bottom w:val="single" w:sz="4" w:space="0" w:color="auto"/>
            </w:tcBorders>
            <w:shd w:val="clear" w:color="auto" w:fill="auto"/>
            <w:hideMark/>
          </w:tcPr>
          <w:p w14:paraId="757D3FA3" w14:textId="4A8C0289" w:rsidR="009E484F" w:rsidRPr="0077128F" w:rsidRDefault="009E484F" w:rsidP="001F0EA2">
            <w:pPr>
              <w:rPr>
                <w:sz w:val="22"/>
                <w:szCs w:val="22"/>
                <w:lang w:eastAsia="en-AU"/>
              </w:rPr>
            </w:pPr>
            <w:r w:rsidRPr="0077128F">
              <w:rPr>
                <w:sz w:val="22"/>
                <w:szCs w:val="22"/>
                <w:lang w:eastAsia="en-AU"/>
              </w:rPr>
              <w:t xml:space="preserve">Chair </w:t>
            </w:r>
          </w:p>
          <w:p w14:paraId="60FF3D15" w14:textId="784A192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70AF64F8" w14:textId="77777777" w:rsidR="009E484F" w:rsidRPr="0077128F" w:rsidRDefault="002C658A" w:rsidP="002C658A">
            <w:pPr>
              <w:jc w:val="center"/>
              <w:rPr>
                <w:sz w:val="22"/>
                <w:szCs w:val="22"/>
                <w:lang w:eastAsia="en-AU"/>
              </w:rPr>
            </w:pPr>
            <w:r w:rsidRPr="0077128F">
              <w:rPr>
                <w:sz w:val="22"/>
                <w:szCs w:val="22"/>
                <w:lang w:eastAsia="en-AU"/>
              </w:rPr>
              <w:t>-</w:t>
            </w:r>
          </w:p>
          <w:p w14:paraId="708AD7F6" w14:textId="7FFD4807"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318670B7" w14:textId="709969DC" w:rsidR="00A90FBE" w:rsidRPr="0077128F" w:rsidRDefault="00A90FBE" w:rsidP="00A90FBE">
            <w:pPr>
              <w:jc w:val="center"/>
              <w:rPr>
                <w:bCs/>
                <w:sz w:val="22"/>
                <w:szCs w:val="22"/>
              </w:rPr>
            </w:pPr>
            <w:r w:rsidRPr="0077128F">
              <w:rPr>
                <w:bCs/>
                <w:sz w:val="22"/>
                <w:szCs w:val="22"/>
              </w:rPr>
              <w:t>$</w:t>
            </w:r>
            <w:r w:rsidR="00997958">
              <w:rPr>
                <w:bCs/>
                <w:sz w:val="22"/>
                <w:szCs w:val="22"/>
              </w:rPr>
              <w:t>54,595</w:t>
            </w:r>
          </w:p>
          <w:p w14:paraId="6ABA3C88" w14:textId="4FE9223C" w:rsidR="009E484F" w:rsidRPr="0077128F" w:rsidRDefault="00A90FBE" w:rsidP="00997958">
            <w:pPr>
              <w:jc w:val="center"/>
              <w:rPr>
                <w:bCs/>
                <w:sz w:val="22"/>
                <w:szCs w:val="22"/>
              </w:rPr>
            </w:pPr>
            <w:r w:rsidRPr="0077128F">
              <w:rPr>
                <w:bCs/>
                <w:sz w:val="22"/>
                <w:szCs w:val="22"/>
              </w:rPr>
              <w:t>$</w:t>
            </w:r>
            <w:r w:rsidR="00997958">
              <w:rPr>
                <w:bCs/>
                <w:sz w:val="22"/>
                <w:szCs w:val="22"/>
              </w:rPr>
              <w:t>26,485</w:t>
            </w:r>
          </w:p>
        </w:tc>
      </w:tr>
      <w:tr w:rsidR="0077128F" w:rsidRPr="0077128F" w14:paraId="5869B0C4" w14:textId="05B12E5D" w:rsidTr="0003415E">
        <w:trPr>
          <w:trHeight w:val="610"/>
          <w:jc w:val="center"/>
        </w:trPr>
        <w:tc>
          <w:tcPr>
            <w:tcW w:w="2830" w:type="dxa"/>
            <w:tcBorders>
              <w:bottom w:val="single" w:sz="4" w:space="0" w:color="auto"/>
            </w:tcBorders>
            <w:shd w:val="clear" w:color="auto" w:fill="auto"/>
            <w:hideMark/>
          </w:tcPr>
          <w:p w14:paraId="0C164572" w14:textId="13C176F5" w:rsidR="009E484F" w:rsidRPr="0077128F" w:rsidRDefault="009E484F" w:rsidP="001F0EA2">
            <w:pPr>
              <w:rPr>
                <w:sz w:val="22"/>
                <w:szCs w:val="22"/>
                <w:lang w:eastAsia="en-AU"/>
              </w:rPr>
            </w:pPr>
            <w:r w:rsidRPr="0077128F">
              <w:rPr>
                <w:sz w:val="22"/>
                <w:szCs w:val="22"/>
                <w:lang w:eastAsia="en-AU"/>
              </w:rPr>
              <w:t>Government Procurement Board</w:t>
            </w:r>
          </w:p>
        </w:tc>
        <w:tc>
          <w:tcPr>
            <w:tcW w:w="2812" w:type="dxa"/>
            <w:tcBorders>
              <w:bottom w:val="single" w:sz="4" w:space="0" w:color="auto"/>
            </w:tcBorders>
            <w:shd w:val="clear" w:color="auto" w:fill="auto"/>
            <w:hideMark/>
          </w:tcPr>
          <w:p w14:paraId="4D72D7A4" w14:textId="4DB3259C" w:rsidR="009E484F" w:rsidRPr="0077128F" w:rsidRDefault="009E484F" w:rsidP="001F0EA2">
            <w:pPr>
              <w:rPr>
                <w:sz w:val="22"/>
                <w:szCs w:val="22"/>
                <w:lang w:eastAsia="en-AU"/>
              </w:rPr>
            </w:pPr>
            <w:r w:rsidRPr="0077128F">
              <w:rPr>
                <w:sz w:val="22"/>
                <w:szCs w:val="22"/>
                <w:lang w:eastAsia="en-AU"/>
              </w:rPr>
              <w:t xml:space="preserve">Chair </w:t>
            </w:r>
          </w:p>
          <w:p w14:paraId="49C79561" w14:textId="6CB6C00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32C12922" w14:textId="77777777" w:rsidR="009E484F" w:rsidRPr="0077128F" w:rsidRDefault="002C658A" w:rsidP="002C658A">
            <w:pPr>
              <w:jc w:val="center"/>
              <w:rPr>
                <w:sz w:val="22"/>
                <w:szCs w:val="22"/>
                <w:lang w:eastAsia="en-AU"/>
              </w:rPr>
            </w:pPr>
            <w:r w:rsidRPr="0077128F">
              <w:rPr>
                <w:sz w:val="22"/>
                <w:szCs w:val="22"/>
                <w:lang w:eastAsia="en-AU"/>
              </w:rPr>
              <w:t>-</w:t>
            </w:r>
          </w:p>
          <w:p w14:paraId="77A036F8" w14:textId="2456DCCA"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22B089E1" w14:textId="689A3D9A" w:rsidR="00A90FBE" w:rsidRPr="0077128F" w:rsidRDefault="00A90FBE" w:rsidP="00A90FBE">
            <w:pPr>
              <w:jc w:val="center"/>
              <w:rPr>
                <w:bCs/>
                <w:sz w:val="22"/>
                <w:szCs w:val="22"/>
              </w:rPr>
            </w:pPr>
            <w:r w:rsidRPr="0077128F">
              <w:rPr>
                <w:bCs/>
                <w:sz w:val="22"/>
                <w:szCs w:val="22"/>
              </w:rPr>
              <w:t>$34,</w:t>
            </w:r>
            <w:r w:rsidR="00997958">
              <w:rPr>
                <w:bCs/>
                <w:sz w:val="22"/>
                <w:szCs w:val="22"/>
              </w:rPr>
              <w:t>810</w:t>
            </w:r>
          </w:p>
          <w:p w14:paraId="794C4A0C" w14:textId="5396A001" w:rsidR="009E484F" w:rsidRPr="0077128F" w:rsidRDefault="00A90FBE" w:rsidP="00997958">
            <w:pPr>
              <w:jc w:val="center"/>
              <w:rPr>
                <w:bCs/>
                <w:sz w:val="22"/>
                <w:szCs w:val="22"/>
              </w:rPr>
            </w:pPr>
            <w:r w:rsidRPr="0077128F">
              <w:rPr>
                <w:bCs/>
                <w:sz w:val="22"/>
                <w:szCs w:val="22"/>
              </w:rPr>
              <w:t>$</w:t>
            </w:r>
            <w:r w:rsidR="00997958">
              <w:rPr>
                <w:bCs/>
                <w:sz w:val="22"/>
                <w:szCs w:val="22"/>
              </w:rPr>
              <w:t>27,170</w:t>
            </w:r>
          </w:p>
        </w:tc>
      </w:tr>
      <w:tr w:rsidR="0077128F" w:rsidRPr="0077128F" w14:paraId="7B47B5F0" w14:textId="7EC1AB43" w:rsidTr="0003415E">
        <w:trPr>
          <w:trHeight w:val="610"/>
          <w:jc w:val="center"/>
        </w:trPr>
        <w:tc>
          <w:tcPr>
            <w:tcW w:w="2830" w:type="dxa"/>
            <w:shd w:val="clear" w:color="auto" w:fill="auto"/>
            <w:hideMark/>
          </w:tcPr>
          <w:p w14:paraId="041BEAC1" w14:textId="3753C91B" w:rsidR="009E484F" w:rsidRPr="0077128F" w:rsidRDefault="009E484F" w:rsidP="001F0EA2">
            <w:pPr>
              <w:rPr>
                <w:sz w:val="22"/>
                <w:szCs w:val="22"/>
                <w:lang w:eastAsia="en-AU"/>
              </w:rPr>
            </w:pPr>
            <w:r w:rsidRPr="0077128F">
              <w:rPr>
                <w:sz w:val="22"/>
                <w:szCs w:val="22"/>
                <w:lang w:eastAsia="en-AU"/>
              </w:rPr>
              <w:t xml:space="preserve">Heritage Council </w:t>
            </w:r>
          </w:p>
        </w:tc>
        <w:tc>
          <w:tcPr>
            <w:tcW w:w="2812" w:type="dxa"/>
            <w:shd w:val="clear" w:color="auto" w:fill="auto"/>
            <w:hideMark/>
          </w:tcPr>
          <w:p w14:paraId="3E098F4F" w14:textId="713BCB4E" w:rsidR="009E484F" w:rsidRPr="0077128F" w:rsidRDefault="009E484F" w:rsidP="001F0EA2">
            <w:pPr>
              <w:rPr>
                <w:sz w:val="22"/>
                <w:szCs w:val="22"/>
                <w:lang w:eastAsia="en-AU"/>
              </w:rPr>
            </w:pPr>
            <w:r w:rsidRPr="0077128F">
              <w:rPr>
                <w:sz w:val="22"/>
                <w:szCs w:val="22"/>
                <w:lang w:eastAsia="en-AU"/>
              </w:rPr>
              <w:t xml:space="preserve">Chair </w:t>
            </w:r>
          </w:p>
          <w:p w14:paraId="0FCB8F16" w14:textId="1DF3751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F3CFA1D" w14:textId="1364DD1D" w:rsidR="009E484F" w:rsidRPr="0077128F" w:rsidRDefault="009E484F" w:rsidP="002C658A">
            <w:pPr>
              <w:jc w:val="center"/>
              <w:rPr>
                <w:bCs/>
                <w:sz w:val="22"/>
                <w:szCs w:val="22"/>
              </w:rPr>
            </w:pPr>
            <w:r w:rsidRPr="0077128F">
              <w:rPr>
                <w:bCs/>
                <w:sz w:val="22"/>
                <w:szCs w:val="22"/>
              </w:rPr>
              <w:t>$</w:t>
            </w:r>
            <w:r w:rsidR="00A90FBE" w:rsidRPr="0077128F">
              <w:rPr>
                <w:bCs/>
                <w:sz w:val="22"/>
                <w:szCs w:val="22"/>
              </w:rPr>
              <w:t>7</w:t>
            </w:r>
            <w:r w:rsidR="00997958">
              <w:rPr>
                <w:bCs/>
                <w:sz w:val="22"/>
                <w:szCs w:val="22"/>
              </w:rPr>
              <w:t>25</w:t>
            </w:r>
          </w:p>
          <w:p w14:paraId="3153EA13" w14:textId="0E806D53" w:rsidR="009E484F" w:rsidRPr="0077128F" w:rsidRDefault="001F610C" w:rsidP="00997958">
            <w:pPr>
              <w:jc w:val="center"/>
              <w:rPr>
                <w:bCs/>
                <w:sz w:val="22"/>
                <w:szCs w:val="22"/>
              </w:rPr>
            </w:pPr>
            <w:r w:rsidRPr="0077128F">
              <w:rPr>
                <w:bCs/>
                <w:sz w:val="22"/>
                <w:szCs w:val="22"/>
              </w:rPr>
              <w:t>$5</w:t>
            </w:r>
            <w:r w:rsidR="00997958">
              <w:rPr>
                <w:bCs/>
                <w:sz w:val="22"/>
                <w:szCs w:val="22"/>
              </w:rPr>
              <w:t>70</w:t>
            </w:r>
          </w:p>
        </w:tc>
        <w:tc>
          <w:tcPr>
            <w:tcW w:w="1688" w:type="dxa"/>
            <w:gridSpan w:val="2"/>
          </w:tcPr>
          <w:p w14:paraId="3360EBE7" w14:textId="77777777" w:rsidR="009E484F" w:rsidRPr="0077128F" w:rsidRDefault="002C658A" w:rsidP="002C658A">
            <w:pPr>
              <w:jc w:val="center"/>
              <w:rPr>
                <w:sz w:val="22"/>
                <w:szCs w:val="22"/>
                <w:lang w:eastAsia="en-AU"/>
              </w:rPr>
            </w:pPr>
            <w:r w:rsidRPr="0077128F">
              <w:rPr>
                <w:sz w:val="22"/>
                <w:szCs w:val="22"/>
                <w:lang w:eastAsia="en-AU"/>
              </w:rPr>
              <w:t>-</w:t>
            </w:r>
          </w:p>
          <w:p w14:paraId="66D421BF" w14:textId="3FDD8B55" w:rsidR="002C658A" w:rsidRPr="0077128F" w:rsidRDefault="002C658A" w:rsidP="002C658A">
            <w:pPr>
              <w:jc w:val="center"/>
              <w:rPr>
                <w:sz w:val="22"/>
                <w:szCs w:val="22"/>
                <w:lang w:eastAsia="en-AU"/>
              </w:rPr>
            </w:pPr>
            <w:r w:rsidRPr="0077128F">
              <w:rPr>
                <w:sz w:val="22"/>
                <w:szCs w:val="22"/>
                <w:lang w:eastAsia="en-AU"/>
              </w:rPr>
              <w:t>-</w:t>
            </w:r>
          </w:p>
        </w:tc>
      </w:tr>
      <w:tr w:rsidR="000C1091" w:rsidRPr="0077128F" w14:paraId="73AB8499" w14:textId="77777777" w:rsidTr="0003415E">
        <w:trPr>
          <w:trHeight w:val="637"/>
          <w:jc w:val="center"/>
        </w:trPr>
        <w:tc>
          <w:tcPr>
            <w:tcW w:w="2830" w:type="dxa"/>
            <w:shd w:val="clear" w:color="auto" w:fill="auto"/>
          </w:tcPr>
          <w:p w14:paraId="77C1FEB4" w14:textId="3AC72DEC" w:rsidR="000C1091" w:rsidRPr="0077128F" w:rsidRDefault="000C1091" w:rsidP="000C1091">
            <w:pPr>
              <w:rPr>
                <w:sz w:val="22"/>
                <w:szCs w:val="22"/>
                <w:lang w:eastAsia="en-AU"/>
              </w:rPr>
            </w:pPr>
            <w:r w:rsidRPr="0077128F">
              <w:rPr>
                <w:sz w:val="22"/>
                <w:szCs w:val="22"/>
                <w:lang w:eastAsia="en-AU"/>
              </w:rPr>
              <w:t>Independent Advisor, Working with Vulnerable People</w:t>
            </w:r>
          </w:p>
        </w:tc>
        <w:tc>
          <w:tcPr>
            <w:tcW w:w="2812" w:type="dxa"/>
            <w:shd w:val="clear" w:color="auto" w:fill="auto"/>
          </w:tcPr>
          <w:p w14:paraId="6855285D" w14:textId="06397FF1" w:rsidR="000C1091" w:rsidRPr="0077128F" w:rsidRDefault="000C1091" w:rsidP="000C1091">
            <w:pPr>
              <w:rPr>
                <w:sz w:val="22"/>
                <w:szCs w:val="22"/>
                <w:lang w:eastAsia="en-AU"/>
              </w:rPr>
            </w:pPr>
            <w:r w:rsidRPr="0077128F">
              <w:rPr>
                <w:sz w:val="22"/>
                <w:szCs w:val="22"/>
                <w:lang w:eastAsia="en-AU"/>
              </w:rPr>
              <w:t>Independent Advisor</w:t>
            </w:r>
          </w:p>
        </w:tc>
        <w:tc>
          <w:tcPr>
            <w:tcW w:w="1687" w:type="dxa"/>
            <w:gridSpan w:val="2"/>
            <w:shd w:val="clear" w:color="auto" w:fill="auto"/>
            <w:noWrap/>
          </w:tcPr>
          <w:p w14:paraId="25FA640F" w14:textId="32F872FC" w:rsidR="000C1091" w:rsidRPr="0077128F" w:rsidRDefault="000C1091" w:rsidP="00997958">
            <w:pPr>
              <w:jc w:val="center"/>
              <w:rPr>
                <w:bCs/>
                <w:sz w:val="22"/>
                <w:szCs w:val="22"/>
              </w:rPr>
            </w:pPr>
            <w:r w:rsidRPr="0077128F">
              <w:rPr>
                <w:bCs/>
                <w:sz w:val="22"/>
                <w:szCs w:val="22"/>
              </w:rPr>
              <w:t>$5</w:t>
            </w:r>
            <w:r w:rsidR="00997958">
              <w:rPr>
                <w:bCs/>
                <w:sz w:val="22"/>
                <w:szCs w:val="22"/>
              </w:rPr>
              <w:t>70</w:t>
            </w:r>
          </w:p>
        </w:tc>
        <w:tc>
          <w:tcPr>
            <w:tcW w:w="1688" w:type="dxa"/>
            <w:gridSpan w:val="2"/>
          </w:tcPr>
          <w:p w14:paraId="11DD58FC" w14:textId="5460C390" w:rsidR="000C1091" w:rsidRPr="0077128F" w:rsidRDefault="000C1091" w:rsidP="000C1091">
            <w:pPr>
              <w:jc w:val="center"/>
              <w:rPr>
                <w:sz w:val="22"/>
                <w:szCs w:val="22"/>
                <w:lang w:eastAsia="en-AU"/>
              </w:rPr>
            </w:pPr>
            <w:r w:rsidRPr="0077128F">
              <w:rPr>
                <w:sz w:val="22"/>
                <w:szCs w:val="22"/>
                <w:lang w:eastAsia="en-AU"/>
              </w:rPr>
              <w:t>-</w:t>
            </w:r>
          </w:p>
        </w:tc>
      </w:tr>
      <w:tr w:rsidR="0077128F" w:rsidRPr="0077128F" w14:paraId="265FF794" w14:textId="731F98B1" w:rsidTr="0003415E">
        <w:trPr>
          <w:trHeight w:val="637"/>
          <w:jc w:val="center"/>
        </w:trPr>
        <w:tc>
          <w:tcPr>
            <w:tcW w:w="2830" w:type="dxa"/>
            <w:shd w:val="clear" w:color="auto" w:fill="auto"/>
            <w:hideMark/>
          </w:tcPr>
          <w:p w14:paraId="05BA5A75" w14:textId="2846D170" w:rsidR="009E484F" w:rsidRPr="0077128F" w:rsidRDefault="009E484F" w:rsidP="001F0EA2">
            <w:pPr>
              <w:rPr>
                <w:sz w:val="22"/>
                <w:szCs w:val="22"/>
                <w:lang w:eastAsia="en-AU"/>
              </w:rPr>
            </w:pPr>
            <w:r w:rsidRPr="0077128F">
              <w:rPr>
                <w:sz w:val="22"/>
                <w:szCs w:val="22"/>
                <w:lang w:eastAsia="en-AU"/>
              </w:rPr>
              <w:t>Independent Competition and Regulatory Commission</w:t>
            </w:r>
          </w:p>
        </w:tc>
        <w:tc>
          <w:tcPr>
            <w:tcW w:w="2812" w:type="dxa"/>
            <w:shd w:val="clear" w:color="auto" w:fill="auto"/>
            <w:hideMark/>
          </w:tcPr>
          <w:p w14:paraId="592CF64C" w14:textId="0DFC616B" w:rsidR="009E484F" w:rsidRPr="0077128F" w:rsidRDefault="009E484F" w:rsidP="001F0EA2">
            <w:pPr>
              <w:rPr>
                <w:sz w:val="22"/>
                <w:szCs w:val="22"/>
                <w:lang w:eastAsia="en-AU"/>
              </w:rPr>
            </w:pPr>
            <w:r w:rsidRPr="0077128F">
              <w:rPr>
                <w:sz w:val="22"/>
                <w:szCs w:val="22"/>
                <w:lang w:eastAsia="en-AU"/>
              </w:rPr>
              <w:t>S</w:t>
            </w:r>
            <w:r w:rsidR="001417D8" w:rsidRPr="0077128F">
              <w:rPr>
                <w:sz w:val="22"/>
                <w:szCs w:val="22"/>
                <w:lang w:eastAsia="en-AU"/>
              </w:rPr>
              <w:t>enior</w:t>
            </w:r>
            <w:r w:rsidRPr="0077128F">
              <w:rPr>
                <w:sz w:val="22"/>
                <w:szCs w:val="22"/>
                <w:lang w:eastAsia="en-AU"/>
              </w:rPr>
              <w:t xml:space="preserve"> Commissioner </w:t>
            </w:r>
          </w:p>
          <w:p w14:paraId="2CF19980" w14:textId="5DA37E01" w:rsidR="009E484F" w:rsidRPr="0077128F" w:rsidRDefault="009E484F" w:rsidP="001F0EA2">
            <w:pPr>
              <w:rPr>
                <w:sz w:val="22"/>
                <w:szCs w:val="22"/>
                <w:lang w:eastAsia="en-AU"/>
              </w:rPr>
            </w:pPr>
            <w:r w:rsidRPr="0077128F">
              <w:rPr>
                <w:sz w:val="22"/>
                <w:szCs w:val="22"/>
                <w:lang w:eastAsia="en-AU"/>
              </w:rPr>
              <w:t xml:space="preserve">Commissioner </w:t>
            </w:r>
          </w:p>
        </w:tc>
        <w:tc>
          <w:tcPr>
            <w:tcW w:w="1687" w:type="dxa"/>
            <w:gridSpan w:val="2"/>
            <w:shd w:val="clear" w:color="auto" w:fill="auto"/>
            <w:noWrap/>
          </w:tcPr>
          <w:p w14:paraId="723BF3DA" w14:textId="7AEC21F7" w:rsidR="003E16A3" w:rsidRPr="0077128F" w:rsidRDefault="00EB4EE8" w:rsidP="002C658A">
            <w:pPr>
              <w:jc w:val="center"/>
              <w:rPr>
                <w:bCs/>
                <w:sz w:val="22"/>
                <w:szCs w:val="22"/>
              </w:rPr>
            </w:pPr>
            <w:r w:rsidRPr="0077128F">
              <w:rPr>
                <w:bCs/>
                <w:sz w:val="22"/>
                <w:szCs w:val="22"/>
              </w:rPr>
              <w:t>$1,</w:t>
            </w:r>
            <w:r w:rsidR="004D1E14" w:rsidRPr="0077128F">
              <w:rPr>
                <w:bCs/>
                <w:sz w:val="22"/>
                <w:szCs w:val="22"/>
              </w:rPr>
              <w:t>7</w:t>
            </w:r>
            <w:r w:rsidR="00997958">
              <w:rPr>
                <w:bCs/>
                <w:sz w:val="22"/>
                <w:szCs w:val="22"/>
              </w:rPr>
              <w:t>45</w:t>
            </w:r>
          </w:p>
          <w:p w14:paraId="05F1C003" w14:textId="61511CC8" w:rsidR="009E484F" w:rsidRPr="0077128F" w:rsidRDefault="009E484F" w:rsidP="00997958">
            <w:pPr>
              <w:jc w:val="center"/>
              <w:rPr>
                <w:bCs/>
                <w:sz w:val="22"/>
                <w:szCs w:val="22"/>
              </w:rPr>
            </w:pPr>
            <w:r w:rsidRPr="0077128F">
              <w:rPr>
                <w:bCs/>
                <w:sz w:val="22"/>
                <w:szCs w:val="22"/>
              </w:rPr>
              <w:t>$9</w:t>
            </w:r>
            <w:r w:rsidR="00997958">
              <w:rPr>
                <w:bCs/>
                <w:sz w:val="22"/>
                <w:szCs w:val="22"/>
              </w:rPr>
              <w:t>95</w:t>
            </w:r>
          </w:p>
        </w:tc>
        <w:tc>
          <w:tcPr>
            <w:tcW w:w="1688" w:type="dxa"/>
            <w:gridSpan w:val="2"/>
          </w:tcPr>
          <w:p w14:paraId="313706F5" w14:textId="77777777" w:rsidR="009E484F" w:rsidRPr="0077128F" w:rsidRDefault="002C658A" w:rsidP="002C658A">
            <w:pPr>
              <w:jc w:val="center"/>
              <w:rPr>
                <w:sz w:val="22"/>
                <w:szCs w:val="22"/>
                <w:lang w:eastAsia="en-AU"/>
              </w:rPr>
            </w:pPr>
            <w:r w:rsidRPr="0077128F">
              <w:rPr>
                <w:sz w:val="22"/>
                <w:szCs w:val="22"/>
                <w:lang w:eastAsia="en-AU"/>
              </w:rPr>
              <w:t>-</w:t>
            </w:r>
          </w:p>
          <w:p w14:paraId="1E31A541" w14:textId="5226B04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BB23902" w14:textId="719D7844" w:rsidTr="0003415E">
        <w:trPr>
          <w:trHeight w:val="323"/>
          <w:jc w:val="center"/>
        </w:trPr>
        <w:tc>
          <w:tcPr>
            <w:tcW w:w="2830" w:type="dxa"/>
            <w:shd w:val="clear" w:color="auto" w:fill="auto"/>
            <w:hideMark/>
          </w:tcPr>
          <w:p w14:paraId="67F886E6" w14:textId="2712BEFF" w:rsidR="009E484F" w:rsidRPr="0077128F" w:rsidRDefault="009E484F" w:rsidP="001F0EA2">
            <w:pPr>
              <w:rPr>
                <w:sz w:val="22"/>
                <w:szCs w:val="22"/>
                <w:lang w:eastAsia="en-AU"/>
              </w:rPr>
            </w:pPr>
            <w:r w:rsidRPr="0077128F">
              <w:rPr>
                <w:sz w:val="22"/>
                <w:szCs w:val="22"/>
                <w:lang w:eastAsia="en-AU"/>
              </w:rPr>
              <w:t>Independent Reviewer, Government Agencies (Campaign Advertising)</w:t>
            </w:r>
          </w:p>
        </w:tc>
        <w:tc>
          <w:tcPr>
            <w:tcW w:w="2812" w:type="dxa"/>
            <w:shd w:val="clear" w:color="auto" w:fill="auto"/>
            <w:hideMark/>
          </w:tcPr>
          <w:p w14:paraId="445C2276" w14:textId="6425D230" w:rsidR="009E484F" w:rsidRPr="0077128F" w:rsidRDefault="009E484F" w:rsidP="001F0EA2">
            <w:pPr>
              <w:rPr>
                <w:sz w:val="22"/>
                <w:szCs w:val="22"/>
                <w:lang w:eastAsia="en-AU"/>
              </w:rPr>
            </w:pPr>
            <w:r w:rsidRPr="0077128F">
              <w:rPr>
                <w:sz w:val="22"/>
                <w:szCs w:val="22"/>
                <w:lang w:eastAsia="en-AU"/>
              </w:rPr>
              <w:t xml:space="preserve">Reviewer </w:t>
            </w:r>
          </w:p>
        </w:tc>
        <w:tc>
          <w:tcPr>
            <w:tcW w:w="1687" w:type="dxa"/>
            <w:gridSpan w:val="2"/>
            <w:shd w:val="clear" w:color="auto" w:fill="auto"/>
            <w:noWrap/>
          </w:tcPr>
          <w:p w14:paraId="1DA2DAD7" w14:textId="04DBACCD" w:rsidR="009E484F" w:rsidRPr="0077128F" w:rsidRDefault="009E484F" w:rsidP="00997958">
            <w:pPr>
              <w:jc w:val="center"/>
              <w:rPr>
                <w:bCs/>
                <w:sz w:val="22"/>
                <w:szCs w:val="22"/>
              </w:rPr>
            </w:pPr>
            <w:r w:rsidRPr="0077128F">
              <w:rPr>
                <w:bCs/>
                <w:sz w:val="22"/>
                <w:szCs w:val="22"/>
              </w:rPr>
              <w:t>$8</w:t>
            </w:r>
            <w:r w:rsidR="00997958">
              <w:rPr>
                <w:bCs/>
                <w:sz w:val="22"/>
                <w:szCs w:val="22"/>
              </w:rPr>
              <w:t>95</w:t>
            </w:r>
          </w:p>
        </w:tc>
        <w:tc>
          <w:tcPr>
            <w:tcW w:w="1688" w:type="dxa"/>
            <w:gridSpan w:val="2"/>
          </w:tcPr>
          <w:p w14:paraId="411BB7BF" w14:textId="3144563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E96CF8F" w14:textId="5F64FBB8" w:rsidTr="0003415E">
        <w:trPr>
          <w:trHeight w:val="315"/>
          <w:jc w:val="center"/>
        </w:trPr>
        <w:tc>
          <w:tcPr>
            <w:tcW w:w="2830" w:type="dxa"/>
            <w:shd w:val="clear" w:color="auto" w:fill="auto"/>
            <w:hideMark/>
          </w:tcPr>
          <w:p w14:paraId="285B2BD9" w14:textId="77777777" w:rsidR="009E484F" w:rsidRPr="0077128F" w:rsidRDefault="009E484F" w:rsidP="001F0EA2">
            <w:pPr>
              <w:rPr>
                <w:sz w:val="22"/>
                <w:szCs w:val="22"/>
                <w:lang w:eastAsia="en-AU"/>
              </w:rPr>
            </w:pPr>
            <w:r w:rsidRPr="0077128F">
              <w:rPr>
                <w:sz w:val="22"/>
                <w:szCs w:val="22"/>
                <w:lang w:eastAsia="en-AU"/>
              </w:rPr>
              <w:t>Indigenous Education Consultative Body</w:t>
            </w:r>
          </w:p>
        </w:tc>
        <w:tc>
          <w:tcPr>
            <w:tcW w:w="2812" w:type="dxa"/>
            <w:shd w:val="clear" w:color="auto" w:fill="auto"/>
            <w:hideMark/>
          </w:tcPr>
          <w:p w14:paraId="4CADE1B9" w14:textId="19FD75DF" w:rsidR="009E484F" w:rsidRPr="0077128F" w:rsidRDefault="009E484F" w:rsidP="001F0EA2">
            <w:pPr>
              <w:rPr>
                <w:sz w:val="22"/>
                <w:szCs w:val="22"/>
                <w:lang w:eastAsia="en-AU"/>
              </w:rPr>
            </w:pPr>
            <w:r w:rsidRPr="0077128F">
              <w:rPr>
                <w:sz w:val="22"/>
                <w:szCs w:val="22"/>
                <w:lang w:eastAsia="en-AU"/>
              </w:rPr>
              <w:t xml:space="preserve">Chair </w:t>
            </w:r>
          </w:p>
          <w:p w14:paraId="45B95165" w14:textId="2B9FBE3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3A33389" w14:textId="3F7459C2" w:rsidR="001F610C" w:rsidRPr="00E43E93" w:rsidRDefault="001F610C" w:rsidP="002C658A">
            <w:pPr>
              <w:jc w:val="center"/>
              <w:rPr>
                <w:bCs/>
                <w:sz w:val="22"/>
                <w:szCs w:val="22"/>
                <w:lang w:eastAsia="en-AU"/>
              </w:rPr>
            </w:pPr>
            <w:r w:rsidRPr="00E43E93">
              <w:rPr>
                <w:bCs/>
                <w:sz w:val="22"/>
                <w:szCs w:val="22"/>
              </w:rPr>
              <w:t>$5</w:t>
            </w:r>
            <w:r w:rsidR="00997958" w:rsidRPr="00E43E93">
              <w:rPr>
                <w:bCs/>
                <w:sz w:val="22"/>
                <w:szCs w:val="22"/>
              </w:rPr>
              <w:t>70</w:t>
            </w:r>
          </w:p>
          <w:p w14:paraId="1A54B455" w14:textId="5A1825A0" w:rsidR="009E484F" w:rsidRPr="0077128F" w:rsidRDefault="001F610C" w:rsidP="00D51257">
            <w:pPr>
              <w:jc w:val="center"/>
              <w:rPr>
                <w:strike/>
                <w:sz w:val="22"/>
                <w:szCs w:val="22"/>
                <w:lang w:eastAsia="en-AU"/>
              </w:rPr>
            </w:pPr>
            <w:r w:rsidRPr="00E43E93">
              <w:rPr>
                <w:bCs/>
                <w:sz w:val="22"/>
                <w:szCs w:val="22"/>
              </w:rPr>
              <w:t>$4</w:t>
            </w:r>
            <w:r w:rsidR="00D51257" w:rsidRPr="00E43E93">
              <w:rPr>
                <w:bCs/>
                <w:sz w:val="22"/>
                <w:szCs w:val="22"/>
              </w:rPr>
              <w:t>9</w:t>
            </w:r>
            <w:r w:rsidR="00FB0BCA" w:rsidRPr="00E43E93">
              <w:rPr>
                <w:bCs/>
                <w:sz w:val="22"/>
                <w:szCs w:val="22"/>
              </w:rPr>
              <w:t>0</w:t>
            </w:r>
          </w:p>
        </w:tc>
        <w:tc>
          <w:tcPr>
            <w:tcW w:w="1688" w:type="dxa"/>
            <w:gridSpan w:val="2"/>
          </w:tcPr>
          <w:p w14:paraId="25ACB3C8" w14:textId="77777777" w:rsidR="009E484F" w:rsidRPr="0077128F" w:rsidRDefault="002C658A" w:rsidP="002C658A">
            <w:pPr>
              <w:jc w:val="center"/>
              <w:rPr>
                <w:sz w:val="22"/>
                <w:szCs w:val="22"/>
                <w:lang w:eastAsia="en-AU"/>
              </w:rPr>
            </w:pPr>
            <w:r w:rsidRPr="0077128F">
              <w:rPr>
                <w:sz w:val="22"/>
                <w:szCs w:val="22"/>
                <w:lang w:eastAsia="en-AU"/>
              </w:rPr>
              <w:t>-</w:t>
            </w:r>
          </w:p>
          <w:p w14:paraId="401999CF" w14:textId="7418ABA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A3AA73C" w14:textId="312E7D7B" w:rsidTr="0003415E">
        <w:trPr>
          <w:trHeight w:val="315"/>
          <w:jc w:val="center"/>
        </w:trPr>
        <w:tc>
          <w:tcPr>
            <w:tcW w:w="2830" w:type="dxa"/>
            <w:shd w:val="clear" w:color="auto" w:fill="auto"/>
          </w:tcPr>
          <w:p w14:paraId="7A52FE51" w14:textId="6D79C8C9" w:rsidR="009E484F" w:rsidRPr="0077128F" w:rsidRDefault="009E484F" w:rsidP="001F0EA2">
            <w:pPr>
              <w:rPr>
                <w:sz w:val="22"/>
                <w:szCs w:val="22"/>
                <w:lang w:eastAsia="en-AU"/>
              </w:rPr>
            </w:pPr>
            <w:r w:rsidRPr="0077128F">
              <w:rPr>
                <w:sz w:val="22"/>
                <w:szCs w:val="22"/>
                <w:lang w:eastAsia="en-AU"/>
              </w:rPr>
              <w:t>Inspector of Correctional Services*</w:t>
            </w:r>
          </w:p>
        </w:tc>
        <w:tc>
          <w:tcPr>
            <w:tcW w:w="2812" w:type="dxa"/>
            <w:shd w:val="clear" w:color="auto" w:fill="auto"/>
          </w:tcPr>
          <w:p w14:paraId="5CF36C66" w14:textId="2A50DB0F" w:rsidR="009E484F" w:rsidRPr="0077128F" w:rsidRDefault="009E484F" w:rsidP="001F0EA2">
            <w:pPr>
              <w:rPr>
                <w:sz w:val="22"/>
                <w:szCs w:val="22"/>
                <w:lang w:eastAsia="en-AU"/>
              </w:rPr>
            </w:pPr>
            <w:r w:rsidRPr="0077128F">
              <w:rPr>
                <w:sz w:val="22"/>
                <w:szCs w:val="22"/>
                <w:lang w:eastAsia="en-AU"/>
              </w:rPr>
              <w:t xml:space="preserve">Inspector </w:t>
            </w:r>
          </w:p>
        </w:tc>
        <w:tc>
          <w:tcPr>
            <w:tcW w:w="1687" w:type="dxa"/>
            <w:gridSpan w:val="2"/>
            <w:shd w:val="clear" w:color="auto" w:fill="auto"/>
            <w:noWrap/>
          </w:tcPr>
          <w:p w14:paraId="01927261" w14:textId="7864189E" w:rsidR="009E484F" w:rsidRPr="0077128F" w:rsidRDefault="00B353FA" w:rsidP="009A2312">
            <w:pPr>
              <w:jc w:val="center"/>
              <w:rPr>
                <w:bCs/>
                <w:sz w:val="22"/>
                <w:szCs w:val="22"/>
              </w:rPr>
            </w:pPr>
            <w:r w:rsidRPr="00E43E93">
              <w:rPr>
                <w:bCs/>
                <w:color w:val="000000" w:themeColor="text1"/>
                <w:sz w:val="22"/>
                <w:szCs w:val="22"/>
              </w:rPr>
              <w:t>$8</w:t>
            </w:r>
            <w:r w:rsidR="009A2312" w:rsidRPr="00E43E93">
              <w:rPr>
                <w:bCs/>
                <w:color w:val="000000" w:themeColor="text1"/>
                <w:sz w:val="22"/>
                <w:szCs w:val="22"/>
              </w:rPr>
              <w:t>95</w:t>
            </w:r>
          </w:p>
        </w:tc>
        <w:tc>
          <w:tcPr>
            <w:tcW w:w="1688" w:type="dxa"/>
            <w:gridSpan w:val="2"/>
          </w:tcPr>
          <w:p w14:paraId="717DD70B" w14:textId="77777777" w:rsidR="009E484F" w:rsidRPr="0077128F" w:rsidRDefault="002C658A" w:rsidP="002C658A">
            <w:pPr>
              <w:jc w:val="center"/>
              <w:rPr>
                <w:sz w:val="22"/>
                <w:szCs w:val="22"/>
                <w:lang w:eastAsia="en-AU"/>
              </w:rPr>
            </w:pPr>
            <w:r w:rsidRPr="0077128F">
              <w:rPr>
                <w:sz w:val="22"/>
                <w:szCs w:val="22"/>
                <w:lang w:eastAsia="en-AU"/>
              </w:rPr>
              <w:t>-</w:t>
            </w:r>
          </w:p>
          <w:p w14:paraId="5F90A502" w14:textId="77777777" w:rsidR="002C658A" w:rsidRPr="0077128F" w:rsidRDefault="002C658A" w:rsidP="002C658A">
            <w:pPr>
              <w:rPr>
                <w:sz w:val="22"/>
                <w:szCs w:val="22"/>
                <w:lang w:eastAsia="en-AU"/>
              </w:rPr>
            </w:pPr>
          </w:p>
        </w:tc>
      </w:tr>
      <w:tr w:rsidR="0077128F" w:rsidRPr="0077128F" w14:paraId="02E073CC" w14:textId="4B1728F3" w:rsidTr="0003415E">
        <w:trPr>
          <w:trHeight w:val="300"/>
          <w:jc w:val="center"/>
        </w:trPr>
        <w:tc>
          <w:tcPr>
            <w:tcW w:w="2830" w:type="dxa"/>
            <w:shd w:val="clear" w:color="auto" w:fill="auto"/>
            <w:hideMark/>
          </w:tcPr>
          <w:p w14:paraId="046C7E43" w14:textId="03AFB5D0" w:rsidR="009E484F" w:rsidRPr="0077128F" w:rsidRDefault="009E484F" w:rsidP="001F0EA2">
            <w:pPr>
              <w:rPr>
                <w:sz w:val="22"/>
                <w:szCs w:val="22"/>
                <w:lang w:eastAsia="en-AU"/>
              </w:rPr>
            </w:pPr>
            <w:r w:rsidRPr="0077128F">
              <w:rPr>
                <w:sz w:val="22"/>
                <w:szCs w:val="22"/>
                <w:lang w:eastAsia="en-AU"/>
              </w:rPr>
              <w:t>Insurance Authority Advisory Board</w:t>
            </w:r>
          </w:p>
        </w:tc>
        <w:tc>
          <w:tcPr>
            <w:tcW w:w="2812" w:type="dxa"/>
            <w:shd w:val="clear" w:color="auto" w:fill="auto"/>
            <w:hideMark/>
          </w:tcPr>
          <w:p w14:paraId="513472CE" w14:textId="39F22ED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42537F4" w14:textId="0C8981BC"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528AC958" w14:textId="23F78D2B" w:rsidR="009E484F" w:rsidRPr="0077128F" w:rsidRDefault="009E484F" w:rsidP="00997958">
            <w:pPr>
              <w:jc w:val="center"/>
              <w:rPr>
                <w:bCs/>
                <w:sz w:val="22"/>
                <w:szCs w:val="22"/>
              </w:rPr>
            </w:pPr>
            <w:r w:rsidRPr="0077128F">
              <w:rPr>
                <w:bCs/>
                <w:sz w:val="22"/>
                <w:szCs w:val="22"/>
              </w:rPr>
              <w:t>$</w:t>
            </w:r>
            <w:r w:rsidR="00FB0BCA" w:rsidRPr="0077128F">
              <w:rPr>
                <w:bCs/>
                <w:sz w:val="22"/>
                <w:szCs w:val="22"/>
              </w:rPr>
              <w:t>25,</w:t>
            </w:r>
            <w:r w:rsidR="00997958">
              <w:rPr>
                <w:bCs/>
                <w:sz w:val="22"/>
                <w:szCs w:val="22"/>
              </w:rPr>
              <w:t>620</w:t>
            </w:r>
          </w:p>
        </w:tc>
      </w:tr>
      <w:tr w:rsidR="0077128F" w:rsidRPr="0077128F" w14:paraId="47279604" w14:textId="77777777" w:rsidTr="0003415E">
        <w:trPr>
          <w:trHeight w:val="300"/>
          <w:jc w:val="center"/>
        </w:trPr>
        <w:tc>
          <w:tcPr>
            <w:tcW w:w="2830" w:type="dxa"/>
            <w:shd w:val="clear" w:color="auto" w:fill="auto"/>
          </w:tcPr>
          <w:p w14:paraId="76D62B3A" w14:textId="4391445F" w:rsidR="00247F6E" w:rsidRPr="0077128F" w:rsidRDefault="00247F6E" w:rsidP="00247F6E">
            <w:pPr>
              <w:rPr>
                <w:sz w:val="22"/>
                <w:szCs w:val="22"/>
                <w:lang w:eastAsia="en-AU"/>
              </w:rPr>
            </w:pPr>
            <w:r w:rsidRPr="0077128F">
              <w:rPr>
                <w:sz w:val="22"/>
                <w:szCs w:val="22"/>
                <w:lang w:eastAsia="en-AU"/>
              </w:rPr>
              <w:t>Invasive Plants Advisory Group</w:t>
            </w:r>
          </w:p>
        </w:tc>
        <w:tc>
          <w:tcPr>
            <w:tcW w:w="2812" w:type="dxa"/>
            <w:shd w:val="clear" w:color="auto" w:fill="auto"/>
          </w:tcPr>
          <w:p w14:paraId="11453BF8" w14:textId="2E0AF836" w:rsidR="00247F6E" w:rsidRPr="0077128F" w:rsidRDefault="00247F6E" w:rsidP="00247F6E">
            <w:pPr>
              <w:rPr>
                <w:sz w:val="22"/>
                <w:szCs w:val="22"/>
                <w:lang w:eastAsia="en-AU"/>
              </w:rPr>
            </w:pPr>
            <w:r w:rsidRPr="0077128F">
              <w:rPr>
                <w:sz w:val="22"/>
                <w:szCs w:val="22"/>
                <w:lang w:eastAsia="en-AU"/>
              </w:rPr>
              <w:t xml:space="preserve">External Members </w:t>
            </w:r>
          </w:p>
        </w:tc>
        <w:tc>
          <w:tcPr>
            <w:tcW w:w="1687" w:type="dxa"/>
            <w:gridSpan w:val="2"/>
            <w:shd w:val="clear" w:color="auto" w:fill="auto"/>
            <w:noWrap/>
          </w:tcPr>
          <w:p w14:paraId="281A6227" w14:textId="016EB7E8" w:rsidR="00247F6E" w:rsidRPr="0077128F" w:rsidRDefault="00247F6E" w:rsidP="00997958">
            <w:pPr>
              <w:jc w:val="center"/>
              <w:rPr>
                <w:strike/>
                <w:sz w:val="22"/>
                <w:szCs w:val="22"/>
                <w:lang w:eastAsia="en-AU"/>
              </w:rPr>
            </w:pPr>
            <w:r w:rsidRPr="0077128F">
              <w:rPr>
                <w:bCs/>
                <w:sz w:val="22"/>
                <w:szCs w:val="22"/>
              </w:rPr>
              <w:t>$4</w:t>
            </w:r>
            <w:r w:rsidR="00997958">
              <w:rPr>
                <w:bCs/>
                <w:sz w:val="22"/>
                <w:szCs w:val="22"/>
              </w:rPr>
              <w:t>90</w:t>
            </w:r>
          </w:p>
        </w:tc>
        <w:tc>
          <w:tcPr>
            <w:tcW w:w="1688" w:type="dxa"/>
            <w:gridSpan w:val="2"/>
          </w:tcPr>
          <w:p w14:paraId="17342978" w14:textId="508BB4D8" w:rsidR="00247F6E" w:rsidRPr="0077128F" w:rsidRDefault="00247F6E" w:rsidP="00247F6E">
            <w:pPr>
              <w:jc w:val="center"/>
              <w:rPr>
                <w:bCs/>
                <w:sz w:val="22"/>
                <w:szCs w:val="22"/>
              </w:rPr>
            </w:pPr>
            <w:r w:rsidRPr="0077128F">
              <w:rPr>
                <w:sz w:val="22"/>
                <w:szCs w:val="22"/>
                <w:lang w:eastAsia="en-AU"/>
              </w:rPr>
              <w:t>-</w:t>
            </w:r>
          </w:p>
        </w:tc>
      </w:tr>
      <w:tr w:rsidR="0077128F" w:rsidRPr="0077128F" w14:paraId="405E9776" w14:textId="315B115B" w:rsidTr="0003415E">
        <w:trPr>
          <w:trHeight w:val="610"/>
          <w:jc w:val="center"/>
        </w:trPr>
        <w:tc>
          <w:tcPr>
            <w:tcW w:w="2830" w:type="dxa"/>
            <w:shd w:val="clear" w:color="auto" w:fill="auto"/>
            <w:hideMark/>
          </w:tcPr>
          <w:p w14:paraId="273E0A92" w14:textId="77777777" w:rsidR="009E484F" w:rsidRPr="0077128F" w:rsidRDefault="009E484F" w:rsidP="001F0EA2">
            <w:pPr>
              <w:rPr>
                <w:sz w:val="22"/>
                <w:szCs w:val="22"/>
                <w:lang w:eastAsia="en-AU"/>
              </w:rPr>
            </w:pPr>
            <w:r w:rsidRPr="0077128F">
              <w:rPr>
                <w:sz w:val="22"/>
                <w:szCs w:val="22"/>
                <w:lang w:eastAsia="en-AU"/>
              </w:rPr>
              <w:t>Investment Advisory Board</w:t>
            </w:r>
          </w:p>
        </w:tc>
        <w:tc>
          <w:tcPr>
            <w:tcW w:w="2812" w:type="dxa"/>
            <w:shd w:val="clear" w:color="auto" w:fill="auto"/>
            <w:hideMark/>
          </w:tcPr>
          <w:p w14:paraId="12283CD0" w14:textId="1AFB43C6" w:rsidR="009E484F" w:rsidRPr="0077128F" w:rsidRDefault="009E484F" w:rsidP="001F0EA2">
            <w:pPr>
              <w:rPr>
                <w:sz w:val="22"/>
                <w:szCs w:val="22"/>
                <w:lang w:eastAsia="en-AU"/>
              </w:rPr>
            </w:pPr>
            <w:r w:rsidRPr="0077128F">
              <w:rPr>
                <w:sz w:val="22"/>
                <w:szCs w:val="22"/>
                <w:lang w:eastAsia="en-AU"/>
              </w:rPr>
              <w:t xml:space="preserve">Chair </w:t>
            </w:r>
          </w:p>
          <w:p w14:paraId="2CB1ACC3" w14:textId="3463C4B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242B74E" w14:textId="77777777" w:rsidR="009E484F" w:rsidRPr="0077128F" w:rsidRDefault="002C658A" w:rsidP="002C658A">
            <w:pPr>
              <w:jc w:val="center"/>
              <w:rPr>
                <w:sz w:val="22"/>
                <w:szCs w:val="22"/>
                <w:lang w:eastAsia="en-AU"/>
              </w:rPr>
            </w:pPr>
            <w:r w:rsidRPr="0077128F">
              <w:rPr>
                <w:sz w:val="22"/>
                <w:szCs w:val="22"/>
                <w:lang w:eastAsia="en-AU"/>
              </w:rPr>
              <w:t>-</w:t>
            </w:r>
          </w:p>
          <w:p w14:paraId="4F63BD36" w14:textId="353EC051"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68D9FD60" w14:textId="6BD8DCA2" w:rsidR="009E484F" w:rsidRPr="0077128F" w:rsidRDefault="009E484F" w:rsidP="002C658A">
            <w:pPr>
              <w:jc w:val="center"/>
              <w:rPr>
                <w:bCs/>
                <w:sz w:val="22"/>
                <w:szCs w:val="22"/>
              </w:rPr>
            </w:pPr>
            <w:r w:rsidRPr="0077128F">
              <w:rPr>
                <w:bCs/>
                <w:sz w:val="22"/>
                <w:szCs w:val="22"/>
              </w:rPr>
              <w:t>$</w:t>
            </w:r>
            <w:r w:rsidR="00997958">
              <w:rPr>
                <w:bCs/>
                <w:sz w:val="22"/>
                <w:szCs w:val="22"/>
              </w:rPr>
              <w:t>35,425</w:t>
            </w:r>
          </w:p>
          <w:p w14:paraId="0DB5A87A" w14:textId="67EAAEF0" w:rsidR="009E484F" w:rsidRPr="0077128F" w:rsidRDefault="009E484F" w:rsidP="00997958">
            <w:pPr>
              <w:jc w:val="center"/>
              <w:rPr>
                <w:bCs/>
                <w:sz w:val="22"/>
                <w:szCs w:val="22"/>
              </w:rPr>
            </w:pPr>
            <w:r w:rsidRPr="0077128F">
              <w:rPr>
                <w:bCs/>
                <w:sz w:val="22"/>
                <w:szCs w:val="22"/>
              </w:rPr>
              <w:t>$</w:t>
            </w:r>
            <w:r w:rsidR="00997958">
              <w:rPr>
                <w:bCs/>
                <w:sz w:val="22"/>
                <w:szCs w:val="22"/>
              </w:rPr>
              <w:t>26,485</w:t>
            </w:r>
          </w:p>
        </w:tc>
      </w:tr>
      <w:tr w:rsidR="0077128F" w:rsidRPr="0077128F" w14:paraId="1069EF15" w14:textId="0D0D10B0" w:rsidTr="0003415E">
        <w:trPr>
          <w:trHeight w:val="596"/>
          <w:jc w:val="center"/>
        </w:trPr>
        <w:tc>
          <w:tcPr>
            <w:tcW w:w="2830" w:type="dxa"/>
            <w:shd w:val="clear" w:color="auto" w:fill="auto"/>
          </w:tcPr>
          <w:p w14:paraId="036EA81D" w14:textId="247EF30B" w:rsidR="009E484F" w:rsidRPr="0077128F" w:rsidRDefault="009E484F" w:rsidP="001F0EA2">
            <w:pPr>
              <w:rPr>
                <w:sz w:val="22"/>
                <w:szCs w:val="22"/>
                <w:lang w:eastAsia="en-AU"/>
              </w:rPr>
            </w:pPr>
            <w:r w:rsidRPr="0077128F">
              <w:rPr>
                <w:sz w:val="22"/>
                <w:szCs w:val="22"/>
                <w:lang w:eastAsia="en-AU"/>
              </w:rPr>
              <w:t>Legal Aid Commission</w:t>
            </w:r>
          </w:p>
        </w:tc>
        <w:tc>
          <w:tcPr>
            <w:tcW w:w="2812" w:type="dxa"/>
            <w:shd w:val="clear" w:color="auto" w:fill="auto"/>
          </w:tcPr>
          <w:p w14:paraId="47341FC6" w14:textId="727E8CC0" w:rsidR="009E484F" w:rsidRPr="0077128F" w:rsidRDefault="009E484F" w:rsidP="001F0EA2">
            <w:pPr>
              <w:rPr>
                <w:sz w:val="22"/>
                <w:szCs w:val="22"/>
                <w:lang w:eastAsia="en-AU"/>
              </w:rPr>
            </w:pPr>
            <w:r w:rsidRPr="0077128F">
              <w:rPr>
                <w:sz w:val="22"/>
                <w:szCs w:val="22"/>
                <w:lang w:eastAsia="en-AU"/>
              </w:rPr>
              <w:t xml:space="preserve">President </w:t>
            </w:r>
          </w:p>
          <w:p w14:paraId="35B3D475" w14:textId="7AF0A630"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ADCA151" w14:textId="27C25247" w:rsidR="009E484F" w:rsidRPr="0077128F" w:rsidRDefault="008306EE" w:rsidP="002C658A">
            <w:pPr>
              <w:jc w:val="center"/>
              <w:rPr>
                <w:bCs/>
                <w:sz w:val="22"/>
                <w:szCs w:val="22"/>
              </w:rPr>
            </w:pPr>
            <w:r w:rsidRPr="0077128F">
              <w:rPr>
                <w:bCs/>
                <w:sz w:val="22"/>
                <w:szCs w:val="22"/>
              </w:rPr>
              <w:t>-</w:t>
            </w:r>
          </w:p>
          <w:p w14:paraId="121A277F" w14:textId="3D85FF54" w:rsidR="009E484F" w:rsidRPr="0077128F" w:rsidRDefault="009E484F" w:rsidP="00997958">
            <w:pPr>
              <w:jc w:val="center"/>
              <w:rPr>
                <w:bCs/>
                <w:sz w:val="22"/>
                <w:szCs w:val="22"/>
              </w:rPr>
            </w:pPr>
            <w:r w:rsidRPr="0077128F">
              <w:rPr>
                <w:bCs/>
                <w:sz w:val="22"/>
                <w:szCs w:val="22"/>
              </w:rPr>
              <w:t>$</w:t>
            </w:r>
            <w:r w:rsidR="00997958">
              <w:rPr>
                <w:bCs/>
                <w:sz w:val="22"/>
                <w:szCs w:val="22"/>
              </w:rPr>
              <w:t>490</w:t>
            </w:r>
          </w:p>
        </w:tc>
        <w:tc>
          <w:tcPr>
            <w:tcW w:w="1688" w:type="dxa"/>
            <w:gridSpan w:val="2"/>
          </w:tcPr>
          <w:p w14:paraId="08C7FA5E" w14:textId="6A8D7AEA" w:rsidR="009E484F" w:rsidRPr="0077128F" w:rsidRDefault="009E484F" w:rsidP="002C658A">
            <w:pPr>
              <w:jc w:val="center"/>
              <w:rPr>
                <w:bCs/>
                <w:sz w:val="22"/>
                <w:szCs w:val="22"/>
              </w:rPr>
            </w:pPr>
            <w:r w:rsidRPr="0077128F">
              <w:rPr>
                <w:bCs/>
                <w:sz w:val="22"/>
                <w:szCs w:val="22"/>
              </w:rPr>
              <w:t>$</w:t>
            </w:r>
            <w:r w:rsidR="00997958">
              <w:rPr>
                <w:bCs/>
                <w:sz w:val="22"/>
                <w:szCs w:val="22"/>
              </w:rPr>
              <w:t>21,360</w:t>
            </w:r>
          </w:p>
          <w:p w14:paraId="4945E489" w14:textId="77777777" w:rsidR="009E484F" w:rsidRPr="0077128F" w:rsidRDefault="009E484F" w:rsidP="002C658A">
            <w:pPr>
              <w:jc w:val="center"/>
              <w:rPr>
                <w:bCs/>
                <w:sz w:val="22"/>
                <w:szCs w:val="22"/>
              </w:rPr>
            </w:pPr>
          </w:p>
        </w:tc>
      </w:tr>
      <w:tr w:rsidR="0077128F" w:rsidRPr="0077128F" w14:paraId="659B48C7" w14:textId="195D493E" w:rsidTr="0003415E">
        <w:trPr>
          <w:trHeight w:val="596"/>
          <w:jc w:val="center"/>
        </w:trPr>
        <w:tc>
          <w:tcPr>
            <w:tcW w:w="2830" w:type="dxa"/>
            <w:shd w:val="clear" w:color="auto" w:fill="auto"/>
          </w:tcPr>
          <w:p w14:paraId="357444CA"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Lesbian, Gay, Bisexual, Transgender, Intersex and Queer (LGBTIQ) Community Advisory Council</w:t>
            </w:r>
          </w:p>
        </w:tc>
        <w:tc>
          <w:tcPr>
            <w:tcW w:w="2812" w:type="dxa"/>
            <w:shd w:val="clear" w:color="auto" w:fill="auto"/>
          </w:tcPr>
          <w:p w14:paraId="783475FD" w14:textId="77777777" w:rsidR="009E484F" w:rsidRPr="00CA7C51" w:rsidRDefault="009E484F" w:rsidP="001F0EA2">
            <w:pPr>
              <w:rPr>
                <w:color w:val="000000" w:themeColor="text1"/>
                <w:sz w:val="22"/>
                <w:szCs w:val="22"/>
                <w:lang w:eastAsia="en-AU"/>
              </w:rPr>
            </w:pPr>
            <w:r w:rsidRPr="00CA7C51">
              <w:rPr>
                <w:color w:val="000000" w:themeColor="text1"/>
                <w:sz w:val="22"/>
                <w:szCs w:val="22"/>
                <w:lang w:eastAsia="en-AU"/>
              </w:rPr>
              <w:t xml:space="preserve">Chair </w:t>
            </w:r>
          </w:p>
          <w:p w14:paraId="487FCB94" w14:textId="0F9F5FF4" w:rsidR="00054C69" w:rsidRPr="00CA7C51" w:rsidRDefault="00054C69" w:rsidP="001F0EA2">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7030BCA0" w14:textId="351D2AFE" w:rsidR="009E484F" w:rsidRPr="00CA7C51" w:rsidRDefault="009E484F" w:rsidP="002C658A">
            <w:pPr>
              <w:jc w:val="center"/>
              <w:rPr>
                <w:bCs/>
                <w:color w:val="000000" w:themeColor="text1"/>
                <w:sz w:val="22"/>
                <w:szCs w:val="22"/>
              </w:rPr>
            </w:pPr>
            <w:r w:rsidRPr="00CA7C51">
              <w:rPr>
                <w:bCs/>
                <w:color w:val="000000" w:themeColor="text1"/>
                <w:sz w:val="22"/>
                <w:szCs w:val="22"/>
              </w:rPr>
              <w:t>$5</w:t>
            </w:r>
            <w:r w:rsidR="00997958" w:rsidRPr="00CA7C51">
              <w:rPr>
                <w:bCs/>
                <w:color w:val="000000" w:themeColor="text1"/>
                <w:sz w:val="22"/>
                <w:szCs w:val="22"/>
              </w:rPr>
              <w:t>70</w:t>
            </w:r>
          </w:p>
          <w:p w14:paraId="69B1D091" w14:textId="16ACD76C" w:rsidR="00054C69" w:rsidRPr="00CA7C51" w:rsidRDefault="00054C69" w:rsidP="00D179B3">
            <w:pPr>
              <w:jc w:val="center"/>
              <w:rPr>
                <w:bCs/>
                <w:color w:val="000000" w:themeColor="text1"/>
                <w:sz w:val="22"/>
                <w:szCs w:val="22"/>
              </w:rPr>
            </w:pPr>
            <w:r w:rsidRPr="00CA7C51">
              <w:rPr>
                <w:bCs/>
                <w:color w:val="000000" w:themeColor="text1"/>
                <w:sz w:val="22"/>
                <w:szCs w:val="22"/>
              </w:rPr>
              <w:t>$</w:t>
            </w:r>
            <w:r w:rsidR="00D179B3" w:rsidRPr="00CA7C51">
              <w:rPr>
                <w:bCs/>
                <w:color w:val="000000" w:themeColor="text1"/>
                <w:sz w:val="22"/>
                <w:szCs w:val="22"/>
              </w:rPr>
              <w:t>490</w:t>
            </w:r>
          </w:p>
        </w:tc>
        <w:tc>
          <w:tcPr>
            <w:tcW w:w="1688" w:type="dxa"/>
            <w:gridSpan w:val="2"/>
          </w:tcPr>
          <w:p w14:paraId="7C8160CD" w14:textId="77777777" w:rsidR="009E484F" w:rsidRDefault="002C658A" w:rsidP="002C658A">
            <w:pPr>
              <w:jc w:val="center"/>
              <w:rPr>
                <w:sz w:val="22"/>
                <w:szCs w:val="22"/>
                <w:lang w:eastAsia="en-AU"/>
              </w:rPr>
            </w:pPr>
            <w:r w:rsidRPr="0077128F">
              <w:rPr>
                <w:sz w:val="22"/>
                <w:szCs w:val="22"/>
                <w:lang w:eastAsia="en-AU"/>
              </w:rPr>
              <w:t>-</w:t>
            </w:r>
          </w:p>
          <w:p w14:paraId="2ACF9176" w14:textId="0A6BA664" w:rsidR="00054C69" w:rsidRPr="0077128F" w:rsidRDefault="00054C69" w:rsidP="002C658A">
            <w:pPr>
              <w:jc w:val="center"/>
              <w:rPr>
                <w:sz w:val="22"/>
                <w:szCs w:val="22"/>
                <w:lang w:eastAsia="en-AU"/>
              </w:rPr>
            </w:pPr>
            <w:r>
              <w:rPr>
                <w:sz w:val="22"/>
                <w:szCs w:val="22"/>
                <w:lang w:eastAsia="en-AU"/>
              </w:rPr>
              <w:t>-</w:t>
            </w:r>
          </w:p>
        </w:tc>
      </w:tr>
      <w:tr w:rsidR="0077128F" w:rsidRPr="0077128F" w14:paraId="5F91D704" w14:textId="780C2FB5" w:rsidTr="0003415E">
        <w:trPr>
          <w:trHeight w:val="596"/>
          <w:jc w:val="center"/>
        </w:trPr>
        <w:tc>
          <w:tcPr>
            <w:tcW w:w="2830" w:type="dxa"/>
            <w:shd w:val="clear" w:color="auto" w:fill="auto"/>
          </w:tcPr>
          <w:p w14:paraId="7635DF98" w14:textId="4A9EE72D" w:rsidR="009E484F" w:rsidRPr="0077128F" w:rsidRDefault="009E484F" w:rsidP="001F0EA2">
            <w:pPr>
              <w:rPr>
                <w:sz w:val="22"/>
                <w:szCs w:val="22"/>
                <w:lang w:eastAsia="en-AU"/>
              </w:rPr>
            </w:pPr>
            <w:r w:rsidRPr="0077128F">
              <w:rPr>
                <w:sz w:val="22"/>
                <w:szCs w:val="22"/>
                <w:lang w:eastAsia="en-AU"/>
              </w:rPr>
              <w:t>Light Rail Project Board</w:t>
            </w:r>
          </w:p>
        </w:tc>
        <w:tc>
          <w:tcPr>
            <w:tcW w:w="2812" w:type="dxa"/>
            <w:shd w:val="clear" w:color="auto" w:fill="auto"/>
          </w:tcPr>
          <w:p w14:paraId="0BCFB452" w14:textId="7BEA8DA5" w:rsidR="009E484F" w:rsidRPr="0077128F" w:rsidRDefault="009E484F" w:rsidP="001F0EA2">
            <w:pPr>
              <w:rPr>
                <w:sz w:val="22"/>
                <w:szCs w:val="22"/>
                <w:lang w:eastAsia="en-AU"/>
              </w:rPr>
            </w:pPr>
            <w:r w:rsidRPr="0077128F">
              <w:rPr>
                <w:sz w:val="22"/>
                <w:szCs w:val="22"/>
                <w:lang w:eastAsia="en-AU"/>
              </w:rPr>
              <w:t xml:space="preserve">Chair </w:t>
            </w:r>
          </w:p>
          <w:p w14:paraId="3A45690F" w14:textId="7048E25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AA6AC6A" w14:textId="77777777" w:rsidR="009E484F" w:rsidRPr="0077128F" w:rsidRDefault="002C658A" w:rsidP="002C658A">
            <w:pPr>
              <w:jc w:val="center"/>
              <w:rPr>
                <w:sz w:val="22"/>
                <w:szCs w:val="22"/>
                <w:lang w:eastAsia="en-AU"/>
              </w:rPr>
            </w:pPr>
            <w:r w:rsidRPr="0077128F">
              <w:rPr>
                <w:sz w:val="22"/>
                <w:szCs w:val="22"/>
                <w:lang w:eastAsia="en-AU"/>
              </w:rPr>
              <w:t>-</w:t>
            </w:r>
          </w:p>
          <w:p w14:paraId="017423E6" w14:textId="6FAB8C4E"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3EF82F8F" w14:textId="1B45BC74" w:rsidR="00A90FBE" w:rsidRPr="0077128F" w:rsidRDefault="00A90FBE" w:rsidP="00A90FBE">
            <w:pPr>
              <w:jc w:val="center"/>
              <w:rPr>
                <w:bCs/>
                <w:sz w:val="22"/>
                <w:szCs w:val="22"/>
              </w:rPr>
            </w:pPr>
            <w:r w:rsidRPr="0077128F">
              <w:rPr>
                <w:bCs/>
                <w:sz w:val="22"/>
                <w:szCs w:val="22"/>
              </w:rPr>
              <w:t>$</w:t>
            </w:r>
            <w:r w:rsidR="00997958">
              <w:rPr>
                <w:bCs/>
                <w:sz w:val="22"/>
                <w:szCs w:val="22"/>
              </w:rPr>
              <w:t>82,715</w:t>
            </w:r>
          </w:p>
          <w:p w14:paraId="068F3CC7" w14:textId="09FE49E9" w:rsidR="009E484F" w:rsidRPr="0077128F" w:rsidRDefault="00A90FBE" w:rsidP="00997958">
            <w:pPr>
              <w:jc w:val="center"/>
              <w:rPr>
                <w:bCs/>
                <w:sz w:val="22"/>
                <w:szCs w:val="22"/>
              </w:rPr>
            </w:pPr>
            <w:r w:rsidRPr="0077128F">
              <w:rPr>
                <w:bCs/>
                <w:sz w:val="22"/>
                <w:szCs w:val="22"/>
              </w:rPr>
              <w:t>$</w:t>
            </w:r>
            <w:r w:rsidR="00997958">
              <w:rPr>
                <w:bCs/>
                <w:sz w:val="22"/>
                <w:szCs w:val="22"/>
              </w:rPr>
              <w:t>49,640</w:t>
            </w:r>
          </w:p>
        </w:tc>
      </w:tr>
      <w:tr w:rsidR="0077128F" w:rsidRPr="0077128F" w14:paraId="39F78AEB" w14:textId="401B41E2" w:rsidTr="0003415E">
        <w:trPr>
          <w:trHeight w:val="596"/>
          <w:jc w:val="center"/>
        </w:trPr>
        <w:tc>
          <w:tcPr>
            <w:tcW w:w="2830" w:type="dxa"/>
            <w:shd w:val="clear" w:color="auto" w:fill="auto"/>
          </w:tcPr>
          <w:p w14:paraId="0CC82AB2" w14:textId="37310C24" w:rsidR="009E484F" w:rsidRPr="0077128F" w:rsidRDefault="009E484F" w:rsidP="001F0EA2">
            <w:pPr>
              <w:rPr>
                <w:sz w:val="22"/>
                <w:szCs w:val="22"/>
                <w:lang w:eastAsia="en-AU"/>
              </w:rPr>
            </w:pPr>
            <w:r w:rsidRPr="0077128F">
              <w:rPr>
                <w:sz w:val="22"/>
                <w:szCs w:val="22"/>
                <w:lang w:eastAsia="en-AU"/>
              </w:rPr>
              <w:t>Long Service Leave Authority Board</w:t>
            </w:r>
          </w:p>
        </w:tc>
        <w:tc>
          <w:tcPr>
            <w:tcW w:w="2812" w:type="dxa"/>
            <w:shd w:val="clear" w:color="auto" w:fill="auto"/>
          </w:tcPr>
          <w:p w14:paraId="761AA43C" w14:textId="3720C128" w:rsidR="009E484F" w:rsidRPr="0077128F" w:rsidRDefault="009E484F" w:rsidP="001F0EA2">
            <w:pPr>
              <w:rPr>
                <w:sz w:val="22"/>
                <w:szCs w:val="22"/>
                <w:lang w:eastAsia="en-AU"/>
              </w:rPr>
            </w:pPr>
            <w:r w:rsidRPr="0077128F">
              <w:rPr>
                <w:sz w:val="22"/>
                <w:szCs w:val="22"/>
                <w:lang w:eastAsia="en-AU"/>
              </w:rPr>
              <w:t xml:space="preserve">Chair </w:t>
            </w:r>
          </w:p>
          <w:p w14:paraId="771B8D20" w14:textId="7E9EFE5C" w:rsidR="009E484F" w:rsidRPr="0077128F" w:rsidRDefault="009E484F" w:rsidP="001F0EA2">
            <w:pPr>
              <w:rPr>
                <w:sz w:val="22"/>
                <w:szCs w:val="22"/>
                <w:lang w:eastAsia="en-AU"/>
              </w:rPr>
            </w:pPr>
            <w:r w:rsidRPr="0077128F">
              <w:rPr>
                <w:sz w:val="22"/>
                <w:szCs w:val="22"/>
                <w:lang w:eastAsia="en-AU"/>
              </w:rPr>
              <w:t xml:space="preserve">Deputy Chair </w:t>
            </w:r>
          </w:p>
          <w:p w14:paraId="7702043A" w14:textId="7A89BC2F"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42EFA2B" w14:textId="77777777" w:rsidR="009E484F" w:rsidRPr="0077128F" w:rsidRDefault="002C658A" w:rsidP="002C658A">
            <w:pPr>
              <w:jc w:val="center"/>
              <w:rPr>
                <w:bCs/>
                <w:sz w:val="22"/>
                <w:szCs w:val="22"/>
              </w:rPr>
            </w:pPr>
            <w:r w:rsidRPr="0077128F">
              <w:rPr>
                <w:bCs/>
                <w:sz w:val="22"/>
                <w:szCs w:val="22"/>
              </w:rPr>
              <w:t>-</w:t>
            </w:r>
          </w:p>
          <w:p w14:paraId="49403BBB" w14:textId="1364B27E" w:rsidR="009E484F" w:rsidRPr="0077128F" w:rsidRDefault="002C658A" w:rsidP="002C658A">
            <w:pPr>
              <w:jc w:val="center"/>
              <w:rPr>
                <w:bCs/>
                <w:sz w:val="22"/>
                <w:szCs w:val="22"/>
              </w:rPr>
            </w:pPr>
            <w:r w:rsidRPr="0077128F">
              <w:rPr>
                <w:bCs/>
                <w:sz w:val="22"/>
                <w:szCs w:val="22"/>
              </w:rPr>
              <w:t>-</w:t>
            </w:r>
          </w:p>
          <w:p w14:paraId="7B9FBBE0" w14:textId="7A786CE0" w:rsidR="009E484F" w:rsidRPr="0077128F" w:rsidRDefault="009E484F" w:rsidP="00997958">
            <w:pPr>
              <w:jc w:val="center"/>
              <w:rPr>
                <w:bCs/>
                <w:sz w:val="22"/>
                <w:szCs w:val="22"/>
              </w:rPr>
            </w:pPr>
            <w:r w:rsidRPr="0077128F">
              <w:rPr>
                <w:bCs/>
                <w:sz w:val="22"/>
                <w:szCs w:val="22"/>
              </w:rPr>
              <w:t>$4</w:t>
            </w:r>
            <w:r w:rsidR="00997958">
              <w:rPr>
                <w:bCs/>
                <w:sz w:val="22"/>
                <w:szCs w:val="22"/>
              </w:rPr>
              <w:t>90</w:t>
            </w:r>
          </w:p>
        </w:tc>
        <w:tc>
          <w:tcPr>
            <w:tcW w:w="1688" w:type="dxa"/>
            <w:gridSpan w:val="2"/>
          </w:tcPr>
          <w:p w14:paraId="5D7EB1A1" w14:textId="187DCC84" w:rsidR="009E484F" w:rsidRPr="0077128F" w:rsidRDefault="009E484F" w:rsidP="002C658A">
            <w:pPr>
              <w:jc w:val="center"/>
              <w:rPr>
                <w:bCs/>
                <w:sz w:val="22"/>
                <w:szCs w:val="22"/>
              </w:rPr>
            </w:pPr>
            <w:r w:rsidRPr="0077128F">
              <w:rPr>
                <w:bCs/>
                <w:sz w:val="22"/>
                <w:szCs w:val="22"/>
              </w:rPr>
              <w:t>$</w:t>
            </w:r>
            <w:r w:rsidR="00CE14AA" w:rsidRPr="0077128F">
              <w:rPr>
                <w:bCs/>
                <w:sz w:val="22"/>
                <w:szCs w:val="22"/>
              </w:rPr>
              <w:t>2</w:t>
            </w:r>
            <w:r w:rsidR="00FB0BCA" w:rsidRPr="0077128F">
              <w:rPr>
                <w:bCs/>
                <w:sz w:val="22"/>
                <w:szCs w:val="22"/>
              </w:rPr>
              <w:t>8</w:t>
            </w:r>
            <w:r w:rsidR="00CE14AA" w:rsidRPr="0077128F">
              <w:rPr>
                <w:bCs/>
                <w:sz w:val="22"/>
                <w:szCs w:val="22"/>
              </w:rPr>
              <w:t>,</w:t>
            </w:r>
            <w:r w:rsidR="00997958">
              <w:rPr>
                <w:bCs/>
                <w:sz w:val="22"/>
                <w:szCs w:val="22"/>
              </w:rPr>
              <w:t>685</w:t>
            </w:r>
          </w:p>
          <w:p w14:paraId="60714348" w14:textId="1573754F" w:rsidR="009E484F" w:rsidRPr="0077128F" w:rsidRDefault="00CE14AA" w:rsidP="002C658A">
            <w:pPr>
              <w:jc w:val="center"/>
              <w:rPr>
                <w:bCs/>
                <w:sz w:val="22"/>
                <w:szCs w:val="22"/>
              </w:rPr>
            </w:pPr>
            <w:r w:rsidRPr="0077128F">
              <w:rPr>
                <w:bCs/>
                <w:sz w:val="22"/>
                <w:szCs w:val="22"/>
              </w:rPr>
              <w:t>$1</w:t>
            </w:r>
            <w:r w:rsidR="00FB0BCA" w:rsidRPr="0077128F">
              <w:rPr>
                <w:bCs/>
                <w:sz w:val="22"/>
                <w:szCs w:val="22"/>
              </w:rPr>
              <w:t>4</w:t>
            </w:r>
            <w:r w:rsidRPr="0077128F">
              <w:rPr>
                <w:bCs/>
                <w:sz w:val="22"/>
                <w:szCs w:val="22"/>
              </w:rPr>
              <w:t>,</w:t>
            </w:r>
            <w:r w:rsidR="00997958">
              <w:rPr>
                <w:bCs/>
                <w:sz w:val="22"/>
                <w:szCs w:val="22"/>
              </w:rPr>
              <w:t>355</w:t>
            </w:r>
          </w:p>
          <w:p w14:paraId="70BB5FA7" w14:textId="075D9273" w:rsidR="002C658A" w:rsidRPr="0077128F" w:rsidRDefault="002C658A" w:rsidP="002C658A">
            <w:pPr>
              <w:jc w:val="center"/>
              <w:rPr>
                <w:bCs/>
                <w:sz w:val="22"/>
                <w:szCs w:val="22"/>
              </w:rPr>
            </w:pPr>
            <w:r w:rsidRPr="0077128F">
              <w:rPr>
                <w:bCs/>
                <w:sz w:val="22"/>
                <w:szCs w:val="22"/>
              </w:rPr>
              <w:t>-</w:t>
            </w:r>
          </w:p>
        </w:tc>
      </w:tr>
      <w:tr w:rsidR="0077128F" w:rsidRPr="0077128F" w14:paraId="7AA1457E" w14:textId="77777777" w:rsidTr="0003415E">
        <w:trPr>
          <w:trHeight w:val="596"/>
          <w:jc w:val="center"/>
        </w:trPr>
        <w:tc>
          <w:tcPr>
            <w:tcW w:w="2830" w:type="dxa"/>
            <w:shd w:val="clear" w:color="auto" w:fill="auto"/>
          </w:tcPr>
          <w:p w14:paraId="5555537F" w14:textId="40B74B99" w:rsidR="00A90FBE" w:rsidRPr="0077128F" w:rsidRDefault="00A90FBE" w:rsidP="001F0EA2">
            <w:pPr>
              <w:rPr>
                <w:sz w:val="22"/>
                <w:szCs w:val="22"/>
                <w:lang w:eastAsia="en-AU"/>
              </w:rPr>
            </w:pPr>
            <w:r w:rsidRPr="0077128F">
              <w:rPr>
                <w:sz w:val="22"/>
                <w:szCs w:val="22"/>
                <w:lang w:eastAsia="en-AU"/>
              </w:rPr>
              <w:t>Major Projects Canberra Independent Advisory Boards</w:t>
            </w:r>
          </w:p>
        </w:tc>
        <w:tc>
          <w:tcPr>
            <w:tcW w:w="2812" w:type="dxa"/>
            <w:shd w:val="clear" w:color="auto" w:fill="auto"/>
          </w:tcPr>
          <w:p w14:paraId="25DF420E" w14:textId="77777777" w:rsidR="00A90FBE" w:rsidRPr="0077128F" w:rsidRDefault="00A90FBE" w:rsidP="00A90FBE">
            <w:pPr>
              <w:rPr>
                <w:sz w:val="22"/>
                <w:szCs w:val="22"/>
                <w:lang w:eastAsia="en-AU"/>
              </w:rPr>
            </w:pPr>
            <w:r w:rsidRPr="0077128F">
              <w:rPr>
                <w:sz w:val="22"/>
                <w:szCs w:val="22"/>
                <w:lang w:eastAsia="en-AU"/>
              </w:rPr>
              <w:t xml:space="preserve">Chair </w:t>
            </w:r>
          </w:p>
          <w:p w14:paraId="4571199C" w14:textId="00F5DB9F" w:rsidR="00A90FBE" w:rsidRPr="0077128F" w:rsidRDefault="00A90FBE" w:rsidP="00A90FBE">
            <w:pPr>
              <w:rPr>
                <w:sz w:val="22"/>
                <w:szCs w:val="22"/>
                <w:lang w:eastAsia="en-AU"/>
              </w:rPr>
            </w:pPr>
            <w:r w:rsidRPr="0077128F">
              <w:rPr>
                <w:sz w:val="22"/>
                <w:szCs w:val="22"/>
                <w:lang w:eastAsia="en-AU"/>
              </w:rPr>
              <w:t>Member</w:t>
            </w:r>
          </w:p>
        </w:tc>
        <w:tc>
          <w:tcPr>
            <w:tcW w:w="1687" w:type="dxa"/>
            <w:gridSpan w:val="2"/>
            <w:shd w:val="clear" w:color="auto" w:fill="auto"/>
            <w:noWrap/>
          </w:tcPr>
          <w:p w14:paraId="4F4BD63C" w14:textId="77777777" w:rsidR="00A90FBE" w:rsidRPr="0077128F" w:rsidRDefault="00B353FA" w:rsidP="002C658A">
            <w:pPr>
              <w:jc w:val="center"/>
              <w:rPr>
                <w:bCs/>
                <w:sz w:val="22"/>
                <w:szCs w:val="22"/>
              </w:rPr>
            </w:pPr>
            <w:r w:rsidRPr="0077128F">
              <w:rPr>
                <w:bCs/>
                <w:sz w:val="22"/>
                <w:szCs w:val="22"/>
              </w:rPr>
              <w:t>-</w:t>
            </w:r>
          </w:p>
          <w:p w14:paraId="1EF053C9" w14:textId="2B66A8E5" w:rsidR="00B353FA" w:rsidRPr="0077128F" w:rsidRDefault="00B353FA" w:rsidP="002C658A">
            <w:pPr>
              <w:jc w:val="center"/>
              <w:rPr>
                <w:bCs/>
                <w:sz w:val="22"/>
                <w:szCs w:val="22"/>
              </w:rPr>
            </w:pPr>
            <w:r w:rsidRPr="0077128F">
              <w:rPr>
                <w:bCs/>
                <w:sz w:val="22"/>
                <w:szCs w:val="22"/>
              </w:rPr>
              <w:t>-</w:t>
            </w:r>
          </w:p>
        </w:tc>
        <w:tc>
          <w:tcPr>
            <w:tcW w:w="1688" w:type="dxa"/>
            <w:gridSpan w:val="2"/>
          </w:tcPr>
          <w:p w14:paraId="5B457980" w14:textId="06BA5117" w:rsidR="00A90FBE" w:rsidRPr="0077128F" w:rsidRDefault="00A90FBE" w:rsidP="00A90FBE">
            <w:pPr>
              <w:jc w:val="center"/>
              <w:rPr>
                <w:bCs/>
                <w:sz w:val="22"/>
                <w:szCs w:val="22"/>
              </w:rPr>
            </w:pPr>
            <w:r w:rsidRPr="0077128F">
              <w:rPr>
                <w:bCs/>
                <w:sz w:val="22"/>
                <w:szCs w:val="22"/>
              </w:rPr>
              <w:t>$</w:t>
            </w:r>
            <w:r w:rsidR="00997958">
              <w:rPr>
                <w:bCs/>
                <w:sz w:val="22"/>
                <w:szCs w:val="22"/>
              </w:rPr>
              <w:t>82,715</w:t>
            </w:r>
          </w:p>
          <w:p w14:paraId="04CAFEE5" w14:textId="1837A2BB" w:rsidR="00A90FBE" w:rsidRPr="0077128F" w:rsidRDefault="00A90FBE" w:rsidP="00997958">
            <w:pPr>
              <w:jc w:val="center"/>
              <w:rPr>
                <w:bCs/>
                <w:sz w:val="22"/>
                <w:szCs w:val="22"/>
              </w:rPr>
            </w:pPr>
            <w:r w:rsidRPr="0077128F">
              <w:rPr>
                <w:bCs/>
                <w:sz w:val="22"/>
                <w:szCs w:val="22"/>
              </w:rPr>
              <w:t>$</w:t>
            </w:r>
            <w:r w:rsidR="00997958">
              <w:rPr>
                <w:bCs/>
                <w:sz w:val="22"/>
                <w:szCs w:val="22"/>
              </w:rPr>
              <w:t>49,640</w:t>
            </w:r>
          </w:p>
        </w:tc>
      </w:tr>
      <w:tr w:rsidR="0077128F" w:rsidRPr="0077128F" w14:paraId="504396A1" w14:textId="5F5180BA" w:rsidTr="0003415E">
        <w:trPr>
          <w:trHeight w:val="596"/>
          <w:jc w:val="center"/>
        </w:trPr>
        <w:tc>
          <w:tcPr>
            <w:tcW w:w="2830" w:type="dxa"/>
            <w:shd w:val="clear" w:color="auto" w:fill="auto"/>
          </w:tcPr>
          <w:p w14:paraId="5779B9DC" w14:textId="61A305C8" w:rsidR="009E484F" w:rsidRPr="0077128F" w:rsidRDefault="009E484F" w:rsidP="001F0EA2">
            <w:pPr>
              <w:rPr>
                <w:sz w:val="22"/>
                <w:szCs w:val="22"/>
                <w:lang w:eastAsia="en-AU"/>
              </w:rPr>
            </w:pPr>
            <w:r w:rsidRPr="0077128F">
              <w:rPr>
                <w:sz w:val="22"/>
                <w:szCs w:val="22"/>
                <w:lang w:eastAsia="en-AU"/>
              </w:rPr>
              <w:t>Management Assessment Panel</w:t>
            </w:r>
          </w:p>
        </w:tc>
        <w:tc>
          <w:tcPr>
            <w:tcW w:w="2812" w:type="dxa"/>
            <w:shd w:val="clear" w:color="auto" w:fill="auto"/>
          </w:tcPr>
          <w:p w14:paraId="73DC045C" w14:textId="11054F30"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AA03CA6" w14:textId="7883765D" w:rsidR="009E484F" w:rsidRPr="0077128F" w:rsidRDefault="00CE14AA" w:rsidP="00997958">
            <w:pPr>
              <w:jc w:val="center"/>
              <w:rPr>
                <w:strike/>
                <w:sz w:val="22"/>
                <w:szCs w:val="22"/>
                <w:lang w:eastAsia="en-AU"/>
              </w:rPr>
            </w:pPr>
            <w:r w:rsidRPr="0077128F">
              <w:rPr>
                <w:bCs/>
                <w:sz w:val="22"/>
                <w:szCs w:val="22"/>
              </w:rPr>
              <w:t>$5</w:t>
            </w:r>
            <w:r w:rsidR="00997958">
              <w:rPr>
                <w:bCs/>
                <w:sz w:val="22"/>
                <w:szCs w:val="22"/>
              </w:rPr>
              <w:t>70</w:t>
            </w:r>
          </w:p>
        </w:tc>
        <w:tc>
          <w:tcPr>
            <w:tcW w:w="1688" w:type="dxa"/>
            <w:gridSpan w:val="2"/>
          </w:tcPr>
          <w:p w14:paraId="54C45189" w14:textId="2BC7F296"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C69D0AE" w14:textId="0A78D92D" w:rsidTr="0003415E">
        <w:trPr>
          <w:trHeight w:val="596"/>
          <w:jc w:val="center"/>
        </w:trPr>
        <w:tc>
          <w:tcPr>
            <w:tcW w:w="2830" w:type="dxa"/>
            <w:shd w:val="clear" w:color="auto" w:fill="auto"/>
            <w:hideMark/>
          </w:tcPr>
          <w:p w14:paraId="480030DF" w14:textId="77777777" w:rsidR="009E484F" w:rsidRPr="0077128F" w:rsidRDefault="009E484F" w:rsidP="001F0EA2">
            <w:pPr>
              <w:rPr>
                <w:sz w:val="22"/>
                <w:szCs w:val="22"/>
                <w:lang w:eastAsia="en-AU"/>
              </w:rPr>
            </w:pPr>
            <w:r w:rsidRPr="0077128F">
              <w:rPr>
                <w:sz w:val="22"/>
                <w:szCs w:val="22"/>
                <w:lang w:eastAsia="en-AU"/>
              </w:rPr>
              <w:t xml:space="preserve">Ministerial Advisory Council on Ageing </w:t>
            </w:r>
          </w:p>
        </w:tc>
        <w:tc>
          <w:tcPr>
            <w:tcW w:w="2812" w:type="dxa"/>
            <w:shd w:val="clear" w:color="auto" w:fill="auto"/>
            <w:hideMark/>
          </w:tcPr>
          <w:p w14:paraId="4A5FAEEE" w14:textId="13BB9E83"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3C6CB15" w14:textId="2C63624B" w:rsidR="009E484F" w:rsidRPr="0077128F" w:rsidRDefault="00CE14AA" w:rsidP="00997958">
            <w:pPr>
              <w:jc w:val="center"/>
              <w:rPr>
                <w:strike/>
                <w:sz w:val="22"/>
                <w:szCs w:val="22"/>
                <w:lang w:eastAsia="en-AU"/>
              </w:rPr>
            </w:pPr>
            <w:r w:rsidRPr="0077128F">
              <w:rPr>
                <w:bCs/>
                <w:sz w:val="22"/>
                <w:szCs w:val="22"/>
              </w:rPr>
              <w:t>$</w:t>
            </w:r>
            <w:r w:rsidR="00FB0BCA" w:rsidRPr="0077128F">
              <w:rPr>
                <w:bCs/>
                <w:sz w:val="22"/>
                <w:szCs w:val="22"/>
              </w:rPr>
              <w:t>5</w:t>
            </w:r>
            <w:r w:rsidR="00997958">
              <w:rPr>
                <w:bCs/>
                <w:sz w:val="22"/>
                <w:szCs w:val="22"/>
              </w:rPr>
              <w:t>50</w:t>
            </w:r>
          </w:p>
        </w:tc>
        <w:tc>
          <w:tcPr>
            <w:tcW w:w="1688" w:type="dxa"/>
            <w:gridSpan w:val="2"/>
          </w:tcPr>
          <w:p w14:paraId="5930561C" w14:textId="30B22FCC"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80041D6" w14:textId="4AF7CB42" w:rsidTr="0003415E">
        <w:trPr>
          <w:trHeight w:val="300"/>
          <w:jc w:val="center"/>
        </w:trPr>
        <w:tc>
          <w:tcPr>
            <w:tcW w:w="2830" w:type="dxa"/>
            <w:shd w:val="clear" w:color="auto" w:fill="auto"/>
            <w:hideMark/>
          </w:tcPr>
          <w:p w14:paraId="5EE45B88" w14:textId="3F6A88C2" w:rsidR="009E484F" w:rsidRPr="0077128F" w:rsidRDefault="009E484F" w:rsidP="001F0EA2">
            <w:pPr>
              <w:rPr>
                <w:sz w:val="22"/>
                <w:szCs w:val="22"/>
                <w:lang w:eastAsia="en-AU"/>
              </w:rPr>
            </w:pPr>
            <w:r w:rsidRPr="0077128F">
              <w:rPr>
                <w:sz w:val="22"/>
                <w:szCs w:val="22"/>
                <w:lang w:eastAsia="en-AU"/>
              </w:rPr>
              <w:lastRenderedPageBreak/>
              <w:t>Medicines Advisory Committee</w:t>
            </w:r>
          </w:p>
        </w:tc>
        <w:tc>
          <w:tcPr>
            <w:tcW w:w="2812" w:type="dxa"/>
            <w:shd w:val="clear" w:color="auto" w:fill="auto"/>
            <w:hideMark/>
          </w:tcPr>
          <w:p w14:paraId="7998545B" w14:textId="179F9504" w:rsidR="009E484F" w:rsidRPr="0077128F" w:rsidRDefault="009E484F" w:rsidP="001F0EA2">
            <w:pPr>
              <w:rPr>
                <w:sz w:val="22"/>
                <w:szCs w:val="22"/>
                <w:lang w:eastAsia="en-AU"/>
              </w:rPr>
            </w:pPr>
            <w:r w:rsidRPr="0077128F">
              <w:rPr>
                <w:sz w:val="22"/>
                <w:szCs w:val="22"/>
                <w:lang w:eastAsia="en-AU"/>
              </w:rPr>
              <w:t xml:space="preserve">Chair </w:t>
            </w:r>
          </w:p>
          <w:p w14:paraId="63E93319" w14:textId="6024833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A355F78" w14:textId="515A366E" w:rsidR="00BF2F01" w:rsidRPr="0077128F" w:rsidRDefault="00BF2F01" w:rsidP="00BF2F01">
            <w:pPr>
              <w:jc w:val="center"/>
              <w:rPr>
                <w:bCs/>
                <w:sz w:val="22"/>
                <w:szCs w:val="22"/>
                <w:lang w:eastAsia="en-AU"/>
              </w:rPr>
            </w:pPr>
            <w:r w:rsidRPr="0077128F">
              <w:rPr>
                <w:bCs/>
                <w:sz w:val="22"/>
                <w:szCs w:val="22"/>
              </w:rPr>
              <w:t>$5</w:t>
            </w:r>
            <w:r w:rsidR="009A2312">
              <w:rPr>
                <w:bCs/>
                <w:sz w:val="22"/>
                <w:szCs w:val="22"/>
              </w:rPr>
              <w:t>70</w:t>
            </w:r>
          </w:p>
          <w:p w14:paraId="13561214" w14:textId="120A1DD2" w:rsidR="009E484F" w:rsidRPr="0077128F" w:rsidRDefault="00BF2F01" w:rsidP="009A2312">
            <w:pPr>
              <w:jc w:val="center"/>
              <w:rPr>
                <w:strike/>
                <w:sz w:val="22"/>
                <w:szCs w:val="22"/>
                <w:lang w:eastAsia="en-AU"/>
              </w:rPr>
            </w:pPr>
            <w:r w:rsidRPr="0077128F">
              <w:rPr>
                <w:bCs/>
                <w:sz w:val="22"/>
                <w:szCs w:val="22"/>
              </w:rPr>
              <w:t>$4</w:t>
            </w:r>
            <w:r w:rsidR="009A2312">
              <w:rPr>
                <w:bCs/>
                <w:sz w:val="22"/>
                <w:szCs w:val="22"/>
              </w:rPr>
              <w:t>90</w:t>
            </w:r>
          </w:p>
        </w:tc>
        <w:tc>
          <w:tcPr>
            <w:tcW w:w="1688" w:type="dxa"/>
            <w:gridSpan w:val="2"/>
          </w:tcPr>
          <w:p w14:paraId="1B151CDA" w14:textId="77777777" w:rsidR="009E484F" w:rsidRPr="0077128F" w:rsidRDefault="002C658A" w:rsidP="002C658A">
            <w:pPr>
              <w:jc w:val="center"/>
              <w:rPr>
                <w:sz w:val="22"/>
                <w:szCs w:val="22"/>
                <w:lang w:eastAsia="en-AU"/>
              </w:rPr>
            </w:pPr>
            <w:r w:rsidRPr="0077128F">
              <w:rPr>
                <w:sz w:val="22"/>
                <w:szCs w:val="22"/>
                <w:lang w:eastAsia="en-AU"/>
              </w:rPr>
              <w:t>-</w:t>
            </w:r>
          </w:p>
          <w:p w14:paraId="1F3D825D" w14:textId="746FF32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BCAE156" w14:textId="15BEE608" w:rsidTr="0003415E">
        <w:trPr>
          <w:trHeight w:val="300"/>
          <w:jc w:val="center"/>
        </w:trPr>
        <w:tc>
          <w:tcPr>
            <w:tcW w:w="2830" w:type="dxa"/>
            <w:shd w:val="clear" w:color="auto" w:fill="auto"/>
          </w:tcPr>
          <w:p w14:paraId="7D52A49D" w14:textId="14008EB8" w:rsidR="009E484F" w:rsidRPr="0077128F" w:rsidRDefault="009E484F" w:rsidP="001F0EA2">
            <w:pPr>
              <w:rPr>
                <w:sz w:val="22"/>
                <w:szCs w:val="22"/>
                <w:lang w:eastAsia="en-AU"/>
              </w:rPr>
            </w:pPr>
            <w:r w:rsidRPr="0077128F">
              <w:rPr>
                <w:sz w:val="22"/>
                <w:szCs w:val="22"/>
                <w:lang w:eastAsia="en-AU"/>
              </w:rPr>
              <w:t>Mental Health Advisory Council</w:t>
            </w:r>
          </w:p>
        </w:tc>
        <w:tc>
          <w:tcPr>
            <w:tcW w:w="2812" w:type="dxa"/>
            <w:shd w:val="clear" w:color="auto" w:fill="auto"/>
          </w:tcPr>
          <w:p w14:paraId="6682292C" w14:textId="73CA7067" w:rsidR="009E484F" w:rsidRPr="0077128F" w:rsidRDefault="009E484F" w:rsidP="001F0EA2">
            <w:pPr>
              <w:rPr>
                <w:sz w:val="22"/>
                <w:szCs w:val="22"/>
                <w:lang w:eastAsia="en-AU"/>
              </w:rPr>
            </w:pPr>
            <w:r w:rsidRPr="0077128F">
              <w:rPr>
                <w:sz w:val="22"/>
                <w:szCs w:val="22"/>
                <w:lang w:eastAsia="en-AU"/>
              </w:rPr>
              <w:t xml:space="preserve">Chair </w:t>
            </w:r>
          </w:p>
          <w:p w14:paraId="2A726CDB" w14:textId="38470BB1"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56698F5" w14:textId="77777777" w:rsidR="009A2312" w:rsidRPr="0077128F" w:rsidRDefault="009A2312" w:rsidP="009A2312">
            <w:pPr>
              <w:jc w:val="center"/>
              <w:rPr>
                <w:bCs/>
                <w:sz w:val="22"/>
                <w:szCs w:val="22"/>
                <w:lang w:eastAsia="en-AU"/>
              </w:rPr>
            </w:pPr>
            <w:r w:rsidRPr="0077128F">
              <w:rPr>
                <w:bCs/>
                <w:sz w:val="22"/>
                <w:szCs w:val="22"/>
              </w:rPr>
              <w:t>$5</w:t>
            </w:r>
            <w:r>
              <w:rPr>
                <w:bCs/>
                <w:sz w:val="22"/>
                <w:szCs w:val="22"/>
              </w:rPr>
              <w:t>70</w:t>
            </w:r>
          </w:p>
          <w:p w14:paraId="1EFF1B66" w14:textId="7C06D820" w:rsidR="009E484F" w:rsidRPr="0077128F" w:rsidRDefault="009A2312" w:rsidP="009A2312">
            <w:pPr>
              <w:jc w:val="center"/>
              <w:rPr>
                <w:strike/>
                <w:sz w:val="22"/>
                <w:szCs w:val="22"/>
                <w:lang w:eastAsia="en-AU"/>
              </w:rPr>
            </w:pPr>
            <w:r w:rsidRPr="0077128F">
              <w:rPr>
                <w:bCs/>
                <w:sz w:val="22"/>
                <w:szCs w:val="22"/>
              </w:rPr>
              <w:t>$4</w:t>
            </w:r>
            <w:r>
              <w:rPr>
                <w:bCs/>
                <w:sz w:val="22"/>
                <w:szCs w:val="22"/>
              </w:rPr>
              <w:t>90</w:t>
            </w:r>
          </w:p>
        </w:tc>
        <w:tc>
          <w:tcPr>
            <w:tcW w:w="1688" w:type="dxa"/>
            <w:gridSpan w:val="2"/>
          </w:tcPr>
          <w:p w14:paraId="05D0C005" w14:textId="77777777" w:rsidR="009E484F" w:rsidRPr="0077128F" w:rsidRDefault="002C658A" w:rsidP="002C658A">
            <w:pPr>
              <w:jc w:val="center"/>
              <w:rPr>
                <w:sz w:val="22"/>
                <w:szCs w:val="22"/>
                <w:lang w:eastAsia="en-AU"/>
              </w:rPr>
            </w:pPr>
            <w:r w:rsidRPr="0077128F">
              <w:rPr>
                <w:sz w:val="22"/>
                <w:szCs w:val="22"/>
                <w:lang w:eastAsia="en-AU"/>
              </w:rPr>
              <w:t>-</w:t>
            </w:r>
          </w:p>
          <w:p w14:paraId="578B75E1" w14:textId="5E0106EA"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168FFDC" w14:textId="1C3622B0" w:rsidTr="0003415E">
        <w:trPr>
          <w:trHeight w:val="300"/>
          <w:jc w:val="center"/>
        </w:trPr>
        <w:tc>
          <w:tcPr>
            <w:tcW w:w="2830" w:type="dxa"/>
            <w:shd w:val="clear" w:color="auto" w:fill="auto"/>
            <w:hideMark/>
          </w:tcPr>
          <w:p w14:paraId="60469922" w14:textId="34633BFC" w:rsidR="009E484F" w:rsidRPr="0077128F" w:rsidRDefault="009E484F" w:rsidP="001F0EA2">
            <w:pPr>
              <w:rPr>
                <w:sz w:val="22"/>
                <w:szCs w:val="22"/>
                <w:lang w:eastAsia="en-AU"/>
              </w:rPr>
            </w:pPr>
            <w:r w:rsidRPr="0077128F">
              <w:rPr>
                <w:sz w:val="22"/>
                <w:szCs w:val="22"/>
                <w:lang w:eastAsia="en-AU"/>
              </w:rPr>
              <w:t>Ministerial Advisory Council on Women</w:t>
            </w:r>
          </w:p>
        </w:tc>
        <w:tc>
          <w:tcPr>
            <w:tcW w:w="2812" w:type="dxa"/>
            <w:shd w:val="clear" w:color="auto" w:fill="auto"/>
            <w:hideMark/>
          </w:tcPr>
          <w:p w14:paraId="0F6D9CC6" w14:textId="18984AE9"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7B240F39" w14:textId="2AB6F81C" w:rsidR="009E484F" w:rsidRPr="0077128F" w:rsidRDefault="00CE14AA" w:rsidP="009A2312">
            <w:pPr>
              <w:jc w:val="center"/>
              <w:rPr>
                <w:strike/>
                <w:sz w:val="22"/>
                <w:szCs w:val="22"/>
                <w:lang w:eastAsia="en-AU"/>
              </w:rPr>
            </w:pPr>
            <w:r w:rsidRPr="0077128F">
              <w:rPr>
                <w:bCs/>
                <w:sz w:val="22"/>
                <w:szCs w:val="22"/>
              </w:rPr>
              <w:t>$5</w:t>
            </w:r>
            <w:r w:rsidR="009A2312">
              <w:rPr>
                <w:bCs/>
                <w:sz w:val="22"/>
                <w:szCs w:val="22"/>
              </w:rPr>
              <w:t>50</w:t>
            </w:r>
          </w:p>
        </w:tc>
        <w:tc>
          <w:tcPr>
            <w:tcW w:w="1688" w:type="dxa"/>
            <w:gridSpan w:val="2"/>
          </w:tcPr>
          <w:p w14:paraId="63DD8DA1" w14:textId="66B5F2B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E17188C" w14:textId="458F5592" w:rsidTr="0003415E">
        <w:trPr>
          <w:trHeight w:val="610"/>
          <w:jc w:val="center"/>
        </w:trPr>
        <w:tc>
          <w:tcPr>
            <w:tcW w:w="2830" w:type="dxa"/>
            <w:shd w:val="clear" w:color="auto" w:fill="auto"/>
            <w:hideMark/>
          </w:tcPr>
          <w:p w14:paraId="55B98ED8" w14:textId="25952B96" w:rsidR="009E484F" w:rsidRPr="0077128F" w:rsidRDefault="009E484F" w:rsidP="001F0EA2">
            <w:pPr>
              <w:rPr>
                <w:sz w:val="22"/>
                <w:szCs w:val="22"/>
                <w:lang w:eastAsia="en-AU"/>
              </w:rPr>
            </w:pPr>
            <w:r w:rsidRPr="0077128F">
              <w:rPr>
                <w:sz w:val="22"/>
                <w:szCs w:val="22"/>
                <w:lang w:eastAsia="en-AU"/>
              </w:rPr>
              <w:t>Multicultural Advisory Council</w:t>
            </w:r>
          </w:p>
        </w:tc>
        <w:tc>
          <w:tcPr>
            <w:tcW w:w="2812" w:type="dxa"/>
            <w:shd w:val="clear" w:color="auto" w:fill="auto"/>
            <w:hideMark/>
          </w:tcPr>
          <w:p w14:paraId="4AA9C850" w14:textId="257E9CAB" w:rsidR="009E484F" w:rsidRPr="0077128F" w:rsidRDefault="009E484F" w:rsidP="001F0EA2">
            <w:pPr>
              <w:rPr>
                <w:sz w:val="22"/>
                <w:szCs w:val="22"/>
                <w:lang w:eastAsia="en-AU"/>
              </w:rPr>
            </w:pPr>
            <w:r w:rsidRPr="0077128F">
              <w:rPr>
                <w:sz w:val="22"/>
                <w:szCs w:val="22"/>
                <w:lang w:eastAsia="en-AU"/>
              </w:rPr>
              <w:t xml:space="preserve">Chair </w:t>
            </w:r>
          </w:p>
          <w:p w14:paraId="6E7688B7" w14:textId="054D25AA" w:rsidR="009E484F" w:rsidRPr="0077128F" w:rsidRDefault="009E484F" w:rsidP="001F0EA2">
            <w:pPr>
              <w:rPr>
                <w:sz w:val="22"/>
                <w:szCs w:val="22"/>
                <w:lang w:eastAsia="en-AU"/>
              </w:rPr>
            </w:pPr>
            <w:r w:rsidRPr="0077128F">
              <w:rPr>
                <w:sz w:val="22"/>
                <w:szCs w:val="22"/>
                <w:lang w:eastAsia="en-AU"/>
              </w:rPr>
              <w:t xml:space="preserve">Deputy Chair </w:t>
            </w:r>
          </w:p>
        </w:tc>
        <w:tc>
          <w:tcPr>
            <w:tcW w:w="1687" w:type="dxa"/>
            <w:gridSpan w:val="2"/>
            <w:shd w:val="clear" w:color="auto" w:fill="auto"/>
            <w:noWrap/>
          </w:tcPr>
          <w:p w14:paraId="347040B1" w14:textId="1D6B886A" w:rsidR="00CE14AA" w:rsidRPr="0077128F" w:rsidRDefault="00CE14AA" w:rsidP="002C658A">
            <w:pPr>
              <w:jc w:val="center"/>
              <w:rPr>
                <w:bCs/>
                <w:sz w:val="22"/>
                <w:szCs w:val="22"/>
              </w:rPr>
            </w:pPr>
            <w:r w:rsidRPr="0077128F">
              <w:rPr>
                <w:bCs/>
                <w:sz w:val="22"/>
                <w:szCs w:val="22"/>
              </w:rPr>
              <w:t>$5</w:t>
            </w:r>
            <w:r w:rsidR="009A2312">
              <w:rPr>
                <w:bCs/>
                <w:sz w:val="22"/>
                <w:szCs w:val="22"/>
              </w:rPr>
              <w:t>50</w:t>
            </w:r>
          </w:p>
          <w:p w14:paraId="2BEFEB00" w14:textId="27745F20" w:rsidR="009E484F" w:rsidRPr="0077128F" w:rsidRDefault="00CE14AA" w:rsidP="009A2312">
            <w:pPr>
              <w:jc w:val="center"/>
              <w:rPr>
                <w:strike/>
                <w:sz w:val="22"/>
                <w:szCs w:val="22"/>
                <w:lang w:eastAsia="en-AU"/>
              </w:rPr>
            </w:pPr>
            <w:r w:rsidRPr="0077128F">
              <w:rPr>
                <w:bCs/>
                <w:sz w:val="22"/>
                <w:szCs w:val="22"/>
              </w:rPr>
              <w:t>$4</w:t>
            </w:r>
            <w:r w:rsidR="009A2312">
              <w:rPr>
                <w:bCs/>
                <w:sz w:val="22"/>
                <w:szCs w:val="22"/>
              </w:rPr>
              <w:t>90</w:t>
            </w:r>
          </w:p>
        </w:tc>
        <w:tc>
          <w:tcPr>
            <w:tcW w:w="1688" w:type="dxa"/>
            <w:gridSpan w:val="2"/>
          </w:tcPr>
          <w:p w14:paraId="6D2DD695" w14:textId="77777777" w:rsidR="009E484F" w:rsidRPr="0077128F" w:rsidRDefault="002C658A" w:rsidP="002C658A">
            <w:pPr>
              <w:jc w:val="center"/>
              <w:rPr>
                <w:sz w:val="22"/>
                <w:szCs w:val="22"/>
                <w:lang w:eastAsia="en-AU"/>
              </w:rPr>
            </w:pPr>
            <w:r w:rsidRPr="0077128F">
              <w:rPr>
                <w:sz w:val="22"/>
                <w:szCs w:val="22"/>
                <w:lang w:eastAsia="en-AU"/>
              </w:rPr>
              <w:t>-</w:t>
            </w:r>
          </w:p>
          <w:p w14:paraId="26D29416" w14:textId="6E81E2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477E0E56" w14:textId="7787E5DB" w:rsidTr="0003415E">
        <w:trPr>
          <w:trHeight w:val="610"/>
          <w:jc w:val="center"/>
        </w:trPr>
        <w:tc>
          <w:tcPr>
            <w:tcW w:w="2830" w:type="dxa"/>
            <w:shd w:val="clear" w:color="auto" w:fill="auto"/>
          </w:tcPr>
          <w:p w14:paraId="1DE3A1CF" w14:textId="128E0C7D" w:rsidR="009E484F" w:rsidRPr="0077128F" w:rsidRDefault="009E484F" w:rsidP="001F0EA2">
            <w:pPr>
              <w:rPr>
                <w:sz w:val="22"/>
                <w:szCs w:val="22"/>
                <w:lang w:eastAsia="en-AU"/>
              </w:rPr>
            </w:pPr>
            <w:r w:rsidRPr="0077128F">
              <w:rPr>
                <w:sz w:val="22"/>
                <w:szCs w:val="22"/>
                <w:lang w:eastAsia="en-AU"/>
              </w:rPr>
              <w:t>Natural Resource Management Advisory Committee</w:t>
            </w:r>
          </w:p>
        </w:tc>
        <w:tc>
          <w:tcPr>
            <w:tcW w:w="2812" w:type="dxa"/>
            <w:shd w:val="clear" w:color="auto" w:fill="auto"/>
          </w:tcPr>
          <w:p w14:paraId="40C34868" w14:textId="7BAAA08E" w:rsidR="009E484F" w:rsidRPr="0077128F" w:rsidRDefault="009E484F" w:rsidP="001F0EA2">
            <w:pPr>
              <w:rPr>
                <w:sz w:val="22"/>
                <w:szCs w:val="22"/>
                <w:lang w:eastAsia="en-AU"/>
              </w:rPr>
            </w:pPr>
            <w:r w:rsidRPr="0077128F">
              <w:rPr>
                <w:sz w:val="22"/>
                <w:szCs w:val="22"/>
                <w:lang w:eastAsia="en-AU"/>
              </w:rPr>
              <w:t xml:space="preserve">Chair </w:t>
            </w:r>
          </w:p>
          <w:p w14:paraId="1EBD9F31" w14:textId="5BDE517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30EFCC" w14:textId="5308E01A" w:rsidR="00BF2F01" w:rsidRPr="0077128F" w:rsidRDefault="00BF2F01" w:rsidP="00BF2F01">
            <w:pPr>
              <w:jc w:val="center"/>
              <w:rPr>
                <w:bCs/>
                <w:sz w:val="22"/>
                <w:szCs w:val="22"/>
                <w:lang w:eastAsia="en-AU"/>
              </w:rPr>
            </w:pPr>
            <w:r w:rsidRPr="0077128F">
              <w:rPr>
                <w:bCs/>
                <w:sz w:val="22"/>
                <w:szCs w:val="22"/>
              </w:rPr>
              <w:t>$5</w:t>
            </w:r>
            <w:r w:rsidR="009A2312">
              <w:rPr>
                <w:bCs/>
                <w:sz w:val="22"/>
                <w:szCs w:val="22"/>
              </w:rPr>
              <w:t>70</w:t>
            </w:r>
          </w:p>
          <w:p w14:paraId="2E09C2AC" w14:textId="4D7452F5" w:rsidR="009E484F" w:rsidRPr="0077128F" w:rsidRDefault="00BF2F01" w:rsidP="009A2312">
            <w:pPr>
              <w:jc w:val="center"/>
              <w:rPr>
                <w:strike/>
                <w:sz w:val="22"/>
                <w:szCs w:val="22"/>
                <w:lang w:eastAsia="en-AU"/>
              </w:rPr>
            </w:pPr>
            <w:r w:rsidRPr="0077128F">
              <w:rPr>
                <w:bCs/>
                <w:sz w:val="22"/>
                <w:szCs w:val="22"/>
              </w:rPr>
              <w:t>$4</w:t>
            </w:r>
            <w:r w:rsidR="009A2312">
              <w:rPr>
                <w:bCs/>
                <w:sz w:val="22"/>
                <w:szCs w:val="22"/>
              </w:rPr>
              <w:t>90</w:t>
            </w:r>
          </w:p>
        </w:tc>
        <w:tc>
          <w:tcPr>
            <w:tcW w:w="1688" w:type="dxa"/>
            <w:gridSpan w:val="2"/>
          </w:tcPr>
          <w:p w14:paraId="07E34F04" w14:textId="77777777" w:rsidR="009E484F" w:rsidRPr="0077128F" w:rsidRDefault="002C658A" w:rsidP="002C658A">
            <w:pPr>
              <w:jc w:val="center"/>
              <w:rPr>
                <w:sz w:val="22"/>
                <w:szCs w:val="22"/>
                <w:lang w:eastAsia="en-AU"/>
              </w:rPr>
            </w:pPr>
            <w:r w:rsidRPr="0077128F">
              <w:rPr>
                <w:sz w:val="22"/>
                <w:szCs w:val="22"/>
                <w:lang w:eastAsia="en-AU"/>
              </w:rPr>
              <w:t>-</w:t>
            </w:r>
          </w:p>
          <w:p w14:paraId="338A08E8" w14:textId="5B1C2A83"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EF76D0" w14:textId="518479FB" w:rsidTr="0003415E">
        <w:trPr>
          <w:trHeight w:val="300"/>
          <w:jc w:val="center"/>
        </w:trPr>
        <w:tc>
          <w:tcPr>
            <w:tcW w:w="2830" w:type="dxa"/>
            <w:shd w:val="clear" w:color="auto" w:fill="auto"/>
            <w:hideMark/>
          </w:tcPr>
          <w:p w14:paraId="68315089" w14:textId="365AF956" w:rsidR="009E484F" w:rsidRPr="0077128F" w:rsidRDefault="009E484F" w:rsidP="001F0EA2">
            <w:pPr>
              <w:rPr>
                <w:sz w:val="22"/>
                <w:szCs w:val="22"/>
                <w:lang w:eastAsia="en-AU"/>
              </w:rPr>
            </w:pPr>
            <w:r w:rsidRPr="0077128F">
              <w:rPr>
                <w:sz w:val="22"/>
                <w:szCs w:val="22"/>
                <w:lang w:eastAsia="en-AU"/>
              </w:rPr>
              <w:t xml:space="preserve">Official Visitor </w:t>
            </w:r>
          </w:p>
        </w:tc>
        <w:tc>
          <w:tcPr>
            <w:tcW w:w="2812" w:type="dxa"/>
            <w:shd w:val="clear" w:color="auto" w:fill="auto"/>
            <w:hideMark/>
          </w:tcPr>
          <w:p w14:paraId="46EB76C7" w14:textId="7AE7E8AA" w:rsidR="009E484F" w:rsidRPr="0077128F" w:rsidRDefault="009E484F" w:rsidP="001F0EA2">
            <w:pPr>
              <w:rPr>
                <w:sz w:val="22"/>
                <w:szCs w:val="22"/>
                <w:lang w:eastAsia="en-AU"/>
              </w:rPr>
            </w:pPr>
            <w:r w:rsidRPr="0077128F">
              <w:rPr>
                <w:sz w:val="22"/>
                <w:szCs w:val="22"/>
                <w:lang w:eastAsia="en-AU"/>
              </w:rPr>
              <w:t xml:space="preserve">Visitor </w:t>
            </w:r>
          </w:p>
        </w:tc>
        <w:tc>
          <w:tcPr>
            <w:tcW w:w="1687" w:type="dxa"/>
            <w:gridSpan w:val="2"/>
            <w:shd w:val="clear" w:color="auto" w:fill="auto"/>
            <w:noWrap/>
          </w:tcPr>
          <w:p w14:paraId="5238966B" w14:textId="35840C9E" w:rsidR="009E484F" w:rsidRPr="0077128F" w:rsidRDefault="00CE14AA" w:rsidP="009A2312">
            <w:pPr>
              <w:jc w:val="center"/>
              <w:rPr>
                <w:bCs/>
                <w:sz w:val="22"/>
                <w:szCs w:val="22"/>
                <w:lang w:eastAsia="en-AU"/>
              </w:rPr>
            </w:pPr>
            <w:r w:rsidRPr="0077128F">
              <w:rPr>
                <w:bCs/>
                <w:sz w:val="22"/>
                <w:szCs w:val="22"/>
              </w:rPr>
              <w:t>$5</w:t>
            </w:r>
            <w:r w:rsidR="009A2312">
              <w:rPr>
                <w:bCs/>
                <w:sz w:val="22"/>
                <w:szCs w:val="22"/>
              </w:rPr>
              <w:t>70</w:t>
            </w:r>
          </w:p>
        </w:tc>
        <w:tc>
          <w:tcPr>
            <w:tcW w:w="1688" w:type="dxa"/>
            <w:gridSpan w:val="2"/>
          </w:tcPr>
          <w:p w14:paraId="624879E2" w14:textId="6297CE5C" w:rsidR="009E484F" w:rsidRPr="0077128F" w:rsidRDefault="002C658A" w:rsidP="002C658A">
            <w:pPr>
              <w:jc w:val="center"/>
              <w:rPr>
                <w:sz w:val="22"/>
                <w:szCs w:val="22"/>
                <w:lang w:eastAsia="en-AU"/>
              </w:rPr>
            </w:pPr>
            <w:r w:rsidRPr="0077128F">
              <w:rPr>
                <w:sz w:val="22"/>
                <w:szCs w:val="22"/>
                <w:lang w:eastAsia="en-AU"/>
              </w:rPr>
              <w:t>-</w:t>
            </w:r>
          </w:p>
        </w:tc>
      </w:tr>
      <w:tr w:rsidR="00054C69" w:rsidRPr="0077128F" w14:paraId="22B7FBC2" w14:textId="77777777" w:rsidTr="0003415E">
        <w:trPr>
          <w:trHeight w:val="300"/>
          <w:jc w:val="center"/>
        </w:trPr>
        <w:tc>
          <w:tcPr>
            <w:tcW w:w="2830" w:type="dxa"/>
            <w:shd w:val="clear" w:color="auto" w:fill="auto"/>
          </w:tcPr>
          <w:p w14:paraId="67254FA7" w14:textId="4180F0A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Our </w:t>
            </w:r>
            <w:proofErr w:type="spellStart"/>
            <w:r w:rsidRPr="00CA7C51">
              <w:rPr>
                <w:color w:val="000000" w:themeColor="text1"/>
                <w:sz w:val="22"/>
                <w:szCs w:val="22"/>
                <w:lang w:eastAsia="en-AU"/>
              </w:rPr>
              <w:t>Booris</w:t>
            </w:r>
            <w:proofErr w:type="spellEnd"/>
            <w:r w:rsidRPr="00CA7C51">
              <w:rPr>
                <w:color w:val="000000" w:themeColor="text1"/>
                <w:sz w:val="22"/>
                <w:szCs w:val="22"/>
                <w:lang w:eastAsia="en-AU"/>
              </w:rPr>
              <w:t xml:space="preserve"> Our Way Implementation Oversight Committee</w:t>
            </w:r>
          </w:p>
        </w:tc>
        <w:tc>
          <w:tcPr>
            <w:tcW w:w="2812" w:type="dxa"/>
            <w:shd w:val="clear" w:color="auto" w:fill="auto"/>
          </w:tcPr>
          <w:p w14:paraId="2B50452B" w14:textId="77777777"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 xml:space="preserve">Chair </w:t>
            </w:r>
          </w:p>
          <w:p w14:paraId="1D6D9ED3" w14:textId="417A5199" w:rsidR="00054C69" w:rsidRPr="00CA7C51" w:rsidRDefault="00054C69" w:rsidP="00054C69">
            <w:pPr>
              <w:rPr>
                <w:color w:val="000000" w:themeColor="text1"/>
                <w:sz w:val="22"/>
                <w:szCs w:val="22"/>
                <w:lang w:eastAsia="en-AU"/>
              </w:rPr>
            </w:pPr>
            <w:r w:rsidRPr="00CA7C51">
              <w:rPr>
                <w:color w:val="000000" w:themeColor="text1"/>
                <w:sz w:val="22"/>
                <w:szCs w:val="22"/>
                <w:lang w:eastAsia="en-AU"/>
              </w:rPr>
              <w:t>Member</w:t>
            </w:r>
          </w:p>
        </w:tc>
        <w:tc>
          <w:tcPr>
            <w:tcW w:w="1687" w:type="dxa"/>
            <w:gridSpan w:val="2"/>
            <w:shd w:val="clear" w:color="auto" w:fill="auto"/>
            <w:noWrap/>
          </w:tcPr>
          <w:p w14:paraId="3A890162" w14:textId="4C0E624B" w:rsidR="00054C69" w:rsidRPr="00CA7C51" w:rsidRDefault="00054C69" w:rsidP="00054C69">
            <w:pPr>
              <w:jc w:val="center"/>
              <w:rPr>
                <w:bCs/>
                <w:color w:val="000000" w:themeColor="text1"/>
                <w:sz w:val="22"/>
                <w:szCs w:val="22"/>
                <w:lang w:eastAsia="en-AU"/>
              </w:rPr>
            </w:pPr>
            <w:bookmarkStart w:id="3" w:name="OLE_LINK1"/>
            <w:r w:rsidRPr="00CA7C51">
              <w:rPr>
                <w:bCs/>
                <w:color w:val="000000" w:themeColor="text1"/>
                <w:sz w:val="22"/>
                <w:szCs w:val="22"/>
              </w:rPr>
              <w:t>$</w:t>
            </w:r>
            <w:r w:rsidR="00D179B3" w:rsidRPr="00CA7C51">
              <w:rPr>
                <w:bCs/>
                <w:color w:val="000000" w:themeColor="text1"/>
                <w:sz w:val="22"/>
                <w:szCs w:val="22"/>
              </w:rPr>
              <w:t>840</w:t>
            </w:r>
          </w:p>
          <w:p w14:paraId="1172C060" w14:textId="78A338E3" w:rsidR="00054C69" w:rsidRPr="00CA7C51" w:rsidRDefault="00054C69" w:rsidP="00D179B3">
            <w:pPr>
              <w:jc w:val="center"/>
              <w:rPr>
                <w:bCs/>
                <w:color w:val="000000" w:themeColor="text1"/>
                <w:sz w:val="22"/>
                <w:szCs w:val="22"/>
              </w:rPr>
            </w:pPr>
            <w:r w:rsidRPr="00CA7C51">
              <w:rPr>
                <w:bCs/>
                <w:color w:val="000000" w:themeColor="text1"/>
                <w:sz w:val="22"/>
                <w:szCs w:val="22"/>
              </w:rPr>
              <w:t>$</w:t>
            </w:r>
            <w:r w:rsidR="00D179B3" w:rsidRPr="00CA7C51">
              <w:rPr>
                <w:bCs/>
                <w:color w:val="000000" w:themeColor="text1"/>
                <w:sz w:val="22"/>
                <w:szCs w:val="22"/>
              </w:rPr>
              <w:t>740</w:t>
            </w:r>
            <w:bookmarkEnd w:id="3"/>
          </w:p>
        </w:tc>
        <w:tc>
          <w:tcPr>
            <w:tcW w:w="1688" w:type="dxa"/>
            <w:gridSpan w:val="2"/>
          </w:tcPr>
          <w:p w14:paraId="62258CDB" w14:textId="77777777" w:rsidR="00054C69" w:rsidRPr="0077128F" w:rsidRDefault="00054C69" w:rsidP="00054C69">
            <w:pPr>
              <w:jc w:val="center"/>
              <w:rPr>
                <w:sz w:val="22"/>
                <w:szCs w:val="22"/>
                <w:lang w:eastAsia="en-AU"/>
              </w:rPr>
            </w:pPr>
            <w:r w:rsidRPr="0077128F">
              <w:rPr>
                <w:sz w:val="22"/>
                <w:szCs w:val="22"/>
                <w:lang w:eastAsia="en-AU"/>
              </w:rPr>
              <w:t>-</w:t>
            </w:r>
          </w:p>
          <w:p w14:paraId="7A4ACD6E" w14:textId="55998812" w:rsidR="00054C69" w:rsidRPr="0077128F" w:rsidRDefault="00054C69" w:rsidP="00054C69">
            <w:pPr>
              <w:jc w:val="center"/>
              <w:rPr>
                <w:sz w:val="22"/>
                <w:szCs w:val="22"/>
                <w:lang w:eastAsia="en-AU"/>
              </w:rPr>
            </w:pPr>
            <w:r w:rsidRPr="0077128F">
              <w:rPr>
                <w:sz w:val="22"/>
                <w:szCs w:val="22"/>
                <w:lang w:eastAsia="en-AU"/>
              </w:rPr>
              <w:t>-</w:t>
            </w:r>
          </w:p>
        </w:tc>
      </w:tr>
      <w:tr w:rsidR="0077128F" w:rsidRPr="0077128F" w14:paraId="1A9A6CD5" w14:textId="1178BBEE" w:rsidTr="0003415E">
        <w:trPr>
          <w:trHeight w:val="634"/>
          <w:jc w:val="center"/>
        </w:trPr>
        <w:tc>
          <w:tcPr>
            <w:tcW w:w="2830" w:type="dxa"/>
            <w:shd w:val="clear" w:color="auto" w:fill="auto"/>
            <w:hideMark/>
          </w:tcPr>
          <w:p w14:paraId="2C1BDF85" w14:textId="77777777" w:rsidR="009E484F" w:rsidRPr="0077128F" w:rsidRDefault="009E484F" w:rsidP="001F0EA2">
            <w:pPr>
              <w:rPr>
                <w:sz w:val="22"/>
                <w:szCs w:val="22"/>
                <w:lang w:eastAsia="en-AU"/>
              </w:rPr>
            </w:pPr>
            <w:r w:rsidRPr="0077128F">
              <w:rPr>
                <w:sz w:val="22"/>
                <w:szCs w:val="22"/>
                <w:lang w:eastAsia="en-AU"/>
              </w:rPr>
              <w:t xml:space="preserve">Plumbing Advisory Board </w:t>
            </w:r>
          </w:p>
        </w:tc>
        <w:tc>
          <w:tcPr>
            <w:tcW w:w="2812" w:type="dxa"/>
            <w:shd w:val="clear" w:color="auto" w:fill="auto"/>
            <w:hideMark/>
          </w:tcPr>
          <w:p w14:paraId="445ABAF9" w14:textId="2DD5C8EE" w:rsidR="009E484F" w:rsidRPr="0077128F" w:rsidRDefault="009E484F" w:rsidP="001F0EA2">
            <w:pPr>
              <w:rPr>
                <w:sz w:val="22"/>
                <w:szCs w:val="22"/>
                <w:lang w:eastAsia="en-AU"/>
              </w:rPr>
            </w:pPr>
            <w:r w:rsidRPr="0077128F">
              <w:rPr>
                <w:sz w:val="22"/>
                <w:szCs w:val="22"/>
                <w:lang w:eastAsia="en-AU"/>
              </w:rPr>
              <w:t xml:space="preserve">Chair </w:t>
            </w:r>
          </w:p>
          <w:p w14:paraId="67C3B6A3" w14:textId="7D8A200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79BEAFA" w14:textId="57257866" w:rsidR="00BF2F01" w:rsidRPr="0077128F" w:rsidRDefault="00BF2F01" w:rsidP="00BF2F01">
            <w:pPr>
              <w:jc w:val="center"/>
              <w:rPr>
                <w:bCs/>
                <w:sz w:val="22"/>
                <w:szCs w:val="22"/>
                <w:lang w:eastAsia="en-AU"/>
              </w:rPr>
            </w:pPr>
            <w:r w:rsidRPr="0077128F">
              <w:rPr>
                <w:bCs/>
                <w:sz w:val="22"/>
                <w:szCs w:val="22"/>
              </w:rPr>
              <w:t>$5</w:t>
            </w:r>
            <w:r w:rsidR="009A2312">
              <w:rPr>
                <w:bCs/>
                <w:sz w:val="22"/>
                <w:szCs w:val="22"/>
              </w:rPr>
              <w:t>70</w:t>
            </w:r>
          </w:p>
          <w:p w14:paraId="4375D5DE" w14:textId="3E7F7FFC" w:rsidR="009E484F" w:rsidRPr="0077128F" w:rsidRDefault="00BF2F01" w:rsidP="009A2312">
            <w:pPr>
              <w:jc w:val="center"/>
              <w:rPr>
                <w:strike/>
                <w:sz w:val="22"/>
                <w:szCs w:val="22"/>
                <w:lang w:eastAsia="en-AU"/>
              </w:rPr>
            </w:pPr>
            <w:r w:rsidRPr="0077128F">
              <w:rPr>
                <w:bCs/>
                <w:sz w:val="22"/>
                <w:szCs w:val="22"/>
              </w:rPr>
              <w:t>$4</w:t>
            </w:r>
            <w:r w:rsidR="009A2312">
              <w:rPr>
                <w:bCs/>
                <w:sz w:val="22"/>
                <w:szCs w:val="22"/>
              </w:rPr>
              <w:t>90</w:t>
            </w:r>
          </w:p>
        </w:tc>
        <w:tc>
          <w:tcPr>
            <w:tcW w:w="1688" w:type="dxa"/>
            <w:gridSpan w:val="2"/>
          </w:tcPr>
          <w:p w14:paraId="74D49967" w14:textId="77777777" w:rsidR="009E484F" w:rsidRPr="0077128F" w:rsidRDefault="002C658A" w:rsidP="002C658A">
            <w:pPr>
              <w:jc w:val="center"/>
              <w:rPr>
                <w:sz w:val="22"/>
                <w:szCs w:val="22"/>
                <w:lang w:eastAsia="en-AU"/>
              </w:rPr>
            </w:pPr>
            <w:r w:rsidRPr="0077128F">
              <w:rPr>
                <w:sz w:val="22"/>
                <w:szCs w:val="22"/>
                <w:lang w:eastAsia="en-AU"/>
              </w:rPr>
              <w:t>-</w:t>
            </w:r>
          </w:p>
          <w:p w14:paraId="5FCE515B" w14:textId="022AAC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4828961" w14:textId="4DB6B840" w:rsidTr="0003415E">
        <w:trPr>
          <w:trHeight w:val="300"/>
          <w:jc w:val="center"/>
        </w:trPr>
        <w:tc>
          <w:tcPr>
            <w:tcW w:w="2830" w:type="dxa"/>
            <w:shd w:val="clear" w:color="auto" w:fill="auto"/>
            <w:hideMark/>
          </w:tcPr>
          <w:p w14:paraId="652B845F" w14:textId="1A449698" w:rsidR="009E484F" w:rsidRPr="0077128F" w:rsidRDefault="009E484F" w:rsidP="001F0EA2">
            <w:pPr>
              <w:rPr>
                <w:sz w:val="22"/>
                <w:szCs w:val="22"/>
                <w:lang w:eastAsia="en-AU"/>
              </w:rPr>
            </w:pPr>
            <w:r w:rsidRPr="0077128F">
              <w:rPr>
                <w:sz w:val="22"/>
                <w:szCs w:val="22"/>
                <w:lang w:eastAsia="en-AU"/>
              </w:rPr>
              <w:t>Public Interest Monitor Panel</w:t>
            </w:r>
          </w:p>
        </w:tc>
        <w:tc>
          <w:tcPr>
            <w:tcW w:w="2812" w:type="dxa"/>
            <w:shd w:val="clear" w:color="auto" w:fill="auto"/>
            <w:hideMark/>
          </w:tcPr>
          <w:p w14:paraId="51821AE9" w14:textId="3F159F9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74F33CA" w14:textId="5D6DA408" w:rsidR="009E484F" w:rsidRPr="0077128F" w:rsidRDefault="009E484F" w:rsidP="009A2312">
            <w:pPr>
              <w:jc w:val="center"/>
              <w:rPr>
                <w:bCs/>
                <w:sz w:val="22"/>
                <w:szCs w:val="22"/>
              </w:rPr>
            </w:pPr>
            <w:r w:rsidRPr="0077128F">
              <w:rPr>
                <w:bCs/>
                <w:sz w:val="22"/>
                <w:szCs w:val="22"/>
              </w:rPr>
              <w:t>$1,</w:t>
            </w:r>
            <w:r w:rsidR="00CE14AA" w:rsidRPr="0077128F">
              <w:rPr>
                <w:bCs/>
                <w:sz w:val="22"/>
                <w:szCs w:val="22"/>
              </w:rPr>
              <w:t>1</w:t>
            </w:r>
            <w:r w:rsidR="009A2312">
              <w:rPr>
                <w:bCs/>
                <w:sz w:val="22"/>
                <w:szCs w:val="22"/>
              </w:rPr>
              <w:t>80</w:t>
            </w:r>
          </w:p>
        </w:tc>
        <w:tc>
          <w:tcPr>
            <w:tcW w:w="1688" w:type="dxa"/>
            <w:gridSpan w:val="2"/>
          </w:tcPr>
          <w:p w14:paraId="75C75167" w14:textId="73439FB7"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E5514CC" w14:textId="7A8ADAAB" w:rsidTr="0003415E">
        <w:trPr>
          <w:trHeight w:val="300"/>
          <w:jc w:val="center"/>
        </w:trPr>
        <w:tc>
          <w:tcPr>
            <w:tcW w:w="2830" w:type="dxa"/>
            <w:shd w:val="clear" w:color="auto" w:fill="auto"/>
          </w:tcPr>
          <w:p w14:paraId="1EC2E4BA" w14:textId="77777777" w:rsidR="009E484F" w:rsidRPr="0077128F" w:rsidRDefault="009E484F" w:rsidP="009E484F">
            <w:pPr>
              <w:rPr>
                <w:sz w:val="22"/>
                <w:szCs w:val="22"/>
                <w:lang w:eastAsia="en-AU"/>
              </w:rPr>
            </w:pPr>
            <w:r w:rsidRPr="0077128F">
              <w:rPr>
                <w:sz w:val="22"/>
                <w:szCs w:val="22"/>
                <w:lang w:eastAsia="en-AU"/>
              </w:rPr>
              <w:t>Public Sector Standards Commissioner</w:t>
            </w:r>
          </w:p>
        </w:tc>
        <w:tc>
          <w:tcPr>
            <w:tcW w:w="2812" w:type="dxa"/>
            <w:shd w:val="clear" w:color="auto" w:fill="auto"/>
          </w:tcPr>
          <w:p w14:paraId="35CD64A6" w14:textId="3490FFAA" w:rsidR="009E484F" w:rsidRPr="0077128F" w:rsidRDefault="009E484F" w:rsidP="009E484F">
            <w:pPr>
              <w:rPr>
                <w:sz w:val="22"/>
                <w:szCs w:val="22"/>
                <w:lang w:eastAsia="en-AU"/>
              </w:rPr>
            </w:pPr>
            <w:r w:rsidRPr="0077128F">
              <w:rPr>
                <w:sz w:val="22"/>
                <w:szCs w:val="22"/>
                <w:lang w:eastAsia="en-AU"/>
              </w:rPr>
              <w:t xml:space="preserve">Public Sector Standards Commissioner </w:t>
            </w:r>
          </w:p>
        </w:tc>
        <w:tc>
          <w:tcPr>
            <w:tcW w:w="1687" w:type="dxa"/>
            <w:gridSpan w:val="2"/>
            <w:shd w:val="clear" w:color="auto" w:fill="auto"/>
            <w:noWrap/>
          </w:tcPr>
          <w:p w14:paraId="239B0D2C" w14:textId="14B68F25" w:rsidR="009E484F" w:rsidRPr="0077128F" w:rsidRDefault="001137B5" w:rsidP="002C658A">
            <w:pPr>
              <w:jc w:val="center"/>
              <w:rPr>
                <w:strike/>
                <w:sz w:val="22"/>
                <w:szCs w:val="22"/>
                <w:lang w:eastAsia="en-AU"/>
              </w:rPr>
            </w:pPr>
            <w:r w:rsidRPr="0077128F">
              <w:rPr>
                <w:bCs/>
                <w:sz w:val="22"/>
                <w:szCs w:val="22"/>
              </w:rPr>
              <w:t>-</w:t>
            </w:r>
          </w:p>
        </w:tc>
        <w:tc>
          <w:tcPr>
            <w:tcW w:w="1688" w:type="dxa"/>
            <w:gridSpan w:val="2"/>
          </w:tcPr>
          <w:p w14:paraId="3D6FFC48" w14:textId="313DAE24" w:rsidR="001142FD" w:rsidRPr="0077128F" w:rsidRDefault="001137B5" w:rsidP="002C658A">
            <w:pPr>
              <w:jc w:val="center"/>
              <w:rPr>
                <w:bCs/>
                <w:sz w:val="22"/>
                <w:szCs w:val="22"/>
              </w:rPr>
            </w:pPr>
            <w:r w:rsidRPr="0077128F">
              <w:rPr>
                <w:bCs/>
                <w:sz w:val="22"/>
                <w:szCs w:val="22"/>
              </w:rPr>
              <w:t>$</w:t>
            </w:r>
            <w:r w:rsidR="009A2312">
              <w:rPr>
                <w:bCs/>
                <w:sz w:val="22"/>
                <w:szCs w:val="22"/>
              </w:rPr>
              <w:t>174,145</w:t>
            </w:r>
          </w:p>
          <w:p w14:paraId="3BF3D4DF" w14:textId="2249E3B7" w:rsidR="009E484F" w:rsidRPr="0077128F" w:rsidRDefault="009E484F" w:rsidP="002C658A">
            <w:pPr>
              <w:jc w:val="center"/>
              <w:rPr>
                <w:bCs/>
                <w:sz w:val="22"/>
                <w:szCs w:val="22"/>
              </w:rPr>
            </w:pPr>
          </w:p>
        </w:tc>
      </w:tr>
      <w:tr w:rsidR="0077128F" w:rsidRPr="0077128F" w14:paraId="5BE87F5E" w14:textId="143A4781" w:rsidTr="0003415E">
        <w:trPr>
          <w:gridAfter w:val="1"/>
          <w:wAfter w:w="13" w:type="dxa"/>
          <w:trHeight w:val="1125"/>
          <w:jc w:val="center"/>
        </w:trPr>
        <w:tc>
          <w:tcPr>
            <w:tcW w:w="2830" w:type="dxa"/>
            <w:shd w:val="clear" w:color="auto" w:fill="auto"/>
            <w:hideMark/>
          </w:tcPr>
          <w:p w14:paraId="64E057AF" w14:textId="77777777" w:rsidR="009E484F" w:rsidRPr="0077128F" w:rsidRDefault="009E484F" w:rsidP="009E484F">
            <w:pPr>
              <w:rPr>
                <w:sz w:val="22"/>
                <w:szCs w:val="22"/>
                <w:lang w:eastAsia="en-AU"/>
              </w:rPr>
            </w:pPr>
            <w:r w:rsidRPr="0077128F">
              <w:rPr>
                <w:sz w:val="22"/>
                <w:szCs w:val="22"/>
                <w:lang w:eastAsia="en-AU"/>
              </w:rPr>
              <w:t>Racing Appeals Tribunal</w:t>
            </w:r>
          </w:p>
        </w:tc>
        <w:tc>
          <w:tcPr>
            <w:tcW w:w="2812" w:type="dxa"/>
            <w:shd w:val="clear" w:color="auto" w:fill="auto"/>
            <w:hideMark/>
          </w:tcPr>
          <w:p w14:paraId="0D90CE30" w14:textId="3B984FD4" w:rsidR="009E484F" w:rsidRPr="0077128F" w:rsidRDefault="009E484F" w:rsidP="009E484F">
            <w:pPr>
              <w:rPr>
                <w:sz w:val="22"/>
                <w:szCs w:val="22"/>
                <w:lang w:eastAsia="en-AU"/>
              </w:rPr>
            </w:pPr>
            <w:r w:rsidRPr="0077128F">
              <w:rPr>
                <w:sz w:val="22"/>
                <w:szCs w:val="22"/>
                <w:lang w:eastAsia="en-AU"/>
              </w:rPr>
              <w:t xml:space="preserve">President </w:t>
            </w:r>
          </w:p>
          <w:p w14:paraId="0742B359" w14:textId="5D3B480A" w:rsidR="009E484F" w:rsidRPr="0077128F" w:rsidRDefault="009E484F" w:rsidP="009E484F">
            <w:pPr>
              <w:rPr>
                <w:sz w:val="22"/>
                <w:szCs w:val="22"/>
                <w:lang w:eastAsia="en-AU"/>
              </w:rPr>
            </w:pPr>
            <w:r w:rsidRPr="0077128F">
              <w:rPr>
                <w:sz w:val="22"/>
                <w:szCs w:val="22"/>
                <w:lang w:eastAsia="en-AU"/>
              </w:rPr>
              <w:t xml:space="preserve">Deputy President </w:t>
            </w:r>
          </w:p>
          <w:p w14:paraId="24E721BE" w14:textId="4647812C" w:rsidR="009E484F" w:rsidRPr="0077128F" w:rsidRDefault="009E484F" w:rsidP="009E484F">
            <w:pPr>
              <w:rPr>
                <w:sz w:val="22"/>
                <w:szCs w:val="22"/>
                <w:lang w:eastAsia="en-AU"/>
              </w:rPr>
            </w:pPr>
            <w:r w:rsidRPr="0077128F">
              <w:rPr>
                <w:sz w:val="22"/>
                <w:szCs w:val="22"/>
                <w:lang w:eastAsia="en-AU"/>
              </w:rPr>
              <w:t xml:space="preserve">Member </w:t>
            </w:r>
          </w:p>
          <w:p w14:paraId="520649A5" w14:textId="40335126" w:rsidR="009E484F" w:rsidRPr="0077128F" w:rsidRDefault="009E484F" w:rsidP="009E484F">
            <w:pPr>
              <w:rPr>
                <w:sz w:val="22"/>
                <w:szCs w:val="22"/>
                <w:lang w:eastAsia="en-AU"/>
              </w:rPr>
            </w:pPr>
            <w:r w:rsidRPr="0077128F">
              <w:rPr>
                <w:sz w:val="22"/>
                <w:szCs w:val="22"/>
                <w:lang w:eastAsia="en-AU"/>
              </w:rPr>
              <w:t xml:space="preserve">Assessor </w:t>
            </w:r>
          </w:p>
        </w:tc>
        <w:tc>
          <w:tcPr>
            <w:tcW w:w="1681" w:type="dxa"/>
            <w:shd w:val="clear" w:color="auto" w:fill="auto"/>
            <w:noWrap/>
          </w:tcPr>
          <w:p w14:paraId="56440DB1" w14:textId="2AD12E14" w:rsidR="009E484F" w:rsidRPr="0077128F" w:rsidRDefault="009E484F" w:rsidP="002C658A">
            <w:pPr>
              <w:jc w:val="center"/>
              <w:rPr>
                <w:bCs/>
                <w:sz w:val="22"/>
                <w:szCs w:val="22"/>
              </w:rPr>
            </w:pPr>
            <w:r w:rsidRPr="0077128F">
              <w:rPr>
                <w:bCs/>
                <w:sz w:val="22"/>
                <w:szCs w:val="22"/>
              </w:rPr>
              <w:t>$</w:t>
            </w:r>
            <w:r w:rsidR="00C81493" w:rsidRPr="0077128F">
              <w:rPr>
                <w:bCs/>
                <w:sz w:val="22"/>
                <w:szCs w:val="22"/>
              </w:rPr>
              <w:t>8</w:t>
            </w:r>
            <w:r w:rsidR="009A2312">
              <w:rPr>
                <w:bCs/>
                <w:sz w:val="22"/>
                <w:szCs w:val="22"/>
              </w:rPr>
              <w:t>95</w:t>
            </w:r>
          </w:p>
          <w:p w14:paraId="0BCE1579" w14:textId="285B9A92" w:rsidR="009E484F" w:rsidRPr="0077128F" w:rsidRDefault="00C81493" w:rsidP="002C658A">
            <w:pPr>
              <w:jc w:val="center"/>
              <w:rPr>
                <w:bCs/>
                <w:sz w:val="22"/>
                <w:szCs w:val="22"/>
              </w:rPr>
            </w:pPr>
            <w:r w:rsidRPr="0077128F">
              <w:rPr>
                <w:bCs/>
                <w:sz w:val="22"/>
                <w:szCs w:val="22"/>
              </w:rPr>
              <w:t>$8</w:t>
            </w:r>
            <w:r w:rsidR="009A2312">
              <w:rPr>
                <w:bCs/>
                <w:sz w:val="22"/>
                <w:szCs w:val="22"/>
              </w:rPr>
              <w:t>20</w:t>
            </w:r>
          </w:p>
          <w:p w14:paraId="7C1A7215" w14:textId="5162AF50" w:rsidR="009E484F" w:rsidRPr="0077128F" w:rsidRDefault="00CE14AA" w:rsidP="002C658A">
            <w:pPr>
              <w:jc w:val="center"/>
              <w:rPr>
                <w:bCs/>
                <w:sz w:val="22"/>
                <w:szCs w:val="22"/>
              </w:rPr>
            </w:pPr>
            <w:r w:rsidRPr="0077128F">
              <w:rPr>
                <w:bCs/>
                <w:sz w:val="22"/>
                <w:szCs w:val="22"/>
              </w:rPr>
              <w:t>$</w:t>
            </w:r>
            <w:r w:rsidR="00B353FA" w:rsidRPr="0077128F">
              <w:rPr>
                <w:bCs/>
                <w:sz w:val="22"/>
                <w:szCs w:val="22"/>
              </w:rPr>
              <w:t>5</w:t>
            </w:r>
            <w:r w:rsidR="009A2312">
              <w:rPr>
                <w:bCs/>
                <w:sz w:val="22"/>
                <w:szCs w:val="22"/>
              </w:rPr>
              <w:t>40</w:t>
            </w:r>
          </w:p>
          <w:p w14:paraId="1D979980" w14:textId="7476E24C" w:rsidR="009E484F" w:rsidRPr="0077128F" w:rsidRDefault="00CE14AA" w:rsidP="009A2312">
            <w:pPr>
              <w:jc w:val="center"/>
              <w:rPr>
                <w:bCs/>
                <w:sz w:val="22"/>
                <w:szCs w:val="22"/>
              </w:rPr>
            </w:pPr>
            <w:r w:rsidRPr="0077128F">
              <w:rPr>
                <w:bCs/>
                <w:sz w:val="22"/>
                <w:szCs w:val="22"/>
              </w:rPr>
              <w:t>$</w:t>
            </w:r>
            <w:r w:rsidR="00B353FA" w:rsidRPr="0077128F">
              <w:rPr>
                <w:bCs/>
                <w:sz w:val="22"/>
                <w:szCs w:val="22"/>
              </w:rPr>
              <w:t>5</w:t>
            </w:r>
            <w:r w:rsidR="009A2312">
              <w:rPr>
                <w:bCs/>
                <w:sz w:val="22"/>
                <w:szCs w:val="22"/>
              </w:rPr>
              <w:t>40</w:t>
            </w:r>
          </w:p>
        </w:tc>
        <w:tc>
          <w:tcPr>
            <w:tcW w:w="1681" w:type="dxa"/>
            <w:gridSpan w:val="2"/>
          </w:tcPr>
          <w:p w14:paraId="0453189C" w14:textId="77777777" w:rsidR="009E484F" w:rsidRPr="0077128F" w:rsidRDefault="002C658A" w:rsidP="002C658A">
            <w:pPr>
              <w:jc w:val="center"/>
              <w:rPr>
                <w:sz w:val="22"/>
                <w:szCs w:val="22"/>
                <w:lang w:eastAsia="en-AU"/>
              </w:rPr>
            </w:pPr>
            <w:r w:rsidRPr="0077128F">
              <w:rPr>
                <w:sz w:val="22"/>
                <w:szCs w:val="22"/>
                <w:lang w:eastAsia="en-AU"/>
              </w:rPr>
              <w:t>-</w:t>
            </w:r>
          </w:p>
          <w:p w14:paraId="7735A9D2" w14:textId="77777777" w:rsidR="002C658A" w:rsidRPr="0077128F" w:rsidRDefault="002C658A" w:rsidP="002C658A">
            <w:pPr>
              <w:jc w:val="center"/>
              <w:rPr>
                <w:sz w:val="22"/>
                <w:szCs w:val="22"/>
                <w:lang w:eastAsia="en-AU"/>
              </w:rPr>
            </w:pPr>
            <w:r w:rsidRPr="0077128F">
              <w:rPr>
                <w:sz w:val="22"/>
                <w:szCs w:val="22"/>
                <w:lang w:eastAsia="en-AU"/>
              </w:rPr>
              <w:t>-</w:t>
            </w:r>
          </w:p>
          <w:p w14:paraId="3C606E80" w14:textId="77777777" w:rsidR="002C658A" w:rsidRPr="0077128F" w:rsidRDefault="002C658A" w:rsidP="002C658A">
            <w:pPr>
              <w:jc w:val="center"/>
              <w:rPr>
                <w:sz w:val="22"/>
                <w:szCs w:val="22"/>
                <w:lang w:eastAsia="en-AU"/>
              </w:rPr>
            </w:pPr>
            <w:r w:rsidRPr="0077128F">
              <w:rPr>
                <w:sz w:val="22"/>
                <w:szCs w:val="22"/>
                <w:lang w:eastAsia="en-AU"/>
              </w:rPr>
              <w:t>-</w:t>
            </w:r>
          </w:p>
          <w:p w14:paraId="1AD5E733" w14:textId="5FB6F9D9"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15E7A65" w14:textId="1B134002" w:rsidTr="0003415E">
        <w:trPr>
          <w:gridAfter w:val="1"/>
          <w:wAfter w:w="13" w:type="dxa"/>
          <w:trHeight w:val="610"/>
          <w:jc w:val="center"/>
        </w:trPr>
        <w:tc>
          <w:tcPr>
            <w:tcW w:w="2830" w:type="dxa"/>
            <w:shd w:val="clear" w:color="auto" w:fill="auto"/>
            <w:hideMark/>
          </w:tcPr>
          <w:p w14:paraId="0484DCEC" w14:textId="5A7BF01A" w:rsidR="009E484F" w:rsidRPr="0077128F" w:rsidRDefault="009E484F" w:rsidP="009E484F">
            <w:pPr>
              <w:rPr>
                <w:sz w:val="22"/>
                <w:szCs w:val="22"/>
                <w:lang w:eastAsia="en-AU"/>
              </w:rPr>
            </w:pPr>
            <w:r w:rsidRPr="0077128F">
              <w:rPr>
                <w:sz w:val="22"/>
                <w:szCs w:val="22"/>
                <w:lang w:eastAsia="en-AU"/>
              </w:rPr>
              <w:t>Radiation Council</w:t>
            </w:r>
          </w:p>
        </w:tc>
        <w:tc>
          <w:tcPr>
            <w:tcW w:w="2812" w:type="dxa"/>
            <w:shd w:val="clear" w:color="auto" w:fill="auto"/>
            <w:hideMark/>
          </w:tcPr>
          <w:p w14:paraId="781BF531" w14:textId="0BBCE252" w:rsidR="009E484F" w:rsidRPr="0077128F" w:rsidRDefault="009E484F" w:rsidP="009E484F">
            <w:pPr>
              <w:rPr>
                <w:sz w:val="22"/>
                <w:szCs w:val="22"/>
                <w:lang w:eastAsia="en-AU"/>
              </w:rPr>
            </w:pPr>
            <w:r w:rsidRPr="0077128F">
              <w:rPr>
                <w:sz w:val="22"/>
                <w:szCs w:val="22"/>
                <w:lang w:eastAsia="en-AU"/>
              </w:rPr>
              <w:t xml:space="preserve">Chair </w:t>
            </w:r>
          </w:p>
          <w:p w14:paraId="639A4B9F" w14:textId="68430A26"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22134CD" w14:textId="62538FB1" w:rsidR="00CE14AA" w:rsidRPr="0077128F" w:rsidRDefault="00CE14AA" w:rsidP="002C658A">
            <w:pPr>
              <w:jc w:val="center"/>
              <w:rPr>
                <w:bCs/>
                <w:sz w:val="22"/>
                <w:szCs w:val="22"/>
                <w:lang w:eastAsia="en-AU"/>
              </w:rPr>
            </w:pPr>
            <w:r w:rsidRPr="0077128F">
              <w:rPr>
                <w:bCs/>
                <w:sz w:val="22"/>
                <w:szCs w:val="22"/>
              </w:rPr>
              <w:t>$5</w:t>
            </w:r>
            <w:r w:rsidR="009A2312">
              <w:rPr>
                <w:bCs/>
                <w:sz w:val="22"/>
                <w:szCs w:val="22"/>
              </w:rPr>
              <w:t>70</w:t>
            </w:r>
          </w:p>
          <w:p w14:paraId="7F7FB562" w14:textId="68F059AA" w:rsidR="009E484F" w:rsidRPr="0077128F" w:rsidRDefault="00CE14AA" w:rsidP="009A2312">
            <w:pPr>
              <w:jc w:val="center"/>
              <w:rPr>
                <w:strike/>
                <w:sz w:val="22"/>
                <w:szCs w:val="22"/>
                <w:lang w:eastAsia="en-AU"/>
              </w:rPr>
            </w:pPr>
            <w:r w:rsidRPr="0077128F">
              <w:rPr>
                <w:bCs/>
                <w:sz w:val="22"/>
                <w:szCs w:val="22"/>
              </w:rPr>
              <w:t>$4</w:t>
            </w:r>
            <w:r w:rsidR="009A2312">
              <w:rPr>
                <w:bCs/>
                <w:sz w:val="22"/>
                <w:szCs w:val="22"/>
              </w:rPr>
              <w:t>90</w:t>
            </w:r>
          </w:p>
        </w:tc>
        <w:tc>
          <w:tcPr>
            <w:tcW w:w="1681" w:type="dxa"/>
            <w:gridSpan w:val="2"/>
          </w:tcPr>
          <w:p w14:paraId="099BE2F6" w14:textId="77777777" w:rsidR="009E484F" w:rsidRPr="0077128F" w:rsidRDefault="002C658A" w:rsidP="002C658A">
            <w:pPr>
              <w:jc w:val="center"/>
              <w:rPr>
                <w:sz w:val="22"/>
                <w:szCs w:val="22"/>
                <w:lang w:eastAsia="en-AU"/>
              </w:rPr>
            </w:pPr>
            <w:r w:rsidRPr="0077128F">
              <w:rPr>
                <w:sz w:val="22"/>
                <w:szCs w:val="22"/>
                <w:lang w:eastAsia="en-AU"/>
              </w:rPr>
              <w:t>-</w:t>
            </w:r>
          </w:p>
          <w:p w14:paraId="4C8B5435" w14:textId="15E41C9E"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2DED07A" w14:textId="182A5A09" w:rsidTr="0003415E">
        <w:trPr>
          <w:gridAfter w:val="1"/>
          <w:wAfter w:w="13" w:type="dxa"/>
          <w:trHeight w:val="300"/>
          <w:jc w:val="center"/>
        </w:trPr>
        <w:tc>
          <w:tcPr>
            <w:tcW w:w="2830" w:type="dxa"/>
            <w:shd w:val="clear" w:color="auto" w:fill="auto"/>
            <w:hideMark/>
          </w:tcPr>
          <w:p w14:paraId="3B5EE378" w14:textId="3C5EA4C6" w:rsidR="009E484F" w:rsidRPr="0077128F" w:rsidRDefault="009E484F" w:rsidP="009E484F">
            <w:pPr>
              <w:rPr>
                <w:sz w:val="22"/>
                <w:szCs w:val="22"/>
                <w:lang w:eastAsia="en-AU"/>
              </w:rPr>
            </w:pPr>
            <w:r w:rsidRPr="0077128F">
              <w:rPr>
                <w:sz w:val="22"/>
                <w:szCs w:val="22"/>
                <w:lang w:eastAsia="en-AU"/>
              </w:rPr>
              <w:t>Scientific Committee</w:t>
            </w:r>
          </w:p>
        </w:tc>
        <w:tc>
          <w:tcPr>
            <w:tcW w:w="2812" w:type="dxa"/>
            <w:shd w:val="clear" w:color="auto" w:fill="auto"/>
            <w:hideMark/>
          </w:tcPr>
          <w:p w14:paraId="424953C7" w14:textId="6EE95401" w:rsidR="009E484F" w:rsidRPr="0077128F" w:rsidRDefault="009E484F" w:rsidP="009E484F">
            <w:pPr>
              <w:rPr>
                <w:sz w:val="22"/>
                <w:szCs w:val="22"/>
                <w:lang w:eastAsia="en-AU"/>
              </w:rPr>
            </w:pPr>
            <w:r w:rsidRPr="0077128F">
              <w:rPr>
                <w:sz w:val="22"/>
                <w:szCs w:val="22"/>
                <w:lang w:eastAsia="en-AU"/>
              </w:rPr>
              <w:t xml:space="preserve">Chair </w:t>
            </w:r>
          </w:p>
          <w:p w14:paraId="121FC353" w14:textId="0848A267"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F47CCE1" w14:textId="6BA663DF" w:rsidR="00C81493" w:rsidRPr="0077128F" w:rsidRDefault="00C81493" w:rsidP="00C81493">
            <w:pPr>
              <w:jc w:val="center"/>
              <w:rPr>
                <w:bCs/>
                <w:sz w:val="22"/>
                <w:szCs w:val="22"/>
                <w:lang w:eastAsia="en-AU"/>
              </w:rPr>
            </w:pPr>
            <w:r w:rsidRPr="0077128F">
              <w:rPr>
                <w:bCs/>
                <w:sz w:val="22"/>
                <w:szCs w:val="22"/>
              </w:rPr>
              <w:t>$5</w:t>
            </w:r>
            <w:r w:rsidR="009A2312">
              <w:rPr>
                <w:bCs/>
                <w:sz w:val="22"/>
                <w:szCs w:val="22"/>
              </w:rPr>
              <w:t>70</w:t>
            </w:r>
          </w:p>
          <w:p w14:paraId="5C0625A3" w14:textId="18AE4862" w:rsidR="009E484F" w:rsidRPr="0077128F" w:rsidRDefault="00C81493" w:rsidP="009A2312">
            <w:pPr>
              <w:jc w:val="center"/>
              <w:rPr>
                <w:strike/>
                <w:sz w:val="22"/>
                <w:szCs w:val="22"/>
                <w:lang w:eastAsia="en-AU"/>
              </w:rPr>
            </w:pPr>
            <w:r w:rsidRPr="0077128F">
              <w:rPr>
                <w:bCs/>
                <w:sz w:val="22"/>
                <w:szCs w:val="22"/>
              </w:rPr>
              <w:t>$4</w:t>
            </w:r>
            <w:r w:rsidR="009A2312">
              <w:rPr>
                <w:bCs/>
                <w:sz w:val="22"/>
                <w:szCs w:val="22"/>
              </w:rPr>
              <w:t>90</w:t>
            </w:r>
          </w:p>
        </w:tc>
        <w:tc>
          <w:tcPr>
            <w:tcW w:w="1681" w:type="dxa"/>
            <w:gridSpan w:val="2"/>
          </w:tcPr>
          <w:p w14:paraId="6B2AA752"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77128F" w:rsidRPr="0077128F" w14:paraId="4DF36C4F" w14:textId="6A81C2C1" w:rsidTr="0003415E">
        <w:trPr>
          <w:gridAfter w:val="1"/>
          <w:wAfter w:w="13" w:type="dxa"/>
          <w:trHeight w:val="920"/>
          <w:jc w:val="center"/>
        </w:trPr>
        <w:tc>
          <w:tcPr>
            <w:tcW w:w="2830" w:type="dxa"/>
            <w:shd w:val="clear" w:color="auto" w:fill="auto"/>
            <w:hideMark/>
          </w:tcPr>
          <w:p w14:paraId="7AB23E38" w14:textId="5E61F165" w:rsidR="009E484F" w:rsidRPr="009B77E5" w:rsidRDefault="009E484F" w:rsidP="009E484F">
            <w:pPr>
              <w:rPr>
                <w:sz w:val="22"/>
                <w:szCs w:val="22"/>
                <w:lang w:eastAsia="en-AU"/>
              </w:rPr>
            </w:pPr>
            <w:r w:rsidRPr="009B77E5">
              <w:rPr>
                <w:sz w:val="22"/>
                <w:szCs w:val="22"/>
                <w:lang w:eastAsia="en-AU"/>
              </w:rPr>
              <w:t>Sentence Administration Board</w:t>
            </w:r>
          </w:p>
        </w:tc>
        <w:tc>
          <w:tcPr>
            <w:tcW w:w="2812" w:type="dxa"/>
            <w:shd w:val="clear" w:color="auto" w:fill="auto"/>
            <w:hideMark/>
          </w:tcPr>
          <w:p w14:paraId="2309E5FA" w14:textId="39ACFA7E" w:rsidR="009E484F" w:rsidRPr="009B77E5" w:rsidRDefault="009E484F" w:rsidP="009E484F">
            <w:pPr>
              <w:rPr>
                <w:sz w:val="22"/>
                <w:szCs w:val="22"/>
                <w:lang w:eastAsia="en-AU"/>
              </w:rPr>
            </w:pPr>
            <w:r w:rsidRPr="009B77E5">
              <w:rPr>
                <w:sz w:val="22"/>
                <w:szCs w:val="22"/>
                <w:lang w:eastAsia="en-AU"/>
              </w:rPr>
              <w:t xml:space="preserve">Chair </w:t>
            </w:r>
          </w:p>
          <w:p w14:paraId="4DC87692" w14:textId="3C129688" w:rsidR="009E484F" w:rsidRPr="009B77E5" w:rsidRDefault="009E484F" w:rsidP="009E484F">
            <w:pPr>
              <w:rPr>
                <w:sz w:val="22"/>
                <w:szCs w:val="22"/>
                <w:lang w:eastAsia="en-AU"/>
              </w:rPr>
            </w:pPr>
            <w:r w:rsidRPr="009B77E5">
              <w:rPr>
                <w:sz w:val="22"/>
                <w:szCs w:val="22"/>
                <w:lang w:eastAsia="en-AU"/>
              </w:rPr>
              <w:t xml:space="preserve">Deputy Chair </w:t>
            </w:r>
          </w:p>
          <w:p w14:paraId="1E799535" w14:textId="658AFC98" w:rsidR="009E484F" w:rsidRPr="009B77E5" w:rsidRDefault="009E484F" w:rsidP="009E484F">
            <w:pPr>
              <w:rPr>
                <w:sz w:val="22"/>
                <w:szCs w:val="22"/>
                <w:lang w:eastAsia="en-AU"/>
              </w:rPr>
            </w:pPr>
            <w:r w:rsidRPr="009B77E5">
              <w:rPr>
                <w:sz w:val="22"/>
                <w:szCs w:val="22"/>
                <w:lang w:eastAsia="en-AU"/>
              </w:rPr>
              <w:t xml:space="preserve">Member </w:t>
            </w:r>
          </w:p>
        </w:tc>
        <w:tc>
          <w:tcPr>
            <w:tcW w:w="1681" w:type="dxa"/>
            <w:shd w:val="clear" w:color="auto" w:fill="auto"/>
            <w:noWrap/>
          </w:tcPr>
          <w:p w14:paraId="6460EE67" w14:textId="77777777" w:rsidR="009E484F" w:rsidRPr="009B77E5" w:rsidRDefault="002C658A" w:rsidP="002C658A">
            <w:pPr>
              <w:jc w:val="center"/>
              <w:rPr>
                <w:bCs/>
                <w:sz w:val="22"/>
                <w:szCs w:val="22"/>
              </w:rPr>
            </w:pPr>
            <w:r w:rsidRPr="009B77E5">
              <w:rPr>
                <w:bCs/>
                <w:sz w:val="22"/>
                <w:szCs w:val="22"/>
              </w:rPr>
              <w:t>-</w:t>
            </w:r>
          </w:p>
          <w:p w14:paraId="75A6CB64" w14:textId="009B6BCC" w:rsidR="009E484F" w:rsidRPr="009B77E5" w:rsidRDefault="002C658A" w:rsidP="002C658A">
            <w:pPr>
              <w:jc w:val="center"/>
              <w:rPr>
                <w:bCs/>
                <w:sz w:val="22"/>
                <w:szCs w:val="22"/>
              </w:rPr>
            </w:pPr>
            <w:r w:rsidRPr="009B77E5">
              <w:rPr>
                <w:bCs/>
                <w:sz w:val="22"/>
                <w:szCs w:val="22"/>
              </w:rPr>
              <w:t>-</w:t>
            </w:r>
          </w:p>
          <w:p w14:paraId="59D4A60F" w14:textId="5B4B4D6B" w:rsidR="009E484F" w:rsidRPr="009B77E5" w:rsidRDefault="009E484F" w:rsidP="002C658A">
            <w:pPr>
              <w:jc w:val="center"/>
              <w:rPr>
                <w:bCs/>
                <w:sz w:val="22"/>
                <w:szCs w:val="22"/>
              </w:rPr>
            </w:pPr>
            <w:r w:rsidRPr="009B77E5">
              <w:rPr>
                <w:bCs/>
                <w:sz w:val="22"/>
                <w:szCs w:val="22"/>
              </w:rPr>
              <w:t>$1,0</w:t>
            </w:r>
            <w:r w:rsidR="00FC1F56" w:rsidRPr="009B77E5">
              <w:rPr>
                <w:bCs/>
                <w:sz w:val="22"/>
                <w:szCs w:val="22"/>
              </w:rPr>
              <w:t>80</w:t>
            </w:r>
          </w:p>
        </w:tc>
        <w:tc>
          <w:tcPr>
            <w:tcW w:w="1681" w:type="dxa"/>
            <w:gridSpan w:val="2"/>
          </w:tcPr>
          <w:p w14:paraId="563EB837" w14:textId="72E5E47A" w:rsidR="009E484F" w:rsidRPr="009B77E5" w:rsidRDefault="009E484F" w:rsidP="002C658A">
            <w:pPr>
              <w:jc w:val="center"/>
              <w:rPr>
                <w:bCs/>
                <w:color w:val="000000" w:themeColor="text1"/>
                <w:sz w:val="22"/>
                <w:szCs w:val="22"/>
              </w:rPr>
            </w:pPr>
            <w:r w:rsidRPr="009B77E5">
              <w:rPr>
                <w:bCs/>
                <w:color w:val="000000" w:themeColor="text1"/>
                <w:sz w:val="22"/>
                <w:szCs w:val="22"/>
              </w:rPr>
              <w:t>$</w:t>
            </w:r>
            <w:r w:rsidR="00B20C7C" w:rsidRPr="009B77E5">
              <w:rPr>
                <w:bCs/>
                <w:color w:val="000000" w:themeColor="text1"/>
                <w:sz w:val="22"/>
                <w:szCs w:val="22"/>
              </w:rPr>
              <w:t>99,960</w:t>
            </w:r>
          </w:p>
          <w:p w14:paraId="3F2E0ACB" w14:textId="22339E32" w:rsidR="009E484F" w:rsidRPr="009B77E5" w:rsidRDefault="00CE14AA" w:rsidP="002C658A">
            <w:pPr>
              <w:jc w:val="center"/>
              <w:rPr>
                <w:bCs/>
                <w:color w:val="000000" w:themeColor="text1"/>
                <w:sz w:val="22"/>
                <w:szCs w:val="22"/>
              </w:rPr>
            </w:pPr>
            <w:r w:rsidRPr="009B77E5">
              <w:rPr>
                <w:bCs/>
                <w:color w:val="000000" w:themeColor="text1"/>
                <w:sz w:val="22"/>
                <w:szCs w:val="22"/>
              </w:rPr>
              <w:t>$</w:t>
            </w:r>
            <w:r w:rsidR="00B20C7C" w:rsidRPr="009B77E5">
              <w:rPr>
                <w:bCs/>
                <w:color w:val="000000" w:themeColor="text1"/>
                <w:sz w:val="22"/>
                <w:szCs w:val="22"/>
              </w:rPr>
              <w:t>89,26</w:t>
            </w:r>
            <w:r w:rsidR="00D947A9" w:rsidRPr="009B77E5">
              <w:rPr>
                <w:bCs/>
                <w:color w:val="000000" w:themeColor="text1"/>
                <w:sz w:val="22"/>
                <w:szCs w:val="22"/>
              </w:rPr>
              <w:t>5</w:t>
            </w:r>
          </w:p>
          <w:p w14:paraId="0F1944AD" w14:textId="74F9AAD3" w:rsidR="002C658A" w:rsidRPr="009B77E5" w:rsidRDefault="002C658A" w:rsidP="002C658A">
            <w:pPr>
              <w:jc w:val="center"/>
              <w:rPr>
                <w:bCs/>
                <w:color w:val="000000" w:themeColor="text1"/>
                <w:sz w:val="22"/>
                <w:szCs w:val="22"/>
              </w:rPr>
            </w:pPr>
            <w:r w:rsidRPr="009B77E5">
              <w:rPr>
                <w:bCs/>
                <w:color w:val="000000" w:themeColor="text1"/>
                <w:sz w:val="22"/>
                <w:szCs w:val="22"/>
              </w:rPr>
              <w:t>-</w:t>
            </w:r>
          </w:p>
        </w:tc>
      </w:tr>
      <w:tr w:rsidR="0077128F" w:rsidRPr="0077128F" w14:paraId="180E369B" w14:textId="576C5D2A" w:rsidTr="0003415E">
        <w:trPr>
          <w:gridAfter w:val="1"/>
          <w:wAfter w:w="13" w:type="dxa"/>
          <w:trHeight w:val="920"/>
          <w:jc w:val="center"/>
        </w:trPr>
        <w:tc>
          <w:tcPr>
            <w:tcW w:w="2830" w:type="dxa"/>
            <w:shd w:val="clear" w:color="auto" w:fill="auto"/>
          </w:tcPr>
          <w:p w14:paraId="1BD5FEA7" w14:textId="5ACED4DE" w:rsidR="009E484F" w:rsidRPr="0077128F" w:rsidRDefault="009E484F" w:rsidP="009E484F">
            <w:pPr>
              <w:rPr>
                <w:sz w:val="22"/>
                <w:szCs w:val="22"/>
                <w:lang w:eastAsia="en-AU"/>
              </w:rPr>
            </w:pPr>
            <w:r w:rsidRPr="0077128F">
              <w:rPr>
                <w:sz w:val="22"/>
                <w:szCs w:val="22"/>
                <w:lang w:eastAsia="en-AU"/>
              </w:rPr>
              <w:t>Suburban Land Agency Board</w:t>
            </w:r>
          </w:p>
        </w:tc>
        <w:tc>
          <w:tcPr>
            <w:tcW w:w="2812" w:type="dxa"/>
            <w:shd w:val="clear" w:color="auto" w:fill="auto"/>
          </w:tcPr>
          <w:p w14:paraId="7B970DA1" w14:textId="3025A252" w:rsidR="009E484F" w:rsidRPr="0077128F" w:rsidRDefault="009E484F" w:rsidP="009E484F">
            <w:pPr>
              <w:rPr>
                <w:sz w:val="22"/>
                <w:szCs w:val="22"/>
                <w:lang w:eastAsia="en-AU"/>
              </w:rPr>
            </w:pPr>
            <w:r w:rsidRPr="0077128F">
              <w:rPr>
                <w:sz w:val="22"/>
                <w:szCs w:val="22"/>
                <w:lang w:eastAsia="en-AU"/>
              </w:rPr>
              <w:t xml:space="preserve">Chair </w:t>
            </w:r>
          </w:p>
          <w:p w14:paraId="6CF2C5D5" w14:textId="2ED0DF22" w:rsidR="009E484F" w:rsidRPr="0077128F" w:rsidRDefault="009E484F" w:rsidP="009E484F">
            <w:pPr>
              <w:rPr>
                <w:sz w:val="22"/>
                <w:szCs w:val="22"/>
                <w:lang w:eastAsia="en-AU"/>
              </w:rPr>
            </w:pPr>
            <w:r w:rsidRPr="0077128F">
              <w:rPr>
                <w:sz w:val="22"/>
                <w:szCs w:val="22"/>
                <w:lang w:eastAsia="en-AU"/>
              </w:rPr>
              <w:t xml:space="preserve">Deputy Chair </w:t>
            </w:r>
          </w:p>
          <w:p w14:paraId="389C6F65" w14:textId="1E0CEFCC"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91B5013" w14:textId="77777777" w:rsidR="009E484F" w:rsidRPr="0077128F" w:rsidRDefault="002C658A" w:rsidP="002C658A">
            <w:pPr>
              <w:jc w:val="center"/>
              <w:rPr>
                <w:sz w:val="22"/>
                <w:szCs w:val="22"/>
                <w:lang w:eastAsia="en-AU"/>
              </w:rPr>
            </w:pPr>
            <w:r w:rsidRPr="0077128F">
              <w:rPr>
                <w:sz w:val="22"/>
                <w:szCs w:val="22"/>
                <w:lang w:eastAsia="en-AU"/>
              </w:rPr>
              <w:t>-</w:t>
            </w:r>
          </w:p>
          <w:p w14:paraId="5FA0802F" w14:textId="77777777" w:rsidR="002C658A" w:rsidRPr="0077128F" w:rsidRDefault="002C658A" w:rsidP="002C658A">
            <w:pPr>
              <w:jc w:val="center"/>
              <w:rPr>
                <w:sz w:val="22"/>
                <w:szCs w:val="22"/>
                <w:lang w:eastAsia="en-AU"/>
              </w:rPr>
            </w:pPr>
            <w:r w:rsidRPr="0077128F">
              <w:rPr>
                <w:sz w:val="22"/>
                <w:szCs w:val="22"/>
                <w:lang w:eastAsia="en-AU"/>
              </w:rPr>
              <w:t>-</w:t>
            </w:r>
          </w:p>
          <w:p w14:paraId="072E58B8" w14:textId="23D5C014" w:rsidR="002C658A" w:rsidRPr="0077128F" w:rsidRDefault="002C658A" w:rsidP="002C658A">
            <w:pPr>
              <w:jc w:val="center"/>
              <w:rPr>
                <w:strike/>
                <w:sz w:val="22"/>
                <w:szCs w:val="22"/>
                <w:highlight w:val="yellow"/>
                <w:lang w:eastAsia="en-AU"/>
              </w:rPr>
            </w:pPr>
            <w:r w:rsidRPr="0077128F">
              <w:rPr>
                <w:sz w:val="22"/>
                <w:szCs w:val="22"/>
                <w:lang w:eastAsia="en-AU"/>
              </w:rPr>
              <w:t>-</w:t>
            </w:r>
          </w:p>
        </w:tc>
        <w:tc>
          <w:tcPr>
            <w:tcW w:w="1681" w:type="dxa"/>
            <w:gridSpan w:val="2"/>
          </w:tcPr>
          <w:p w14:paraId="749900DD" w14:textId="49AD64B0"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76,895</w:t>
            </w:r>
          </w:p>
          <w:p w14:paraId="2CC315F2" w14:textId="40CCB481" w:rsidR="009E484F" w:rsidRPr="00E074DF" w:rsidRDefault="008B2F59" w:rsidP="002C658A">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61,520</w:t>
            </w:r>
          </w:p>
          <w:p w14:paraId="733EF690" w14:textId="07A37396" w:rsidR="009E484F" w:rsidRPr="00E074DF" w:rsidRDefault="009E484F" w:rsidP="009A2312">
            <w:pPr>
              <w:jc w:val="center"/>
              <w:rPr>
                <w:bCs/>
                <w:color w:val="000000" w:themeColor="text1"/>
                <w:sz w:val="22"/>
                <w:szCs w:val="22"/>
              </w:rPr>
            </w:pPr>
            <w:r w:rsidRPr="00E074DF">
              <w:rPr>
                <w:bCs/>
                <w:color w:val="000000" w:themeColor="text1"/>
                <w:sz w:val="22"/>
                <w:szCs w:val="22"/>
              </w:rPr>
              <w:t>$</w:t>
            </w:r>
            <w:r w:rsidR="009A2312">
              <w:rPr>
                <w:bCs/>
                <w:color w:val="000000" w:themeColor="text1"/>
                <w:sz w:val="22"/>
                <w:szCs w:val="22"/>
              </w:rPr>
              <w:t>41,205</w:t>
            </w:r>
          </w:p>
        </w:tc>
      </w:tr>
      <w:tr w:rsidR="0077128F" w:rsidRPr="0077128F" w14:paraId="0176A736" w14:textId="5185D824" w:rsidTr="0003415E">
        <w:trPr>
          <w:gridAfter w:val="1"/>
          <w:wAfter w:w="13" w:type="dxa"/>
          <w:trHeight w:val="300"/>
          <w:jc w:val="center"/>
        </w:trPr>
        <w:tc>
          <w:tcPr>
            <w:tcW w:w="2830" w:type="dxa"/>
            <w:shd w:val="clear" w:color="auto" w:fill="auto"/>
            <w:hideMark/>
          </w:tcPr>
          <w:p w14:paraId="77DF6A84" w14:textId="2B62745A" w:rsidR="009E484F" w:rsidRPr="0077128F" w:rsidRDefault="009E484F" w:rsidP="009E484F">
            <w:pPr>
              <w:rPr>
                <w:sz w:val="22"/>
                <w:szCs w:val="22"/>
                <w:lang w:eastAsia="en-AU"/>
              </w:rPr>
            </w:pPr>
            <w:r w:rsidRPr="0077128F">
              <w:rPr>
                <w:sz w:val="22"/>
                <w:szCs w:val="22"/>
                <w:lang w:eastAsia="en-AU"/>
              </w:rPr>
              <w:t>Survey Practice Advisory Committee</w:t>
            </w:r>
          </w:p>
        </w:tc>
        <w:tc>
          <w:tcPr>
            <w:tcW w:w="2812" w:type="dxa"/>
            <w:shd w:val="clear" w:color="auto" w:fill="auto"/>
            <w:hideMark/>
          </w:tcPr>
          <w:p w14:paraId="51063E77" w14:textId="20092F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7974673" w14:textId="29D7C944" w:rsidR="009E484F" w:rsidRPr="0077128F" w:rsidRDefault="008B2F59" w:rsidP="009A2312">
            <w:pPr>
              <w:jc w:val="center"/>
              <w:rPr>
                <w:strike/>
                <w:sz w:val="22"/>
                <w:szCs w:val="22"/>
                <w:lang w:eastAsia="en-AU"/>
              </w:rPr>
            </w:pPr>
            <w:r w:rsidRPr="0077128F">
              <w:rPr>
                <w:bCs/>
                <w:sz w:val="22"/>
                <w:szCs w:val="22"/>
              </w:rPr>
              <w:t>$4</w:t>
            </w:r>
            <w:r w:rsidR="009A2312">
              <w:rPr>
                <w:bCs/>
                <w:sz w:val="22"/>
                <w:szCs w:val="22"/>
              </w:rPr>
              <w:t>80</w:t>
            </w:r>
          </w:p>
        </w:tc>
        <w:tc>
          <w:tcPr>
            <w:tcW w:w="1681" w:type="dxa"/>
            <w:gridSpan w:val="2"/>
          </w:tcPr>
          <w:p w14:paraId="16C1B13A" w14:textId="5A368E0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F34F2D9" w14:textId="1FB8B0E0" w:rsidTr="0003415E">
        <w:trPr>
          <w:gridAfter w:val="1"/>
          <w:wAfter w:w="13" w:type="dxa"/>
          <w:trHeight w:val="300"/>
          <w:jc w:val="center"/>
        </w:trPr>
        <w:tc>
          <w:tcPr>
            <w:tcW w:w="2830" w:type="dxa"/>
            <w:shd w:val="clear" w:color="auto" w:fill="auto"/>
            <w:hideMark/>
          </w:tcPr>
          <w:p w14:paraId="609BC3BC" w14:textId="77777777" w:rsidR="009E484F" w:rsidRPr="0077128F" w:rsidRDefault="009E484F" w:rsidP="009E484F">
            <w:pPr>
              <w:rPr>
                <w:sz w:val="22"/>
                <w:szCs w:val="22"/>
                <w:lang w:eastAsia="en-AU"/>
              </w:rPr>
            </w:pPr>
            <w:r w:rsidRPr="0077128F">
              <w:rPr>
                <w:sz w:val="22"/>
                <w:szCs w:val="22"/>
                <w:lang w:eastAsia="en-AU"/>
              </w:rPr>
              <w:t>Teacher Quality Institute Board</w:t>
            </w:r>
          </w:p>
        </w:tc>
        <w:tc>
          <w:tcPr>
            <w:tcW w:w="2812" w:type="dxa"/>
            <w:shd w:val="clear" w:color="auto" w:fill="auto"/>
            <w:hideMark/>
          </w:tcPr>
          <w:p w14:paraId="52B0ED3F" w14:textId="715833C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688A5D94" w14:textId="79F3059E"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0B663AB3" w14:textId="7AC347B9" w:rsidR="009E484F" w:rsidRPr="0077128F" w:rsidRDefault="002F3CB8" w:rsidP="009A2312">
            <w:pPr>
              <w:jc w:val="center"/>
              <w:rPr>
                <w:bCs/>
                <w:sz w:val="22"/>
                <w:szCs w:val="22"/>
                <w:lang w:eastAsia="en-AU"/>
              </w:rPr>
            </w:pPr>
            <w:r w:rsidRPr="0077128F">
              <w:rPr>
                <w:bCs/>
                <w:sz w:val="22"/>
                <w:szCs w:val="22"/>
              </w:rPr>
              <w:t>$</w:t>
            </w:r>
            <w:r w:rsidR="007E64D2" w:rsidRPr="0077128F">
              <w:rPr>
                <w:bCs/>
                <w:sz w:val="22"/>
                <w:szCs w:val="22"/>
              </w:rPr>
              <w:t>20,</w:t>
            </w:r>
            <w:r w:rsidR="009A2312">
              <w:rPr>
                <w:bCs/>
                <w:sz w:val="22"/>
                <w:szCs w:val="22"/>
              </w:rPr>
              <w:t>505</w:t>
            </w:r>
          </w:p>
        </w:tc>
      </w:tr>
      <w:tr w:rsidR="0077128F" w:rsidRPr="0077128F" w14:paraId="356C3EF2" w14:textId="6BE696C7" w:rsidTr="0003415E">
        <w:trPr>
          <w:gridAfter w:val="1"/>
          <w:wAfter w:w="13" w:type="dxa"/>
          <w:trHeight w:val="300"/>
          <w:jc w:val="center"/>
        </w:trPr>
        <w:tc>
          <w:tcPr>
            <w:tcW w:w="2830" w:type="dxa"/>
            <w:shd w:val="clear" w:color="auto" w:fill="auto"/>
          </w:tcPr>
          <w:p w14:paraId="1EE8B098" w14:textId="6DC00FA3" w:rsidR="009E484F" w:rsidRPr="0077128F" w:rsidRDefault="009E484F" w:rsidP="009E484F">
            <w:pPr>
              <w:rPr>
                <w:sz w:val="22"/>
                <w:szCs w:val="22"/>
                <w:lang w:eastAsia="en-AU"/>
              </w:rPr>
            </w:pPr>
            <w:r w:rsidRPr="0077128F">
              <w:rPr>
                <w:sz w:val="22"/>
                <w:szCs w:val="22"/>
                <w:lang w:eastAsia="en-AU"/>
              </w:rPr>
              <w:t xml:space="preserve">Territory Records Advisory Council </w:t>
            </w:r>
          </w:p>
        </w:tc>
        <w:tc>
          <w:tcPr>
            <w:tcW w:w="2812" w:type="dxa"/>
            <w:shd w:val="clear" w:color="auto" w:fill="auto"/>
          </w:tcPr>
          <w:p w14:paraId="00B492BD" w14:textId="1B6B861D" w:rsidR="009E484F" w:rsidRPr="0077128F" w:rsidRDefault="009E484F" w:rsidP="009E484F">
            <w:pPr>
              <w:rPr>
                <w:sz w:val="22"/>
                <w:szCs w:val="22"/>
                <w:lang w:eastAsia="en-AU"/>
              </w:rPr>
            </w:pPr>
            <w:r w:rsidRPr="0077128F">
              <w:rPr>
                <w:sz w:val="22"/>
                <w:szCs w:val="22"/>
                <w:lang w:eastAsia="en-AU"/>
              </w:rPr>
              <w:t xml:space="preserve">Chair </w:t>
            </w:r>
          </w:p>
          <w:p w14:paraId="5FCB6E97" w14:textId="0704D344"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779F230" w14:textId="0A275866" w:rsidR="009E484F" w:rsidRPr="0077128F" w:rsidRDefault="009E484F" w:rsidP="002C658A">
            <w:pPr>
              <w:jc w:val="center"/>
              <w:rPr>
                <w:bCs/>
                <w:sz w:val="22"/>
                <w:szCs w:val="22"/>
              </w:rPr>
            </w:pPr>
            <w:r w:rsidRPr="0077128F">
              <w:rPr>
                <w:bCs/>
                <w:sz w:val="22"/>
                <w:szCs w:val="22"/>
              </w:rPr>
              <w:t>$</w:t>
            </w:r>
            <w:r w:rsidR="00E2542D" w:rsidRPr="0077128F">
              <w:rPr>
                <w:bCs/>
                <w:sz w:val="22"/>
                <w:szCs w:val="22"/>
              </w:rPr>
              <w:t>7</w:t>
            </w:r>
            <w:r w:rsidR="009A2312">
              <w:rPr>
                <w:bCs/>
                <w:sz w:val="22"/>
                <w:szCs w:val="22"/>
              </w:rPr>
              <w:t>25</w:t>
            </w:r>
          </w:p>
          <w:p w14:paraId="1A5E799D" w14:textId="47C3C043" w:rsidR="009E484F" w:rsidRPr="0077128F" w:rsidRDefault="008B2F59" w:rsidP="009A2312">
            <w:pPr>
              <w:jc w:val="center"/>
              <w:rPr>
                <w:bCs/>
                <w:sz w:val="22"/>
                <w:szCs w:val="22"/>
              </w:rPr>
            </w:pPr>
            <w:r w:rsidRPr="0077128F">
              <w:rPr>
                <w:bCs/>
                <w:sz w:val="22"/>
                <w:szCs w:val="22"/>
              </w:rPr>
              <w:t>$</w:t>
            </w:r>
            <w:r w:rsidR="00E2542D" w:rsidRPr="0077128F">
              <w:rPr>
                <w:bCs/>
                <w:sz w:val="22"/>
                <w:szCs w:val="22"/>
              </w:rPr>
              <w:t>5</w:t>
            </w:r>
            <w:r w:rsidR="009A2312">
              <w:rPr>
                <w:bCs/>
                <w:sz w:val="22"/>
                <w:szCs w:val="22"/>
              </w:rPr>
              <w:t>70</w:t>
            </w:r>
          </w:p>
        </w:tc>
        <w:tc>
          <w:tcPr>
            <w:tcW w:w="1681" w:type="dxa"/>
            <w:gridSpan w:val="2"/>
          </w:tcPr>
          <w:p w14:paraId="7B2B7A40" w14:textId="77777777" w:rsidR="009E484F" w:rsidRPr="0077128F" w:rsidRDefault="002C658A" w:rsidP="002C658A">
            <w:pPr>
              <w:jc w:val="center"/>
              <w:rPr>
                <w:sz w:val="22"/>
                <w:szCs w:val="22"/>
                <w:lang w:eastAsia="en-AU"/>
              </w:rPr>
            </w:pPr>
            <w:r w:rsidRPr="0077128F">
              <w:rPr>
                <w:sz w:val="22"/>
                <w:szCs w:val="22"/>
                <w:lang w:eastAsia="en-AU"/>
              </w:rPr>
              <w:t>-</w:t>
            </w:r>
          </w:p>
          <w:p w14:paraId="08334183" w14:textId="22678814"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520D121" w14:textId="316503C0" w:rsidTr="0003415E">
        <w:trPr>
          <w:gridAfter w:val="1"/>
          <w:wAfter w:w="13" w:type="dxa"/>
          <w:trHeight w:val="300"/>
          <w:jc w:val="center"/>
        </w:trPr>
        <w:tc>
          <w:tcPr>
            <w:tcW w:w="2830" w:type="dxa"/>
            <w:shd w:val="clear" w:color="auto" w:fill="auto"/>
            <w:hideMark/>
          </w:tcPr>
          <w:p w14:paraId="5AA6CD9B" w14:textId="4DFDF331" w:rsidR="009E484F" w:rsidRPr="0077128F" w:rsidRDefault="009E484F" w:rsidP="009E484F">
            <w:pPr>
              <w:rPr>
                <w:sz w:val="22"/>
                <w:szCs w:val="22"/>
                <w:lang w:eastAsia="en-AU"/>
              </w:rPr>
            </w:pPr>
            <w:r w:rsidRPr="0077128F">
              <w:rPr>
                <w:sz w:val="22"/>
                <w:szCs w:val="22"/>
                <w:lang w:eastAsia="en-AU"/>
              </w:rPr>
              <w:t>Tree Advisory Panel</w:t>
            </w:r>
          </w:p>
        </w:tc>
        <w:tc>
          <w:tcPr>
            <w:tcW w:w="2812" w:type="dxa"/>
            <w:shd w:val="clear" w:color="auto" w:fill="auto"/>
            <w:hideMark/>
          </w:tcPr>
          <w:p w14:paraId="4C2A934B" w14:textId="5F298B2D" w:rsidR="009E484F" w:rsidRPr="0077128F" w:rsidRDefault="009E484F" w:rsidP="009E484F">
            <w:pPr>
              <w:rPr>
                <w:sz w:val="22"/>
                <w:szCs w:val="22"/>
                <w:lang w:eastAsia="en-AU"/>
              </w:rPr>
            </w:pPr>
            <w:r w:rsidRPr="0077128F">
              <w:rPr>
                <w:sz w:val="22"/>
                <w:szCs w:val="22"/>
                <w:lang w:eastAsia="en-AU"/>
              </w:rPr>
              <w:t xml:space="preserve">Chair </w:t>
            </w:r>
          </w:p>
          <w:p w14:paraId="186171E0" w14:textId="57CD35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4316AAB2" w14:textId="737803DB" w:rsidR="007E64D2" w:rsidRPr="0077128F" w:rsidRDefault="007E64D2" w:rsidP="007E64D2">
            <w:pPr>
              <w:jc w:val="center"/>
              <w:rPr>
                <w:bCs/>
                <w:sz w:val="22"/>
                <w:szCs w:val="22"/>
                <w:lang w:eastAsia="en-AU"/>
              </w:rPr>
            </w:pPr>
            <w:r w:rsidRPr="0077128F">
              <w:rPr>
                <w:bCs/>
                <w:sz w:val="22"/>
                <w:szCs w:val="22"/>
              </w:rPr>
              <w:t>$5</w:t>
            </w:r>
            <w:r w:rsidR="009A2312">
              <w:rPr>
                <w:bCs/>
                <w:sz w:val="22"/>
                <w:szCs w:val="22"/>
              </w:rPr>
              <w:t>70</w:t>
            </w:r>
          </w:p>
          <w:p w14:paraId="3E0B5DF8" w14:textId="4923A88E" w:rsidR="009E484F" w:rsidRPr="0077128F" w:rsidRDefault="007E64D2" w:rsidP="009A2312">
            <w:pPr>
              <w:jc w:val="center"/>
              <w:rPr>
                <w:strike/>
                <w:sz w:val="22"/>
                <w:szCs w:val="22"/>
                <w:lang w:eastAsia="en-AU"/>
              </w:rPr>
            </w:pPr>
            <w:r w:rsidRPr="0077128F">
              <w:rPr>
                <w:bCs/>
                <w:sz w:val="22"/>
                <w:szCs w:val="22"/>
              </w:rPr>
              <w:t>$4</w:t>
            </w:r>
            <w:r w:rsidR="009A2312">
              <w:rPr>
                <w:bCs/>
                <w:sz w:val="22"/>
                <w:szCs w:val="22"/>
              </w:rPr>
              <w:t>90</w:t>
            </w:r>
          </w:p>
        </w:tc>
        <w:tc>
          <w:tcPr>
            <w:tcW w:w="1681" w:type="dxa"/>
            <w:gridSpan w:val="2"/>
          </w:tcPr>
          <w:p w14:paraId="78DC229B" w14:textId="77777777" w:rsidR="009E484F" w:rsidRPr="0077128F" w:rsidRDefault="002C658A" w:rsidP="002C658A">
            <w:pPr>
              <w:jc w:val="center"/>
              <w:rPr>
                <w:sz w:val="22"/>
                <w:szCs w:val="22"/>
                <w:lang w:eastAsia="en-AU"/>
              </w:rPr>
            </w:pPr>
            <w:r w:rsidRPr="0077128F">
              <w:rPr>
                <w:sz w:val="22"/>
                <w:szCs w:val="22"/>
                <w:lang w:eastAsia="en-AU"/>
              </w:rPr>
              <w:t>-</w:t>
            </w:r>
          </w:p>
          <w:p w14:paraId="0B4DA955" w14:textId="1F0740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6A61905" w14:textId="100950AA" w:rsidTr="0003415E">
        <w:trPr>
          <w:gridAfter w:val="1"/>
          <w:wAfter w:w="13" w:type="dxa"/>
          <w:trHeight w:val="70"/>
          <w:jc w:val="center"/>
        </w:trPr>
        <w:tc>
          <w:tcPr>
            <w:tcW w:w="2830" w:type="dxa"/>
            <w:shd w:val="clear" w:color="auto" w:fill="auto"/>
          </w:tcPr>
          <w:p w14:paraId="2C4AE3B1" w14:textId="77777777" w:rsidR="009E484F" w:rsidRPr="0077128F" w:rsidRDefault="009E484F" w:rsidP="009E484F">
            <w:pPr>
              <w:rPr>
                <w:sz w:val="22"/>
                <w:szCs w:val="22"/>
                <w:lang w:eastAsia="en-AU"/>
              </w:rPr>
            </w:pPr>
            <w:r w:rsidRPr="0077128F">
              <w:rPr>
                <w:sz w:val="22"/>
                <w:szCs w:val="22"/>
                <w:lang w:eastAsia="en-AU"/>
              </w:rPr>
              <w:t>Veterans’ Advisory Council</w:t>
            </w:r>
          </w:p>
        </w:tc>
        <w:tc>
          <w:tcPr>
            <w:tcW w:w="2812" w:type="dxa"/>
            <w:shd w:val="clear" w:color="auto" w:fill="auto"/>
          </w:tcPr>
          <w:p w14:paraId="500DBF3D" w14:textId="7685C9FD"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3A6E5B01" w14:textId="1DCF3F06" w:rsidR="009E484F" w:rsidRPr="0077128F" w:rsidRDefault="008B2F59" w:rsidP="009A2312">
            <w:pPr>
              <w:jc w:val="center"/>
              <w:rPr>
                <w:bCs/>
                <w:sz w:val="22"/>
                <w:szCs w:val="22"/>
              </w:rPr>
            </w:pPr>
            <w:r w:rsidRPr="0077128F">
              <w:rPr>
                <w:bCs/>
                <w:sz w:val="22"/>
                <w:szCs w:val="22"/>
              </w:rPr>
              <w:t>$5</w:t>
            </w:r>
            <w:r w:rsidR="009A2312">
              <w:rPr>
                <w:bCs/>
                <w:sz w:val="22"/>
                <w:szCs w:val="22"/>
              </w:rPr>
              <w:t>50</w:t>
            </w:r>
          </w:p>
        </w:tc>
        <w:tc>
          <w:tcPr>
            <w:tcW w:w="1681" w:type="dxa"/>
            <w:gridSpan w:val="2"/>
          </w:tcPr>
          <w:p w14:paraId="506838AA" w14:textId="07C7557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B45F598" w14:textId="4952A05B" w:rsidTr="0003415E">
        <w:trPr>
          <w:gridAfter w:val="1"/>
          <w:wAfter w:w="13" w:type="dxa"/>
          <w:trHeight w:val="70"/>
          <w:jc w:val="center"/>
        </w:trPr>
        <w:tc>
          <w:tcPr>
            <w:tcW w:w="2830" w:type="dxa"/>
            <w:shd w:val="clear" w:color="auto" w:fill="auto"/>
            <w:hideMark/>
          </w:tcPr>
          <w:p w14:paraId="21441062" w14:textId="0E76E463" w:rsidR="009E484F" w:rsidRPr="0077128F" w:rsidRDefault="00813DE0" w:rsidP="009E484F">
            <w:pPr>
              <w:rPr>
                <w:sz w:val="22"/>
                <w:szCs w:val="22"/>
                <w:lang w:eastAsia="en-AU"/>
              </w:rPr>
            </w:pPr>
            <w:r w:rsidRPr="0077128F">
              <w:rPr>
                <w:sz w:val="22"/>
                <w:szCs w:val="22"/>
                <w:lang w:eastAsia="en-AU"/>
              </w:rPr>
              <w:t xml:space="preserve">Veterinary Practitioners </w:t>
            </w:r>
            <w:r w:rsidR="009E484F" w:rsidRPr="0077128F">
              <w:rPr>
                <w:sz w:val="22"/>
                <w:szCs w:val="22"/>
                <w:lang w:eastAsia="en-AU"/>
              </w:rPr>
              <w:t>Board</w:t>
            </w:r>
          </w:p>
        </w:tc>
        <w:tc>
          <w:tcPr>
            <w:tcW w:w="2812" w:type="dxa"/>
            <w:shd w:val="clear" w:color="auto" w:fill="auto"/>
            <w:hideMark/>
          </w:tcPr>
          <w:p w14:paraId="4B35322E" w14:textId="4E45DFD5" w:rsidR="009E484F" w:rsidRPr="0077128F" w:rsidRDefault="00BB0E2D" w:rsidP="009E484F">
            <w:pPr>
              <w:rPr>
                <w:sz w:val="22"/>
                <w:szCs w:val="22"/>
                <w:lang w:eastAsia="en-AU"/>
              </w:rPr>
            </w:pPr>
            <w:r w:rsidRPr="0077128F">
              <w:rPr>
                <w:sz w:val="22"/>
                <w:szCs w:val="22"/>
                <w:lang w:eastAsia="en-AU"/>
              </w:rPr>
              <w:t>President</w:t>
            </w:r>
          </w:p>
          <w:p w14:paraId="52D2D97D" w14:textId="54FE7140"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0B6F6DF7" w14:textId="6149A532" w:rsidR="007E64D2" w:rsidRPr="0077128F" w:rsidRDefault="007E64D2" w:rsidP="007E64D2">
            <w:pPr>
              <w:jc w:val="center"/>
              <w:rPr>
                <w:bCs/>
                <w:sz w:val="22"/>
                <w:szCs w:val="22"/>
                <w:lang w:eastAsia="en-AU"/>
              </w:rPr>
            </w:pPr>
            <w:r w:rsidRPr="0077128F">
              <w:rPr>
                <w:bCs/>
                <w:sz w:val="22"/>
                <w:szCs w:val="22"/>
              </w:rPr>
              <w:t>$5</w:t>
            </w:r>
            <w:r w:rsidR="009A2312">
              <w:rPr>
                <w:bCs/>
                <w:sz w:val="22"/>
                <w:szCs w:val="22"/>
              </w:rPr>
              <w:t>70</w:t>
            </w:r>
          </w:p>
          <w:p w14:paraId="4007188F" w14:textId="57F2C5AF" w:rsidR="009E484F" w:rsidRPr="0077128F" w:rsidRDefault="007E64D2" w:rsidP="009A2312">
            <w:pPr>
              <w:jc w:val="center"/>
              <w:rPr>
                <w:bCs/>
                <w:sz w:val="22"/>
                <w:szCs w:val="22"/>
              </w:rPr>
            </w:pPr>
            <w:r w:rsidRPr="0077128F">
              <w:rPr>
                <w:bCs/>
                <w:sz w:val="22"/>
                <w:szCs w:val="22"/>
              </w:rPr>
              <w:t>$4</w:t>
            </w:r>
            <w:r w:rsidR="009A2312">
              <w:rPr>
                <w:bCs/>
                <w:sz w:val="22"/>
                <w:szCs w:val="22"/>
              </w:rPr>
              <w:t>90</w:t>
            </w:r>
          </w:p>
        </w:tc>
        <w:tc>
          <w:tcPr>
            <w:tcW w:w="1681" w:type="dxa"/>
            <w:gridSpan w:val="2"/>
          </w:tcPr>
          <w:p w14:paraId="0526005C" w14:textId="1DE88C43" w:rsidR="009E484F" w:rsidRPr="0077128F" w:rsidRDefault="002C658A" w:rsidP="002C658A">
            <w:pPr>
              <w:jc w:val="center"/>
              <w:rPr>
                <w:sz w:val="22"/>
                <w:szCs w:val="22"/>
                <w:lang w:eastAsia="en-AU"/>
              </w:rPr>
            </w:pPr>
            <w:r w:rsidRPr="0077128F">
              <w:rPr>
                <w:sz w:val="22"/>
                <w:szCs w:val="22"/>
                <w:lang w:eastAsia="en-AU"/>
              </w:rPr>
              <w:t>-</w:t>
            </w:r>
          </w:p>
          <w:p w14:paraId="01DEB1A8" w14:textId="7D599A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A034ED2" w14:textId="57523167" w:rsidTr="0003415E">
        <w:trPr>
          <w:gridAfter w:val="1"/>
          <w:wAfter w:w="13" w:type="dxa"/>
          <w:trHeight w:val="70"/>
          <w:jc w:val="center"/>
        </w:trPr>
        <w:tc>
          <w:tcPr>
            <w:tcW w:w="2830" w:type="dxa"/>
            <w:shd w:val="clear" w:color="auto" w:fill="auto"/>
            <w:hideMark/>
          </w:tcPr>
          <w:p w14:paraId="71F0437E" w14:textId="022470A0" w:rsidR="009E484F" w:rsidRPr="0077128F" w:rsidRDefault="009E484F" w:rsidP="00813DE0">
            <w:pPr>
              <w:rPr>
                <w:sz w:val="22"/>
                <w:szCs w:val="22"/>
                <w:lang w:eastAsia="en-AU"/>
              </w:rPr>
            </w:pPr>
            <w:r w:rsidRPr="0077128F">
              <w:rPr>
                <w:sz w:val="22"/>
                <w:szCs w:val="22"/>
                <w:lang w:eastAsia="en-AU"/>
              </w:rPr>
              <w:lastRenderedPageBreak/>
              <w:t xml:space="preserve">Veterinary </w:t>
            </w:r>
            <w:r w:rsidR="00813DE0" w:rsidRPr="0077128F">
              <w:rPr>
                <w:sz w:val="22"/>
                <w:szCs w:val="22"/>
                <w:lang w:eastAsia="en-AU"/>
              </w:rPr>
              <w:t>Practitioners Committee</w:t>
            </w:r>
            <w:r w:rsidRPr="0077128F">
              <w:rPr>
                <w:sz w:val="22"/>
                <w:szCs w:val="22"/>
                <w:lang w:eastAsia="en-AU"/>
              </w:rPr>
              <w:t xml:space="preserve"> of Inquiry</w:t>
            </w:r>
          </w:p>
        </w:tc>
        <w:tc>
          <w:tcPr>
            <w:tcW w:w="2812" w:type="dxa"/>
            <w:shd w:val="clear" w:color="auto" w:fill="auto"/>
            <w:hideMark/>
          </w:tcPr>
          <w:p w14:paraId="295A2ECA" w14:textId="404B9697" w:rsidR="009E484F" w:rsidRPr="0077128F" w:rsidRDefault="009E484F" w:rsidP="009E484F">
            <w:pPr>
              <w:rPr>
                <w:sz w:val="22"/>
                <w:szCs w:val="22"/>
                <w:lang w:eastAsia="en-AU"/>
              </w:rPr>
            </w:pPr>
            <w:r w:rsidRPr="0077128F">
              <w:rPr>
                <w:sz w:val="22"/>
                <w:szCs w:val="22"/>
                <w:lang w:eastAsia="en-AU"/>
              </w:rPr>
              <w:t xml:space="preserve">Chair </w:t>
            </w:r>
          </w:p>
          <w:p w14:paraId="03C1B229" w14:textId="2EDCFFBD"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38DC79E7" w14:textId="093F8768" w:rsidR="009E484F" w:rsidRPr="00264E6D" w:rsidRDefault="009E484F" w:rsidP="002C658A">
            <w:pPr>
              <w:jc w:val="center"/>
              <w:rPr>
                <w:bCs/>
                <w:sz w:val="22"/>
                <w:szCs w:val="22"/>
              </w:rPr>
            </w:pPr>
            <w:r w:rsidRPr="00264E6D">
              <w:rPr>
                <w:bCs/>
                <w:sz w:val="22"/>
                <w:szCs w:val="22"/>
              </w:rPr>
              <w:t>$8</w:t>
            </w:r>
            <w:r w:rsidR="009A2312" w:rsidRPr="00264E6D">
              <w:rPr>
                <w:bCs/>
                <w:sz w:val="22"/>
                <w:szCs w:val="22"/>
              </w:rPr>
              <w:t>95</w:t>
            </w:r>
          </w:p>
          <w:p w14:paraId="7D3D76CB" w14:textId="6D3A9893" w:rsidR="009E484F" w:rsidRPr="0077128F" w:rsidRDefault="008B2F59" w:rsidP="00264E6D">
            <w:pPr>
              <w:jc w:val="center"/>
              <w:rPr>
                <w:bCs/>
                <w:sz w:val="22"/>
                <w:szCs w:val="22"/>
              </w:rPr>
            </w:pPr>
            <w:r w:rsidRPr="00264E6D">
              <w:rPr>
                <w:bCs/>
                <w:sz w:val="22"/>
                <w:szCs w:val="22"/>
              </w:rPr>
              <w:t>$</w:t>
            </w:r>
            <w:r w:rsidR="00264E6D" w:rsidRPr="00264E6D">
              <w:rPr>
                <w:bCs/>
                <w:sz w:val="22"/>
                <w:szCs w:val="22"/>
              </w:rPr>
              <w:t>805</w:t>
            </w:r>
          </w:p>
        </w:tc>
        <w:tc>
          <w:tcPr>
            <w:tcW w:w="1681" w:type="dxa"/>
            <w:gridSpan w:val="2"/>
          </w:tcPr>
          <w:p w14:paraId="6AF995CF" w14:textId="77777777" w:rsidR="009E484F" w:rsidRPr="0077128F" w:rsidRDefault="002C658A" w:rsidP="002C658A">
            <w:pPr>
              <w:jc w:val="center"/>
              <w:rPr>
                <w:sz w:val="22"/>
                <w:szCs w:val="22"/>
                <w:lang w:eastAsia="en-AU"/>
              </w:rPr>
            </w:pPr>
            <w:r w:rsidRPr="0077128F">
              <w:rPr>
                <w:sz w:val="22"/>
                <w:szCs w:val="22"/>
                <w:lang w:eastAsia="en-AU"/>
              </w:rPr>
              <w:t>-</w:t>
            </w:r>
          </w:p>
          <w:p w14:paraId="073E1F2E" w14:textId="03F506F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20B945" w14:textId="33177F87" w:rsidTr="0003415E">
        <w:trPr>
          <w:gridAfter w:val="1"/>
          <w:wAfter w:w="13" w:type="dxa"/>
          <w:trHeight w:val="300"/>
          <w:jc w:val="center"/>
        </w:trPr>
        <w:tc>
          <w:tcPr>
            <w:tcW w:w="2830" w:type="dxa"/>
            <w:shd w:val="clear" w:color="auto" w:fill="auto"/>
          </w:tcPr>
          <w:p w14:paraId="13850337" w14:textId="77777777" w:rsidR="009E484F" w:rsidRPr="0077128F" w:rsidRDefault="009E484F" w:rsidP="009E484F">
            <w:pPr>
              <w:rPr>
                <w:sz w:val="22"/>
                <w:szCs w:val="22"/>
                <w:lang w:eastAsia="en-AU"/>
              </w:rPr>
            </w:pPr>
            <w:r w:rsidRPr="0077128F">
              <w:rPr>
                <w:sz w:val="22"/>
                <w:szCs w:val="22"/>
                <w:lang w:eastAsia="en-AU"/>
              </w:rPr>
              <w:t>Work Safety Council</w:t>
            </w:r>
          </w:p>
        </w:tc>
        <w:tc>
          <w:tcPr>
            <w:tcW w:w="2812" w:type="dxa"/>
            <w:shd w:val="clear" w:color="auto" w:fill="auto"/>
          </w:tcPr>
          <w:p w14:paraId="70D910FF" w14:textId="5FC7753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526DF36F" w14:textId="6FEF4857"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2784339D" w14:textId="31019494" w:rsidR="009E484F" w:rsidRPr="0077128F" w:rsidRDefault="001A41D1" w:rsidP="009A2312">
            <w:pPr>
              <w:jc w:val="center"/>
              <w:rPr>
                <w:bCs/>
                <w:sz w:val="22"/>
                <w:szCs w:val="22"/>
              </w:rPr>
            </w:pPr>
            <w:r w:rsidRPr="0077128F">
              <w:rPr>
                <w:bCs/>
                <w:sz w:val="22"/>
                <w:szCs w:val="22"/>
              </w:rPr>
              <w:t>$</w:t>
            </w:r>
            <w:r w:rsidR="007E64D2" w:rsidRPr="0077128F">
              <w:rPr>
                <w:bCs/>
                <w:sz w:val="22"/>
                <w:szCs w:val="22"/>
              </w:rPr>
              <w:t>20,</w:t>
            </w:r>
            <w:r w:rsidR="009A2312">
              <w:rPr>
                <w:bCs/>
                <w:sz w:val="22"/>
                <w:szCs w:val="22"/>
              </w:rPr>
              <w:t>505</w:t>
            </w:r>
          </w:p>
        </w:tc>
      </w:tr>
      <w:tr w:rsidR="0077128F" w:rsidRPr="0077128F" w14:paraId="79D4FB3C" w14:textId="15BCD226" w:rsidTr="0003415E">
        <w:trPr>
          <w:gridAfter w:val="1"/>
          <w:wAfter w:w="13" w:type="dxa"/>
          <w:trHeight w:val="300"/>
          <w:jc w:val="center"/>
        </w:trPr>
        <w:tc>
          <w:tcPr>
            <w:tcW w:w="2830" w:type="dxa"/>
            <w:shd w:val="clear" w:color="auto" w:fill="auto"/>
            <w:hideMark/>
          </w:tcPr>
          <w:p w14:paraId="48AB3148" w14:textId="77777777" w:rsidR="009E484F" w:rsidRPr="0077128F" w:rsidRDefault="009E484F" w:rsidP="009E484F">
            <w:pPr>
              <w:rPr>
                <w:sz w:val="22"/>
                <w:szCs w:val="22"/>
                <w:lang w:eastAsia="en-AU"/>
              </w:rPr>
            </w:pPr>
            <w:r w:rsidRPr="0077128F">
              <w:rPr>
                <w:sz w:val="22"/>
                <w:szCs w:val="22"/>
                <w:lang w:eastAsia="en-AU"/>
              </w:rPr>
              <w:t>Youth Advisory Council</w:t>
            </w:r>
          </w:p>
        </w:tc>
        <w:tc>
          <w:tcPr>
            <w:tcW w:w="2812" w:type="dxa"/>
            <w:shd w:val="clear" w:color="auto" w:fill="auto"/>
            <w:hideMark/>
          </w:tcPr>
          <w:p w14:paraId="6A8E80A7" w14:textId="49981C5B"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77EA7D47" w14:textId="37666DA4" w:rsidR="009E484F" w:rsidRPr="0077128F" w:rsidRDefault="008B2F59" w:rsidP="009A2312">
            <w:pPr>
              <w:jc w:val="center"/>
              <w:rPr>
                <w:bCs/>
                <w:sz w:val="22"/>
                <w:szCs w:val="22"/>
                <w:lang w:eastAsia="en-AU"/>
              </w:rPr>
            </w:pPr>
            <w:r w:rsidRPr="0077128F">
              <w:rPr>
                <w:bCs/>
                <w:sz w:val="22"/>
                <w:szCs w:val="22"/>
              </w:rPr>
              <w:t>$5</w:t>
            </w:r>
            <w:r w:rsidR="009A2312">
              <w:rPr>
                <w:bCs/>
                <w:sz w:val="22"/>
                <w:szCs w:val="22"/>
              </w:rPr>
              <w:t>70</w:t>
            </w:r>
          </w:p>
        </w:tc>
        <w:tc>
          <w:tcPr>
            <w:tcW w:w="1681" w:type="dxa"/>
            <w:gridSpan w:val="2"/>
          </w:tcPr>
          <w:p w14:paraId="07D6B38E" w14:textId="2CFFE48A" w:rsidR="009E484F" w:rsidRPr="0077128F" w:rsidRDefault="002C658A" w:rsidP="002C658A">
            <w:pPr>
              <w:jc w:val="center"/>
              <w:rPr>
                <w:sz w:val="22"/>
                <w:szCs w:val="22"/>
                <w:lang w:eastAsia="en-AU"/>
              </w:rPr>
            </w:pPr>
            <w:r w:rsidRPr="0077128F">
              <w:rPr>
                <w:sz w:val="22"/>
                <w:szCs w:val="22"/>
                <w:lang w:eastAsia="en-AU"/>
              </w:rPr>
              <w:t>-</w:t>
            </w:r>
          </w:p>
        </w:tc>
      </w:tr>
    </w:tbl>
    <w:p w14:paraId="7AB7231B" w14:textId="67133CA6" w:rsidR="001F0EA2" w:rsidRPr="00E074DF" w:rsidRDefault="001F0EA2" w:rsidP="00CD176E">
      <w:pPr>
        <w:pStyle w:val="Heading3"/>
        <w:numPr>
          <w:ilvl w:val="0"/>
          <w:numId w:val="0"/>
        </w:numPr>
        <w:spacing w:before="120"/>
        <w:rPr>
          <w:b w:val="0"/>
          <w:color w:val="000000" w:themeColor="text1"/>
          <w:sz w:val="22"/>
          <w:szCs w:val="22"/>
        </w:rPr>
      </w:pPr>
      <w:r w:rsidRPr="00E074DF">
        <w:rPr>
          <w:b w:val="0"/>
          <w:color w:val="000000" w:themeColor="text1"/>
          <w:sz w:val="22"/>
          <w:szCs w:val="22"/>
        </w:rPr>
        <w:t xml:space="preserve">*The remuneration of the Inspector of Correctional Services cannot </w:t>
      </w:r>
      <w:r w:rsidRPr="00264E6D">
        <w:rPr>
          <w:b w:val="0"/>
          <w:color w:val="000000" w:themeColor="text1"/>
          <w:sz w:val="22"/>
          <w:szCs w:val="22"/>
        </w:rPr>
        <w:t>exceed $</w:t>
      </w:r>
      <w:r w:rsidR="00B353FA" w:rsidRPr="00264E6D">
        <w:rPr>
          <w:b w:val="0"/>
          <w:color w:val="000000" w:themeColor="text1"/>
          <w:sz w:val="22"/>
          <w:szCs w:val="22"/>
        </w:rPr>
        <w:t>20</w:t>
      </w:r>
      <w:r w:rsidR="009A2312" w:rsidRPr="00264E6D">
        <w:rPr>
          <w:b w:val="0"/>
          <w:color w:val="000000" w:themeColor="text1"/>
          <w:sz w:val="22"/>
          <w:szCs w:val="22"/>
        </w:rPr>
        <w:t>5</w:t>
      </w:r>
      <w:r w:rsidR="00B353FA" w:rsidRPr="00264E6D">
        <w:rPr>
          <w:b w:val="0"/>
          <w:color w:val="000000" w:themeColor="text1"/>
          <w:sz w:val="22"/>
          <w:szCs w:val="22"/>
        </w:rPr>
        <w:t>,</w:t>
      </w:r>
      <w:r w:rsidR="009A2312" w:rsidRPr="00264E6D">
        <w:rPr>
          <w:b w:val="0"/>
          <w:color w:val="000000" w:themeColor="text1"/>
          <w:sz w:val="22"/>
          <w:szCs w:val="22"/>
        </w:rPr>
        <w:t>749</w:t>
      </w:r>
      <w:r w:rsidRPr="00264E6D">
        <w:rPr>
          <w:b w:val="0"/>
          <w:color w:val="000000" w:themeColor="text1"/>
          <w:sz w:val="22"/>
          <w:szCs w:val="22"/>
        </w:rPr>
        <w:t xml:space="preserve"> per </w:t>
      </w:r>
      <w:r w:rsidRPr="00E074DF">
        <w:rPr>
          <w:b w:val="0"/>
          <w:color w:val="000000" w:themeColor="text1"/>
          <w:sz w:val="22"/>
          <w:szCs w:val="22"/>
        </w:rPr>
        <w:t>annum.</w:t>
      </w:r>
    </w:p>
    <w:p w14:paraId="5ECABBD1" w14:textId="63A63A17" w:rsidR="001F0EA2" w:rsidRPr="00CA6C52" w:rsidRDefault="001F0EA2" w:rsidP="001F0EA2">
      <w:pPr>
        <w:pStyle w:val="Heading3"/>
        <w:numPr>
          <w:ilvl w:val="1"/>
          <w:numId w:val="1"/>
        </w:numPr>
        <w:spacing w:before="120"/>
        <w:rPr>
          <w:b w:val="0"/>
          <w:szCs w:val="24"/>
        </w:rPr>
      </w:pPr>
      <w:r w:rsidRPr="00B242F4">
        <w:rPr>
          <w:b w:val="0"/>
          <w:color w:val="000000" w:themeColor="text1"/>
          <w:szCs w:val="24"/>
        </w:rPr>
        <w:t xml:space="preserve">Public </w:t>
      </w:r>
      <w:r w:rsidRPr="00E074DF">
        <w:rPr>
          <w:b w:val="0"/>
          <w:color w:val="000000" w:themeColor="text1"/>
          <w:szCs w:val="24"/>
        </w:rPr>
        <w:t xml:space="preserve">servants </w:t>
      </w:r>
      <w:r w:rsidR="009B10E0" w:rsidRPr="00E074DF">
        <w:rPr>
          <w:b w:val="0"/>
          <w:color w:val="000000" w:themeColor="text1"/>
          <w:szCs w:val="24"/>
        </w:rPr>
        <w:t>who</w:t>
      </w:r>
      <w:r w:rsidRPr="00E074DF">
        <w:rPr>
          <w:b w:val="0"/>
          <w:color w:val="000000" w:themeColor="text1"/>
          <w:szCs w:val="24"/>
        </w:rPr>
        <w:t xml:space="preserve"> serve as a Part-time Public Office Holder are not entitled to receive remuneration, allowances or entitlements provided in this Determination, unless in exceptional circumstances</w:t>
      </w:r>
      <w:r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w:t>
      </w:r>
      <w:proofErr w:type="gramStart"/>
      <w:r w:rsidRPr="00D62589">
        <w:t>Determination;</w:t>
      </w:r>
      <w:proofErr w:type="gramEnd"/>
      <w:r w:rsidRPr="00D62589">
        <w:t xml:space="preserve">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w:t>
      </w:r>
      <w:proofErr w:type="gramStart"/>
      <w:r>
        <w:t>day</w:t>
      </w:r>
      <w:r w:rsidRPr="00D62589">
        <w:t>;</w:t>
      </w:r>
      <w:proofErr w:type="gramEnd"/>
      <w:r w:rsidRPr="00D62589">
        <w:t xml:space="preserve"> </w:t>
      </w:r>
    </w:p>
    <w:p w14:paraId="013FB79F" w14:textId="4A5D6F85" w:rsidR="001F0EA2" w:rsidRDefault="001F0EA2" w:rsidP="001F0EA2">
      <w:pPr>
        <w:tabs>
          <w:tab w:val="left" w:pos="1134"/>
        </w:tabs>
        <w:spacing w:before="120" w:after="60"/>
        <w:ind w:left="1134" w:hanging="414"/>
      </w:pPr>
      <w:r w:rsidRPr="00D62589">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w:t>
      </w:r>
      <w:r w:rsidRPr="00C018B7">
        <w:rPr>
          <w:color w:val="000000" w:themeColor="text1"/>
        </w:rPr>
        <w:t xml:space="preserve">Preparation time spent by an office holder that the chairperson, nominated </w:t>
      </w:r>
      <w:r w:rsidR="005845A9" w:rsidRPr="00C018B7">
        <w:rPr>
          <w:color w:val="000000" w:themeColor="text1"/>
        </w:rPr>
        <w:t xml:space="preserve">presiding </w:t>
      </w:r>
      <w:r w:rsidRPr="00C018B7">
        <w:rPr>
          <w:color w:val="000000" w:themeColor="text1"/>
        </w:rPr>
        <w:t>officer (if applicable) or the authorised secretariat considers is excessive to normal preparation time may be treated as ‘business of the authority</w:t>
      </w:r>
      <w:proofErr w:type="gramStart"/>
      <w:r w:rsidRPr="00C018B7">
        <w:rPr>
          <w:color w:val="000000" w:themeColor="text1"/>
        </w:rPr>
        <w:t>’;</w:t>
      </w:r>
      <w:proofErr w:type="gramEnd"/>
      <w:r w:rsidRPr="00C018B7">
        <w:rPr>
          <w:color w:val="000000" w:themeColor="text1"/>
        </w:rPr>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t>
      </w:r>
      <w:proofErr w:type="gramStart"/>
      <w:r w:rsidRPr="00D62589">
        <w:t>warrants</w:t>
      </w:r>
      <w:proofErr w:type="gramEnd"/>
      <w:r w:rsidRPr="00D62589">
        <w:t xml:space="preserve">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 xml:space="preserve">‘official travel time’ is the reasonable period, certified by the chairperson, the nominated presiding officer (if applicable) or the authorised secretariat, that an office holder spends travelling on official business away from the metropolitan </w:t>
      </w:r>
      <w:r>
        <w:lastRenderedPageBreak/>
        <w:t>area of the capital city or the environs of the town in which the office holder lives</w:t>
      </w:r>
      <w:r w:rsidRPr="00D62589">
        <w:t xml:space="preserve">. </w:t>
      </w:r>
      <w:r w:rsidRPr="00271336">
        <w:t xml:space="preserve"> </w:t>
      </w:r>
    </w:p>
    <w:p w14:paraId="499CC3C3" w14:textId="77777777" w:rsidR="001F0EA2" w:rsidRPr="00D62589" w:rsidRDefault="001F0EA2" w:rsidP="001F0EA2">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2AADAEC9" w14:textId="77777777" w:rsidR="00EE66E8" w:rsidRDefault="00EE66E8" w:rsidP="001F0EA2">
      <w:pPr>
        <w:rPr>
          <w:u w:val="single"/>
        </w:rPr>
      </w:pPr>
    </w:p>
    <w:p w14:paraId="1E0EE7E2" w14:textId="77777777" w:rsidR="001F0EA2" w:rsidRPr="00B94655" w:rsidRDefault="001F0EA2" w:rsidP="001F0EA2">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Pr>
          <w:u w:val="single"/>
        </w:rPr>
        <w:t xml:space="preserve">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B94655" w:rsidRDefault="001F0EA2" w:rsidP="001F0EA2">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Pr>
          <w:u w:val="single"/>
        </w:rPr>
        <w:t xml:space="preserve">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w:t>
      </w:r>
      <w:proofErr w:type="gramStart"/>
      <w:r w:rsidRPr="00D62589">
        <w:t>fee;</w:t>
      </w:r>
      <w:proofErr w:type="gramEnd"/>
      <w:r w:rsidRPr="00D62589">
        <w:t xml:space="preserv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w:t>
      </w:r>
      <w:proofErr w:type="gramStart"/>
      <w:r w:rsidRPr="00D62589">
        <w:t>fee;</w:t>
      </w:r>
      <w:proofErr w:type="gramEnd"/>
      <w:r w:rsidRPr="00D62589">
        <w:t xml:space="preserv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w:t>
      </w:r>
      <w:proofErr w:type="gramStart"/>
      <w:r w:rsidRPr="00D62589">
        <w:t>fee;</w:t>
      </w:r>
      <w:proofErr w:type="gramEnd"/>
      <w:r w:rsidRPr="00D62589">
        <w:t xml:space="preserv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w:t>
      </w:r>
      <w:proofErr w:type="gramStart"/>
      <w:r>
        <w:rPr>
          <w:sz w:val="18"/>
          <w:szCs w:val="18"/>
        </w:rPr>
        <w:t>two hour</w:t>
      </w:r>
      <w:proofErr w:type="gramEnd"/>
      <w:r>
        <w:rPr>
          <w:sz w:val="18"/>
          <w:szCs w:val="18"/>
        </w:rPr>
        <w:t xml:space="preserve">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B94655" w:rsidRDefault="001F0EA2" w:rsidP="001F0EA2">
      <w:pPr>
        <w:rPr>
          <w:u w:val="single"/>
        </w:rPr>
      </w:pPr>
      <w:r w:rsidRPr="00B94655">
        <w:rPr>
          <w:u w:val="single"/>
        </w:rPr>
        <w:lastRenderedPageBreak/>
        <w:t xml:space="preserve">Work </w:t>
      </w:r>
      <w:r>
        <w:rPr>
          <w:u w:val="single"/>
        </w:rPr>
        <w:t xml:space="preserve">aggregate periods </w:t>
      </w:r>
      <w:r w:rsidRPr="00B94655">
        <w:rPr>
          <w:u w:val="single"/>
        </w:rPr>
        <w:t>consisting of less than three hours</w:t>
      </w:r>
      <w:r>
        <w:rPr>
          <w:u w:val="single"/>
        </w:rPr>
        <w:t xml:space="preserve">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975F2B" w:rsidRDefault="001F0EA2" w:rsidP="001F0EA2">
      <w:pPr>
        <w:spacing w:before="120" w:after="60"/>
        <w:ind w:left="720" w:hanging="11"/>
        <w:rPr>
          <w:u w:val="single"/>
        </w:rPr>
      </w:pPr>
      <w:r w:rsidRPr="00975F2B">
        <w:rPr>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26D4104C" w14:textId="6F9CD568" w:rsidR="001F0EA2" w:rsidRPr="0075183B" w:rsidRDefault="001F0EA2" w:rsidP="001F0EA2">
      <w:pPr>
        <w:spacing w:before="120" w:after="60"/>
        <w:ind w:left="709" w:hanging="709"/>
      </w:pPr>
      <w:r w:rsidRPr="008879E2">
        <w:rPr>
          <w:color w:val="000000" w:themeColor="text1"/>
        </w:rPr>
        <w:lastRenderedPageBreak/>
        <w:t xml:space="preserve">5.2 </w:t>
      </w:r>
      <w:r w:rsidRPr="008879E2">
        <w:rPr>
          <w:color w:val="000000" w:themeColor="text1"/>
        </w:rPr>
        <w:tab/>
      </w:r>
      <w:r w:rsidRPr="008879E2">
        <w:rPr>
          <w:color w:val="000000" w:themeColor="text1"/>
          <w:szCs w:val="24"/>
        </w:rPr>
        <w:t xml:space="preserve">For a person, appointed to an office </w:t>
      </w:r>
      <w:r w:rsidR="00912464" w:rsidRPr="008879E2">
        <w:rPr>
          <w:color w:val="000000" w:themeColor="text1"/>
          <w:szCs w:val="24"/>
        </w:rPr>
        <w:t xml:space="preserve">listed </w:t>
      </w:r>
      <w:r w:rsidRPr="008879E2">
        <w:rPr>
          <w:color w:val="000000" w:themeColor="text1"/>
          <w:szCs w:val="24"/>
        </w:rPr>
        <w:t xml:space="preserve">in </w:t>
      </w:r>
      <w:r>
        <w:rPr>
          <w:szCs w:val="24"/>
        </w:rPr>
        <w:t>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081F53F" w14:textId="77777777" w:rsidR="001F0EA2" w:rsidRDefault="001F0EA2" w:rsidP="001F0EA2">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04AA503A" w14:textId="77777777" w:rsidR="001F0EA2" w:rsidRDefault="001F0EA2" w:rsidP="001F0EA2">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4D4687C" w14:textId="230F3B98" w:rsidR="001F0EA2" w:rsidRPr="008879E2" w:rsidRDefault="001F0EA2" w:rsidP="001F0EA2">
      <w:pPr>
        <w:spacing w:before="120" w:after="60"/>
        <w:ind w:left="709" w:hanging="709"/>
        <w:rPr>
          <w:color w:val="000000" w:themeColor="text1"/>
        </w:rPr>
      </w:pPr>
      <w:r>
        <w:t>5.3</w:t>
      </w:r>
      <w:r w:rsidRPr="00D62589">
        <w:t xml:space="preserve"> </w:t>
      </w:r>
      <w:r w:rsidRPr="00D62589">
        <w:tab/>
      </w:r>
      <w:r>
        <w:rPr>
          <w:szCs w:val="24"/>
        </w:rPr>
        <w:t xml:space="preserve">For a person, appointed to an </w:t>
      </w:r>
      <w:r w:rsidRPr="008879E2">
        <w:rPr>
          <w:color w:val="000000" w:themeColor="text1"/>
          <w:szCs w:val="24"/>
        </w:rPr>
        <w:t xml:space="preserve">office </w:t>
      </w:r>
      <w:r w:rsidR="00912464" w:rsidRPr="008879E2">
        <w:rPr>
          <w:color w:val="000000" w:themeColor="text1"/>
          <w:szCs w:val="24"/>
        </w:rPr>
        <w:t xml:space="preserve">listed </w:t>
      </w:r>
      <w:r w:rsidRPr="008879E2">
        <w:rPr>
          <w:color w:val="000000" w:themeColor="text1"/>
          <w:szCs w:val="24"/>
        </w:rPr>
        <w:t xml:space="preserve">in clause 2 of this Determination, who </w:t>
      </w:r>
      <w:r w:rsidRPr="008879E2">
        <w:rPr>
          <w:color w:val="000000" w:themeColor="text1"/>
        </w:rPr>
        <w:t xml:space="preserve">is not </w:t>
      </w:r>
      <w:r w:rsidRPr="008879E2">
        <w:rPr>
          <w:color w:val="000000" w:themeColor="text1"/>
          <w:szCs w:val="24"/>
        </w:rPr>
        <w:t>currently</w:t>
      </w:r>
      <w:r w:rsidRPr="008879E2">
        <w:rPr>
          <w:color w:val="000000" w:themeColor="text1"/>
        </w:rPr>
        <w:t xml:space="preserve"> a member of the CSS or PSS but was a member of the PSS Accumulation Plan (</w:t>
      </w:r>
      <w:proofErr w:type="spellStart"/>
      <w:r w:rsidRPr="008879E2">
        <w:rPr>
          <w:color w:val="000000" w:themeColor="text1"/>
        </w:rPr>
        <w:t>PSSap</w:t>
      </w:r>
      <w:proofErr w:type="spellEnd"/>
      <w:r w:rsidRPr="008879E2">
        <w:rPr>
          <w:color w:val="000000" w:themeColor="text1"/>
        </w:rPr>
        <w:t>) until it closed to the Territory on 30 June 2006, and has maintained continuous employment with the Territory:</w:t>
      </w:r>
    </w:p>
    <w:p w14:paraId="33B9255B" w14:textId="77777777" w:rsidR="001F0EA2" w:rsidRPr="008879E2" w:rsidRDefault="001F0EA2" w:rsidP="009C2F2E">
      <w:pPr>
        <w:numPr>
          <w:ilvl w:val="2"/>
          <w:numId w:val="15"/>
        </w:numPr>
        <w:tabs>
          <w:tab w:val="clear" w:pos="720"/>
          <w:tab w:val="num" w:pos="1440"/>
        </w:tabs>
        <w:spacing w:before="120" w:after="60"/>
        <w:ind w:left="1080" w:hanging="360"/>
        <w:rPr>
          <w:color w:val="000000" w:themeColor="text1"/>
        </w:rPr>
      </w:pPr>
      <w:r w:rsidRPr="008879E2">
        <w:rPr>
          <w:color w:val="000000" w:themeColor="text1"/>
        </w:rPr>
        <w:t>the value of the employer’s superannuation contribution is a notional 16% of the base remuneration as provided in clause 2 of this Determination; and</w:t>
      </w:r>
    </w:p>
    <w:p w14:paraId="60DAD266" w14:textId="77777777" w:rsidR="001F0EA2" w:rsidRPr="008879E2" w:rsidRDefault="001F0EA2" w:rsidP="001F0EA2">
      <w:pPr>
        <w:numPr>
          <w:ilvl w:val="2"/>
          <w:numId w:val="1"/>
        </w:numPr>
        <w:tabs>
          <w:tab w:val="clear" w:pos="720"/>
          <w:tab w:val="num" w:pos="1440"/>
        </w:tabs>
        <w:spacing w:before="120" w:after="60"/>
        <w:ind w:left="1080" w:hanging="360"/>
        <w:rPr>
          <w:color w:val="000000" w:themeColor="text1"/>
        </w:rPr>
      </w:pPr>
      <w:r w:rsidRPr="008879E2">
        <w:rPr>
          <w:color w:val="000000" w:themeColor="text1"/>
        </w:rPr>
        <w:t>the employer will contribute that amount to an agreed superannuation fund nominated by the person appointed to an office in clause 2 of this Determination.</w:t>
      </w:r>
    </w:p>
    <w:p w14:paraId="45C671B0" w14:textId="095647B7" w:rsidR="001F0EA2" w:rsidRPr="00C018B7" w:rsidRDefault="001F0EA2" w:rsidP="001F0EA2">
      <w:pPr>
        <w:spacing w:before="120" w:after="60"/>
        <w:ind w:left="709" w:hanging="709"/>
        <w:rPr>
          <w:color w:val="000000" w:themeColor="text1"/>
        </w:rPr>
      </w:pPr>
      <w:r w:rsidRPr="008879E2">
        <w:rPr>
          <w:color w:val="000000" w:themeColor="text1"/>
        </w:rPr>
        <w:t xml:space="preserve">5.4 </w:t>
      </w:r>
      <w:r w:rsidRPr="008879E2">
        <w:rPr>
          <w:color w:val="000000" w:themeColor="text1"/>
        </w:rPr>
        <w:tab/>
      </w:r>
      <w:r w:rsidRPr="00E074DF">
        <w:rPr>
          <w:color w:val="000000" w:themeColor="text1"/>
        </w:rPr>
        <w:t xml:space="preserve">For a person, appointed to an office </w:t>
      </w:r>
      <w:r w:rsidR="00912464" w:rsidRPr="00E074DF">
        <w:rPr>
          <w:color w:val="000000" w:themeColor="text1"/>
        </w:rPr>
        <w:t xml:space="preserve">listed </w:t>
      </w:r>
      <w:r w:rsidRPr="00E074DF">
        <w:rPr>
          <w:color w:val="000000" w:themeColor="text1"/>
        </w:rPr>
        <w:t xml:space="preserve">in clause 2 of this Determination, who is a member of any other superannuation fund, the employer’s superannuation contribution is to </w:t>
      </w:r>
      <w:r w:rsidRPr="00C018B7">
        <w:rPr>
          <w:color w:val="000000" w:themeColor="text1"/>
        </w:rPr>
        <w:t xml:space="preserve">be made at a rate </w:t>
      </w:r>
      <w:r w:rsidR="00774447" w:rsidRPr="00C018B7">
        <w:rPr>
          <w:color w:val="000000" w:themeColor="text1"/>
        </w:rPr>
        <w:t>equivalent to</w:t>
      </w:r>
      <w:r w:rsidRPr="00C018B7">
        <w:rPr>
          <w:color w:val="000000" w:themeColor="text1"/>
        </w:rPr>
        <w:t xml:space="preserve"> the Employer Superannuation Guarantee Charge Percentage as provided by the </w:t>
      </w:r>
      <w:r w:rsidRPr="00C018B7">
        <w:rPr>
          <w:i/>
          <w:color w:val="000000" w:themeColor="text1"/>
        </w:rPr>
        <w:t>Superannuation Guarantee (Administration) Act 1992</w:t>
      </w:r>
      <w:r w:rsidRPr="00C018B7">
        <w:rPr>
          <w:color w:val="000000" w:themeColor="text1"/>
        </w:rPr>
        <w:t>.</w:t>
      </w:r>
    </w:p>
    <w:p w14:paraId="7EC3E695" w14:textId="77777777" w:rsidR="00264E6D" w:rsidRPr="00C018B7" w:rsidRDefault="00264E6D" w:rsidP="00264E6D">
      <w:pPr>
        <w:pStyle w:val="ColorfulList-Accent11"/>
        <w:tabs>
          <w:tab w:val="left" w:pos="426"/>
        </w:tabs>
        <w:spacing w:before="120" w:after="60"/>
        <w:ind w:left="709"/>
        <w:rPr>
          <w:color w:val="000000" w:themeColor="text1"/>
          <w:sz w:val="20"/>
        </w:rPr>
      </w:pPr>
      <w:r w:rsidRPr="00C018B7">
        <w:rPr>
          <w:color w:val="000000" w:themeColor="text1"/>
          <w:sz w:val="20"/>
        </w:rPr>
        <w:t>Note: at the commencement of this Determination, the Employer Superannuation Guarantee Charge Percentage is 10% and increases to 10.5% on 1 July 2022.</w:t>
      </w:r>
    </w:p>
    <w:p w14:paraId="69045696" w14:textId="4E09EDF4" w:rsidR="001F0EA2" w:rsidRPr="00C018B7" w:rsidRDefault="001F0EA2" w:rsidP="001F0EA2">
      <w:pPr>
        <w:spacing w:before="120" w:after="60"/>
        <w:ind w:left="709" w:hanging="709"/>
        <w:rPr>
          <w:color w:val="000000" w:themeColor="text1"/>
        </w:rPr>
      </w:pPr>
      <w:r w:rsidRPr="00E074DF">
        <w:rPr>
          <w:color w:val="000000" w:themeColor="text1"/>
        </w:rPr>
        <w:t xml:space="preserve">5.5 </w:t>
      </w:r>
      <w:r w:rsidRPr="00E074DF">
        <w:rPr>
          <w:color w:val="000000" w:themeColor="text1"/>
        </w:rPr>
        <w:tab/>
      </w:r>
      <w:r w:rsidR="00B353FA" w:rsidRPr="00E074DF">
        <w:rPr>
          <w:color w:val="000000" w:themeColor="text1"/>
        </w:rPr>
        <w:t>The employer provides an additional employer superannuation contribution.</w:t>
      </w:r>
      <w:r w:rsidR="00BE5B36" w:rsidRPr="00E074DF">
        <w:rPr>
          <w:color w:val="000000" w:themeColor="text1"/>
        </w:rPr>
        <w:t xml:space="preserve"> The </w:t>
      </w:r>
      <w:r w:rsidR="00B353FA" w:rsidRPr="00C018B7">
        <w:rPr>
          <w:color w:val="000000" w:themeColor="text1"/>
        </w:rPr>
        <w:t xml:space="preserve">additional </w:t>
      </w:r>
      <w:r w:rsidR="00BE5B36" w:rsidRPr="00C018B7">
        <w:rPr>
          <w:color w:val="000000" w:themeColor="text1"/>
        </w:rPr>
        <w:t xml:space="preserve">employer superannuation contribution </w:t>
      </w:r>
      <w:r w:rsidR="00B353FA" w:rsidRPr="00C018B7">
        <w:rPr>
          <w:color w:val="000000" w:themeColor="text1"/>
        </w:rPr>
        <w:t xml:space="preserve">is the same rate provided under </w:t>
      </w:r>
      <w:r w:rsidR="00AE696C" w:rsidRPr="00C018B7">
        <w:rPr>
          <w:color w:val="000000" w:themeColor="text1"/>
        </w:rPr>
        <w:t xml:space="preserve">clause </w:t>
      </w:r>
      <w:r w:rsidR="00B353FA" w:rsidRPr="00C018B7">
        <w:rPr>
          <w:color w:val="000000" w:themeColor="text1"/>
        </w:rPr>
        <w:t xml:space="preserve">D7 </w:t>
      </w:r>
      <w:r w:rsidR="00264E6D" w:rsidRPr="00C018B7">
        <w:rPr>
          <w:color w:val="000000" w:themeColor="text1"/>
        </w:rPr>
        <w:t>in one of the following</w:t>
      </w:r>
      <w:r w:rsidR="00B353FA" w:rsidRPr="00C018B7">
        <w:rPr>
          <w:color w:val="000000" w:themeColor="text1"/>
        </w:rPr>
        <w:t>:</w:t>
      </w:r>
    </w:p>
    <w:p w14:paraId="1A5EC600" w14:textId="6DFA8580" w:rsidR="00B353FA" w:rsidRPr="00C018B7" w:rsidRDefault="00B353FA" w:rsidP="00C018B7">
      <w:pPr>
        <w:tabs>
          <w:tab w:val="left" w:pos="1134"/>
        </w:tabs>
        <w:spacing w:before="120" w:after="60"/>
        <w:ind w:left="1134" w:hanging="425"/>
        <w:rPr>
          <w:color w:val="000000" w:themeColor="text1"/>
        </w:rPr>
      </w:pPr>
      <w:r w:rsidRPr="00C018B7">
        <w:rPr>
          <w:color w:val="000000" w:themeColor="text1"/>
        </w:rPr>
        <w:t>(a)</w:t>
      </w:r>
      <w:r w:rsidRPr="00C018B7">
        <w:rPr>
          <w:color w:val="000000" w:themeColor="text1"/>
        </w:rPr>
        <w:tab/>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2018-2021</w:t>
      </w:r>
      <w:r w:rsidR="00264E6D" w:rsidRPr="00C018B7">
        <w:rPr>
          <w:color w:val="000000" w:themeColor="text1"/>
        </w:rPr>
        <w:t xml:space="preserve"> while it is in force; or</w:t>
      </w:r>
    </w:p>
    <w:p w14:paraId="43E18EF8" w14:textId="3EE073DD" w:rsidR="00B353FA" w:rsidRPr="00C018B7" w:rsidRDefault="00B353FA" w:rsidP="00C018B7">
      <w:pPr>
        <w:tabs>
          <w:tab w:val="left" w:pos="1134"/>
        </w:tabs>
        <w:spacing w:before="120" w:after="60"/>
        <w:ind w:left="1134" w:hanging="425"/>
        <w:rPr>
          <w:color w:val="000000" w:themeColor="text1"/>
        </w:rPr>
      </w:pPr>
      <w:r w:rsidRPr="00C018B7">
        <w:rPr>
          <w:color w:val="000000" w:themeColor="text1"/>
        </w:rPr>
        <w:t>(b)</w:t>
      </w:r>
      <w:r w:rsidRPr="00C018B7">
        <w:rPr>
          <w:color w:val="000000" w:themeColor="text1"/>
        </w:rPr>
        <w:tab/>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2021-2022</w:t>
      </w:r>
      <w:r w:rsidR="00264E6D" w:rsidRPr="00C018B7">
        <w:rPr>
          <w:color w:val="000000" w:themeColor="text1"/>
        </w:rPr>
        <w:t xml:space="preserve"> on its commencement.</w:t>
      </w:r>
    </w:p>
    <w:p w14:paraId="667A96AD" w14:textId="43898240" w:rsidR="001F0EA2" w:rsidRPr="00C018B7" w:rsidRDefault="001F0EA2" w:rsidP="001F0EA2">
      <w:pPr>
        <w:spacing w:before="120" w:after="60"/>
        <w:ind w:left="709" w:hanging="709"/>
        <w:rPr>
          <w:color w:val="000000" w:themeColor="text1"/>
        </w:rPr>
      </w:pPr>
      <w:r w:rsidRPr="00C018B7">
        <w:rPr>
          <w:color w:val="000000" w:themeColor="text1"/>
        </w:rPr>
        <w:t xml:space="preserve">5.6 </w:t>
      </w:r>
      <w:r w:rsidRPr="00C018B7">
        <w:rPr>
          <w:color w:val="000000" w:themeColor="text1"/>
        </w:rPr>
        <w:tab/>
        <w:t xml:space="preserve">In respect of a person appointed to an office </w:t>
      </w:r>
      <w:r w:rsidR="00BE5B36" w:rsidRPr="00C018B7">
        <w:rPr>
          <w:color w:val="000000" w:themeColor="text1"/>
        </w:rPr>
        <w:t xml:space="preserve">listed </w:t>
      </w:r>
      <w:r w:rsidRPr="00C018B7">
        <w:rPr>
          <w:color w:val="000000" w:themeColor="text1"/>
        </w:rPr>
        <w:t xml:space="preserve">in clause 2 of this Determination, who </w:t>
      </w:r>
      <w:r w:rsidR="009B10E0" w:rsidRPr="00C018B7">
        <w:rPr>
          <w:color w:val="000000" w:themeColor="text1"/>
        </w:rPr>
        <w:t>is</w:t>
      </w:r>
      <w:r w:rsidRPr="00C018B7">
        <w:rPr>
          <w:color w:val="000000" w:themeColor="text1"/>
        </w:rPr>
        <w:t xml:space="preserve"> not</w:t>
      </w:r>
      <w:r w:rsidR="009B10E0" w:rsidRPr="00C018B7">
        <w:rPr>
          <w:color w:val="000000" w:themeColor="text1"/>
        </w:rPr>
        <w:t xml:space="preserve"> a</w:t>
      </w:r>
      <w:r w:rsidRPr="00C018B7">
        <w:rPr>
          <w:color w:val="000000" w:themeColor="text1"/>
        </w:rPr>
        <w:t xml:space="preserve"> CSS or PSS members:</w:t>
      </w:r>
    </w:p>
    <w:p w14:paraId="07F3510E" w14:textId="09C97042" w:rsidR="001F0EA2" w:rsidRPr="00C018B7" w:rsidRDefault="00264E6D" w:rsidP="009C2F2E">
      <w:pPr>
        <w:pStyle w:val="ColorfulList-Accent11"/>
        <w:numPr>
          <w:ilvl w:val="0"/>
          <w:numId w:val="13"/>
        </w:numPr>
        <w:spacing w:before="120" w:after="60"/>
        <w:contextualSpacing w:val="0"/>
        <w:rPr>
          <w:color w:val="000000" w:themeColor="text1"/>
        </w:rPr>
      </w:pPr>
      <w:r w:rsidRPr="00C018B7">
        <w:rPr>
          <w:color w:val="000000" w:themeColor="text1"/>
        </w:rPr>
        <w:t xml:space="preserve">for each pay period </w:t>
      </w:r>
      <w:r w:rsidR="001F0EA2" w:rsidRPr="00C018B7">
        <w:rPr>
          <w:color w:val="000000" w:themeColor="text1"/>
        </w:rPr>
        <w:t xml:space="preserve">the person contributes 3% or more of their base remuneration to </w:t>
      </w:r>
      <w:r w:rsidRPr="00C018B7">
        <w:rPr>
          <w:color w:val="000000" w:themeColor="text1"/>
        </w:rPr>
        <w:t xml:space="preserve">their nominated </w:t>
      </w:r>
      <w:r w:rsidR="001F0EA2" w:rsidRPr="00C018B7">
        <w:rPr>
          <w:color w:val="000000" w:themeColor="text1"/>
        </w:rPr>
        <w:t>superannuation fund in the form of employee contributions</w:t>
      </w:r>
      <w:r w:rsidRPr="00C018B7">
        <w:rPr>
          <w:color w:val="000000" w:themeColor="text1"/>
        </w:rPr>
        <w:t xml:space="preserve"> (either in pre or post tax dollars)</w:t>
      </w:r>
      <w:r w:rsidR="001F0EA2" w:rsidRPr="00C018B7">
        <w:rPr>
          <w:color w:val="000000" w:themeColor="text1"/>
        </w:rPr>
        <w:t xml:space="preserve">, the Territory will contribute an additional 1% employer superannuation contribution </w:t>
      </w:r>
      <w:r w:rsidRPr="00C018B7">
        <w:rPr>
          <w:color w:val="000000" w:themeColor="text1"/>
        </w:rPr>
        <w:t xml:space="preserve">pro-rata per pay </w:t>
      </w:r>
      <w:r w:rsidR="001F0EA2" w:rsidRPr="00C018B7">
        <w:rPr>
          <w:color w:val="000000" w:themeColor="text1"/>
        </w:rPr>
        <w:t xml:space="preserve">above the </w:t>
      </w:r>
      <w:r w:rsidRPr="00C018B7">
        <w:rPr>
          <w:color w:val="000000" w:themeColor="text1"/>
        </w:rPr>
        <w:t>entitlement</w:t>
      </w:r>
      <w:r w:rsidR="001F0EA2" w:rsidRPr="00C018B7">
        <w:rPr>
          <w:color w:val="000000" w:themeColor="text1"/>
        </w:rPr>
        <w:t xml:space="preserve"> in clause 5.5</w:t>
      </w:r>
      <w:r w:rsidRPr="00C018B7">
        <w:rPr>
          <w:color w:val="000000" w:themeColor="text1"/>
        </w:rPr>
        <w:t>, based on the person’s gross fortnightly OTE (or other methods where prescribed by the nominated superannuation fund rules).</w:t>
      </w:r>
    </w:p>
    <w:p w14:paraId="5CC92152" w14:textId="50BACD6F" w:rsidR="00264E6D" w:rsidRPr="00C018B7" w:rsidRDefault="00264E6D" w:rsidP="00264E6D">
      <w:pPr>
        <w:spacing w:before="80" w:after="60"/>
        <w:ind w:left="709" w:hanging="709"/>
        <w:rPr>
          <w:color w:val="000000" w:themeColor="text1"/>
        </w:rPr>
      </w:pPr>
      <w:r w:rsidRPr="00C018B7">
        <w:rPr>
          <w:color w:val="000000" w:themeColor="text1"/>
        </w:rPr>
        <w:t xml:space="preserve">5.7 </w:t>
      </w:r>
      <w:r w:rsidRPr="00C018B7">
        <w:rPr>
          <w:color w:val="000000" w:themeColor="text1"/>
        </w:rPr>
        <w:tab/>
        <w:t xml:space="preserve">If the legislated minimum Superannuation Guarantee rate mentioned in clause 5.4 of this Determination is increased, it will be absorbed by the additional employer contribution provided in clause </w:t>
      </w:r>
      <w:proofErr w:type="gramStart"/>
      <w:r w:rsidRPr="00C018B7">
        <w:rPr>
          <w:color w:val="000000" w:themeColor="text1"/>
        </w:rPr>
        <w:t>5.5, but</w:t>
      </w:r>
      <w:proofErr w:type="gramEnd"/>
      <w:r w:rsidRPr="00C018B7">
        <w:rPr>
          <w:color w:val="000000" w:themeColor="text1"/>
        </w:rPr>
        <w:t xml:space="preserve"> will not affect the entitlement in clause 5.6.</w:t>
      </w:r>
    </w:p>
    <w:p w14:paraId="1C793046" w14:textId="14760446" w:rsidR="001F0EA2" w:rsidRPr="00E074DF" w:rsidRDefault="00264E6D" w:rsidP="001F0EA2">
      <w:pPr>
        <w:spacing w:before="120" w:after="60"/>
        <w:ind w:left="709" w:hanging="709"/>
        <w:rPr>
          <w:color w:val="000000" w:themeColor="text1"/>
        </w:rPr>
      </w:pPr>
      <w:r>
        <w:rPr>
          <w:color w:val="000000" w:themeColor="text1"/>
        </w:rPr>
        <w:t>5.8</w:t>
      </w:r>
      <w:r w:rsidR="001F0EA2" w:rsidRPr="00E074DF">
        <w:rPr>
          <w:color w:val="000000" w:themeColor="text1"/>
        </w:rPr>
        <w:t xml:space="preserve"> </w:t>
      </w:r>
      <w:r w:rsidR="001F0EA2" w:rsidRPr="00E074DF">
        <w:rPr>
          <w:color w:val="000000" w:themeColor="text1"/>
        </w:rPr>
        <w:tab/>
        <w:t>The</w:t>
      </w:r>
      <w:r w:rsidR="001F0EA2" w:rsidRPr="00E074DF">
        <w:rPr>
          <w:color w:val="000000" w:themeColor="text1"/>
          <w:lang w:val="en-US"/>
        </w:rPr>
        <w:t xml:space="preserve"> </w:t>
      </w:r>
      <w:r w:rsidR="001F0EA2" w:rsidRPr="00E074DF">
        <w:rPr>
          <w:color w:val="000000" w:themeColor="text1"/>
        </w:rPr>
        <w:t xml:space="preserve">value of the employer’s superannuation contribution must not be paid in cash to </w:t>
      </w:r>
      <w:r w:rsidR="001F0EA2"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001F0EA2" w:rsidRPr="00E074DF">
        <w:rPr>
          <w:color w:val="000000" w:themeColor="text1"/>
          <w:szCs w:val="24"/>
        </w:rPr>
        <w:t xml:space="preserve"> in clause 2 of this Determination</w:t>
      </w:r>
      <w:r w:rsidR="001F0EA2" w:rsidRPr="00E074DF">
        <w:rPr>
          <w:color w:val="000000" w:themeColor="text1"/>
        </w:rPr>
        <w:t>.</w:t>
      </w:r>
    </w:p>
    <w:p w14:paraId="703DAB05" w14:textId="77777777" w:rsidR="001F0EA2" w:rsidRDefault="001F0EA2" w:rsidP="001F0EA2">
      <w:pPr>
        <w:pStyle w:val="Heading3"/>
        <w:numPr>
          <w:ilvl w:val="0"/>
          <w:numId w:val="0"/>
        </w:numPr>
        <w:spacing w:before="120"/>
      </w:pPr>
      <w:r>
        <w:lastRenderedPageBreak/>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proofErr w:type="gramStart"/>
      <w:r>
        <w:t>means</w:t>
      </w:r>
      <w:proofErr w:type="gramEnd"/>
      <w:r>
        <w:t xml:space="preserve">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6"/>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77777777" w:rsidR="001F0EA2" w:rsidRPr="00EA04F4" w:rsidRDefault="001F0EA2" w:rsidP="001F0EA2">
      <w:pPr>
        <w:spacing w:before="80" w:after="60"/>
        <w:ind w:left="709" w:hanging="709"/>
      </w:pPr>
      <w:r>
        <w:t xml:space="preserve">6.3 </w:t>
      </w:r>
      <w:r>
        <w:tab/>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w:t>
      </w:r>
      <w:proofErr w:type="gramStart"/>
      <w:r>
        <w:t>transport;</w:t>
      </w:r>
      <w:proofErr w:type="gramEnd"/>
      <w:r>
        <w:t xml:space="preserve"> </w:t>
      </w:r>
    </w:p>
    <w:p w14:paraId="65EA12B5" w14:textId="77777777" w:rsidR="001F0EA2" w:rsidRDefault="001F0EA2" w:rsidP="0079194D">
      <w:pPr>
        <w:numPr>
          <w:ilvl w:val="2"/>
          <w:numId w:val="4"/>
        </w:numPr>
        <w:ind w:left="1134" w:hanging="436"/>
      </w:pPr>
      <w:r>
        <w:t xml:space="preserve">commercially provided </w:t>
      </w:r>
      <w:proofErr w:type="gramStart"/>
      <w:r>
        <w:t>flights;</w:t>
      </w:r>
      <w:proofErr w:type="gramEnd"/>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 xml:space="preserve">Commercially provided travel should be selected </w:t>
      </w:r>
      <w:proofErr w:type="gramStart"/>
      <w:r>
        <w:t>on the basis of</w:t>
      </w:r>
      <w:proofErr w:type="gramEnd"/>
      <w:r>
        <w:t>:</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lastRenderedPageBreak/>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xml:space="preserve">— economy </w:t>
      </w:r>
      <w:proofErr w:type="gramStart"/>
      <w:r w:rsidRPr="00A026E3">
        <w:rPr>
          <w:rFonts w:eastAsia="Calibri"/>
          <w:szCs w:val="24"/>
        </w:rPr>
        <w:t>class;</w:t>
      </w:r>
      <w:proofErr w:type="gramEnd"/>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xml:space="preserve">— business </w:t>
      </w:r>
      <w:proofErr w:type="gramStart"/>
      <w:r w:rsidRPr="00A026E3">
        <w:rPr>
          <w:rFonts w:eastAsia="Calibri"/>
          <w:szCs w:val="24"/>
        </w:rPr>
        <w:t>class;</w:t>
      </w:r>
      <w:proofErr w:type="gramEnd"/>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5D8B1B4B" w14:textId="0FE454F1" w:rsidR="001F0EA2" w:rsidRPr="00C018B7" w:rsidRDefault="001F0EA2" w:rsidP="001F0EA2">
      <w:pPr>
        <w:spacing w:before="120" w:after="60"/>
        <w:ind w:left="698" w:hanging="698"/>
        <w:rPr>
          <w:color w:val="000000" w:themeColor="text1"/>
        </w:rPr>
      </w:pPr>
      <w:r>
        <w:t>6.</w:t>
      </w:r>
      <w:r w:rsidRPr="00C018B7">
        <w:rPr>
          <w:color w:val="000000" w:themeColor="text1"/>
        </w:rPr>
        <w:t>10</w:t>
      </w:r>
      <w:r w:rsidRPr="00C018B7">
        <w:rPr>
          <w:color w:val="000000" w:themeColor="text1"/>
        </w:rPr>
        <w:tab/>
        <w:t xml:space="preserve">If a traveller is approved to travel by private motor vehicle, the employer will </w:t>
      </w:r>
      <w:r w:rsidRPr="00C018B7">
        <w:rPr>
          <w:color w:val="000000" w:themeColor="text1"/>
        </w:rPr>
        <w:br/>
        <w:t xml:space="preserve">pay the owner of the vehicle an allowance calculated in accordance with the Motor Vehicle Allowance set out in </w:t>
      </w:r>
      <w:r w:rsidR="00264E6D" w:rsidRPr="00C018B7">
        <w:rPr>
          <w:color w:val="000000" w:themeColor="text1"/>
        </w:rPr>
        <w:t xml:space="preserve">in one of the following: </w:t>
      </w:r>
    </w:p>
    <w:p w14:paraId="6AD02EE8" w14:textId="77777777" w:rsidR="00264E6D" w:rsidRPr="00C018B7" w:rsidRDefault="00264E6D" w:rsidP="00CC72E9">
      <w:pPr>
        <w:numPr>
          <w:ilvl w:val="2"/>
          <w:numId w:val="5"/>
        </w:numPr>
        <w:ind w:left="1134" w:hanging="436"/>
        <w:rPr>
          <w:color w:val="000000" w:themeColor="text1"/>
        </w:rPr>
      </w:pPr>
      <w:r w:rsidRPr="00C018B7">
        <w:rPr>
          <w:color w:val="000000" w:themeColor="text1"/>
        </w:rPr>
        <w:t xml:space="preserve">the </w:t>
      </w:r>
      <w:r w:rsidRPr="00C018B7">
        <w:rPr>
          <w:i/>
          <w:color w:val="000000" w:themeColor="text1"/>
        </w:rPr>
        <w:t xml:space="preserve">ACT Public Sector Administrative and Related Classifications Enterprise Agreement 2018-2021 </w:t>
      </w:r>
      <w:r w:rsidRPr="00C018B7">
        <w:rPr>
          <w:color w:val="000000" w:themeColor="text1"/>
        </w:rPr>
        <w:t>while it is in force; or</w:t>
      </w:r>
    </w:p>
    <w:p w14:paraId="4FA47D68" w14:textId="77777777" w:rsidR="00264E6D" w:rsidRPr="00C018B7" w:rsidRDefault="00264E6D" w:rsidP="00CC72E9">
      <w:pPr>
        <w:numPr>
          <w:ilvl w:val="2"/>
          <w:numId w:val="5"/>
        </w:numPr>
        <w:ind w:left="1134" w:hanging="436"/>
        <w:rPr>
          <w:color w:val="000000" w:themeColor="text1"/>
        </w:rPr>
      </w:pPr>
      <w:r w:rsidRPr="00C018B7">
        <w:rPr>
          <w:color w:val="000000" w:themeColor="text1"/>
        </w:rPr>
        <w:t xml:space="preserve">the </w:t>
      </w:r>
      <w:r w:rsidRPr="00C018B7">
        <w:rPr>
          <w:i/>
          <w:color w:val="000000" w:themeColor="text1"/>
        </w:rPr>
        <w:t>ACT Public Sector Administrative and Related Classifications Enterprise Agreement 2021-2022</w:t>
      </w:r>
      <w:r w:rsidRPr="00C018B7">
        <w:rPr>
          <w:color w:val="000000" w:themeColor="text1"/>
        </w:rPr>
        <w:t xml:space="preserve"> on its commencement.</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xml:space="preserve">— 4.5 </w:t>
      </w:r>
      <w:proofErr w:type="gramStart"/>
      <w:r w:rsidRPr="00A026E3">
        <w:rPr>
          <w:rFonts w:eastAsia="Calibri"/>
          <w:szCs w:val="24"/>
        </w:rPr>
        <w:t>stars;</w:t>
      </w:r>
      <w:proofErr w:type="gramEnd"/>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w:t>
      </w:r>
      <w:proofErr w:type="gramStart"/>
      <w:r>
        <w:t>4.5 star</w:t>
      </w:r>
      <w:proofErr w:type="gramEnd"/>
      <w:r>
        <w:t xml:space="preserve">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 xml:space="preserve">to allow a </w:t>
      </w:r>
      <w:proofErr w:type="spellStart"/>
      <w:r>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 xml:space="preserve">is being </w:t>
      </w:r>
      <w:proofErr w:type="gramStart"/>
      <w:r w:rsidRPr="001458A6">
        <w:rPr>
          <w:sz w:val="20"/>
          <w:lang w:val="en-US"/>
        </w:rPr>
        <w:t>held</w:t>
      </w:r>
      <w:r>
        <w:rPr>
          <w:sz w:val="20"/>
          <w:lang w:val="en-US"/>
        </w:rPr>
        <w:t>;</w:t>
      </w:r>
      <w:proofErr w:type="gramEnd"/>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w:t>
      </w:r>
      <w:proofErr w:type="gramStart"/>
      <w:r w:rsidRPr="007F635D">
        <w:rPr>
          <w:sz w:val="20"/>
          <w:lang w:val="en-US"/>
        </w:rPr>
        <w:t>Minister</w:t>
      </w:r>
      <w:r>
        <w:rPr>
          <w:sz w:val="20"/>
          <w:lang w:val="en-US"/>
        </w:rPr>
        <w:t>,</w:t>
      </w:r>
      <w:r w:rsidRPr="007F635D">
        <w:rPr>
          <w:sz w:val="20"/>
          <w:lang w:val="en-US"/>
        </w:rPr>
        <w:t xml:space="preserve"> if</w:t>
      </w:r>
      <w:proofErr w:type="gramEnd"/>
      <w:r w:rsidRPr="007F635D">
        <w:rPr>
          <w:sz w:val="20"/>
          <w:lang w:val="en-US"/>
        </w:rPr>
        <w:t xml:space="preserve">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9C2F2E">
      <w:pPr>
        <w:numPr>
          <w:ilvl w:val="1"/>
          <w:numId w:val="5"/>
        </w:numPr>
        <w:spacing w:before="120" w:after="60"/>
        <w:ind w:left="709" w:hanging="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9C2F2E">
      <w:pPr>
        <w:numPr>
          <w:ilvl w:val="1"/>
          <w:numId w:val="5"/>
        </w:numPr>
        <w:spacing w:before="120" w:after="60"/>
        <w:ind w:left="709" w:hanging="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9C2F2E">
      <w:pPr>
        <w:pStyle w:val="ListParagraph"/>
        <w:numPr>
          <w:ilvl w:val="1"/>
          <w:numId w:val="5"/>
        </w:numPr>
        <w:spacing w:before="80" w:after="60"/>
        <w:ind w:left="709" w:hanging="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w:t>
      </w:r>
      <w:proofErr w:type="gramStart"/>
      <w:r w:rsidRPr="00380585">
        <w:rPr>
          <w:sz w:val="24"/>
          <w:szCs w:val="24"/>
        </w:rPr>
        <w:t>as a result of</w:t>
      </w:r>
      <w:proofErr w:type="gramEnd"/>
      <w:r w:rsidRPr="00380585">
        <w:rPr>
          <w:sz w:val="24"/>
          <w:szCs w:val="24"/>
        </w:rPr>
        <w:t xml:space="preserve">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lastRenderedPageBreak/>
        <w:t>Definitions</w:t>
      </w:r>
    </w:p>
    <w:p w14:paraId="41C72AC7" w14:textId="77777777" w:rsidR="001F0EA2" w:rsidRPr="009669DA" w:rsidRDefault="001F0EA2" w:rsidP="001F0EA2">
      <w:pPr>
        <w:spacing w:before="80"/>
        <w:ind w:left="709"/>
        <w:jc w:val="both"/>
      </w:pPr>
      <w:r w:rsidRPr="009669DA">
        <w:rPr>
          <w:b/>
          <w:bCs/>
          <w:i/>
          <w:iCs/>
        </w:rPr>
        <w:t>agreed superannuation fund</w:t>
      </w:r>
      <w:r w:rsidRPr="009669DA">
        <w:t xml:space="preserve"> means a fund complying with the requirements of:</w:t>
      </w:r>
    </w:p>
    <w:p w14:paraId="10C0D988" w14:textId="77777777" w:rsidR="001F0EA2" w:rsidRPr="009669DA" w:rsidRDefault="001F0EA2" w:rsidP="009C2F2E">
      <w:pPr>
        <w:numPr>
          <w:ilvl w:val="0"/>
          <w:numId w:val="14"/>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14:paraId="5165E396" w14:textId="77777777" w:rsidR="001F0EA2" w:rsidRPr="009669DA" w:rsidRDefault="001F0EA2" w:rsidP="009C2F2E">
      <w:pPr>
        <w:numPr>
          <w:ilvl w:val="0"/>
          <w:numId w:val="14"/>
        </w:numPr>
        <w:spacing w:before="80"/>
        <w:contextualSpacing/>
        <w:jc w:val="both"/>
      </w:pPr>
      <w:r w:rsidRPr="009669DA">
        <w:t xml:space="preserve">the </w:t>
      </w:r>
      <w:r w:rsidRPr="009669DA">
        <w:rPr>
          <w:i/>
        </w:rPr>
        <w:t>Superannuation Industry (Supervision) Act 1993</w:t>
      </w:r>
      <w:r w:rsidRPr="009669DA">
        <w:t xml:space="preserve"> (</w:t>
      </w:r>
      <w:proofErr w:type="spellStart"/>
      <w:r w:rsidRPr="009669DA">
        <w:t>Cth</w:t>
      </w:r>
      <w:proofErr w:type="spellEnd"/>
      <w:r w:rsidRPr="009669DA">
        <w:t>).</w:t>
      </w:r>
    </w:p>
    <w:p w14:paraId="4CD8DFA3" w14:textId="77777777" w:rsidR="001F0EA2" w:rsidRDefault="001F0EA2" w:rsidP="001F0EA2">
      <w:pPr>
        <w:spacing w:before="80"/>
        <w:ind w:left="709"/>
        <w:jc w:val="both"/>
      </w:pPr>
      <w:r>
        <w:rPr>
          <w:b/>
          <w:i/>
        </w:rPr>
        <w:t xml:space="preserve">CSS </w:t>
      </w:r>
      <w:r>
        <w:t xml:space="preserve">means the </w:t>
      </w:r>
      <w:r w:rsidRPr="0075183B">
        <w:t>Comm</w:t>
      </w:r>
      <w:r>
        <w:t>onwealth Superannuation Scheme.</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24697258" w14:textId="77777777" w:rsidR="001F0EA2" w:rsidRDefault="001F0EA2" w:rsidP="001F0EA2">
      <w:pPr>
        <w:spacing w:before="80"/>
        <w:ind w:left="709"/>
        <w:jc w:val="both"/>
      </w:pPr>
      <w:r>
        <w:rPr>
          <w:b/>
          <w:i/>
        </w:rPr>
        <w:t xml:space="preserve">PSS </w:t>
      </w:r>
      <w:r>
        <w:t xml:space="preserve">means the </w:t>
      </w:r>
      <w:r w:rsidRPr="0075183B">
        <w:t>Publi</w:t>
      </w:r>
      <w:r>
        <w:t>c Sector Superannuation Scheme.</w:t>
      </w:r>
    </w:p>
    <w:p w14:paraId="7C545D67" w14:textId="77777777" w:rsidR="001F0EA2" w:rsidRDefault="001F0EA2" w:rsidP="001F0EA2">
      <w:pPr>
        <w:spacing w:before="80"/>
        <w:ind w:left="709"/>
        <w:jc w:val="both"/>
      </w:pPr>
      <w:proofErr w:type="spellStart"/>
      <w:r>
        <w:rPr>
          <w:b/>
          <w:i/>
        </w:rPr>
        <w:t>PSSap</w:t>
      </w:r>
      <w:proofErr w:type="spellEnd"/>
      <w:r>
        <w:rPr>
          <w:b/>
          <w:i/>
        </w:rPr>
        <w:t xml:space="preserve"> </w:t>
      </w:r>
      <w:r>
        <w:t>means the PSS Accumulation Plan.</w:t>
      </w:r>
    </w:p>
    <w:p w14:paraId="4B90248A" w14:textId="77777777" w:rsidR="001F0EA2" w:rsidRDefault="001F0EA2" w:rsidP="001F0EA2">
      <w:pPr>
        <w:spacing w:before="8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48C90C54"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6D45E1">
        <w:rPr>
          <w:color w:val="000000" w:themeColor="text1"/>
          <w:sz w:val="24"/>
          <w:szCs w:val="24"/>
        </w:rPr>
        <w:t>13 of 2020 and 14 of 2020</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p w14:paraId="362B1A90" w14:textId="4A6C9AB4" w:rsidR="001F0EA2" w:rsidRDefault="001F0EA2" w:rsidP="001F0EA2">
      <w:pPr>
        <w:tabs>
          <w:tab w:val="left" w:pos="4253"/>
          <w:tab w:val="left" w:leader="dot" w:pos="8222"/>
        </w:tabs>
        <w:rPr>
          <w:szCs w:val="24"/>
        </w:rPr>
      </w:pPr>
    </w:p>
    <w:tbl>
      <w:tblPr>
        <w:tblW w:w="0" w:type="auto"/>
        <w:tblLook w:val="04A0" w:firstRow="1" w:lastRow="0" w:firstColumn="1" w:lastColumn="0" w:noHBand="0" w:noVBand="1"/>
      </w:tblPr>
      <w:tblGrid>
        <w:gridCol w:w="4529"/>
        <w:gridCol w:w="4488"/>
      </w:tblGrid>
      <w:tr w:rsidR="0016219C" w:rsidRPr="006A51E8" w14:paraId="72D7B068" w14:textId="77777777" w:rsidTr="00CA79C3">
        <w:tc>
          <w:tcPr>
            <w:tcW w:w="4529" w:type="dxa"/>
          </w:tcPr>
          <w:p w14:paraId="63664AA8" w14:textId="77777777" w:rsidR="0016219C" w:rsidRPr="000F41B0" w:rsidRDefault="0016219C" w:rsidP="00CA79C3">
            <w:pPr>
              <w:tabs>
                <w:tab w:val="left" w:pos="4253"/>
                <w:tab w:val="left" w:leader="dot" w:pos="8222"/>
              </w:tabs>
              <w:rPr>
                <w:szCs w:val="24"/>
              </w:rPr>
            </w:pPr>
            <w:bookmarkStart w:id="4" w:name="_Hlk90826441"/>
          </w:p>
          <w:p w14:paraId="664B0531" w14:textId="77777777" w:rsidR="0016219C" w:rsidRPr="000F41B0" w:rsidRDefault="0016219C" w:rsidP="00CA79C3">
            <w:pPr>
              <w:tabs>
                <w:tab w:val="left" w:pos="4253"/>
                <w:tab w:val="left" w:pos="7230"/>
                <w:tab w:val="left" w:leader="dot" w:pos="8222"/>
              </w:tabs>
              <w:rPr>
                <w:szCs w:val="24"/>
              </w:rPr>
            </w:pPr>
            <w:r>
              <w:rPr>
                <w:szCs w:val="24"/>
              </w:rPr>
              <w:t>Ms Sandra Lambert AM</w:t>
            </w:r>
            <w:r w:rsidRPr="000F41B0">
              <w:rPr>
                <w:szCs w:val="24"/>
              </w:rPr>
              <w:tab/>
            </w:r>
          </w:p>
          <w:p w14:paraId="671313CC" w14:textId="77777777" w:rsidR="0016219C" w:rsidRPr="000F41B0" w:rsidRDefault="0016219C" w:rsidP="00CA79C3">
            <w:pPr>
              <w:tabs>
                <w:tab w:val="left" w:pos="7230"/>
              </w:tabs>
              <w:rPr>
                <w:szCs w:val="24"/>
              </w:rPr>
            </w:pPr>
            <w:r w:rsidRPr="000F41B0">
              <w:rPr>
                <w:szCs w:val="24"/>
              </w:rPr>
              <w:t>Chair</w:t>
            </w:r>
          </w:p>
          <w:p w14:paraId="61EB61A2" w14:textId="77777777" w:rsidR="0016219C" w:rsidRDefault="0016219C" w:rsidP="00CA79C3">
            <w:pPr>
              <w:tabs>
                <w:tab w:val="left" w:pos="4253"/>
                <w:tab w:val="left" w:leader="dot" w:pos="8222"/>
              </w:tabs>
              <w:rPr>
                <w:szCs w:val="24"/>
              </w:rPr>
            </w:pPr>
          </w:p>
          <w:p w14:paraId="1E0D6C9B" w14:textId="77777777" w:rsidR="0016219C" w:rsidRPr="000F41B0" w:rsidRDefault="0016219C" w:rsidP="00CA79C3">
            <w:pPr>
              <w:tabs>
                <w:tab w:val="left" w:pos="4253"/>
                <w:tab w:val="left" w:leader="dot" w:pos="8222"/>
              </w:tabs>
              <w:spacing w:after="120"/>
              <w:rPr>
                <w:szCs w:val="24"/>
              </w:rPr>
            </w:pPr>
          </w:p>
        </w:tc>
        <w:tc>
          <w:tcPr>
            <w:tcW w:w="4488" w:type="dxa"/>
          </w:tcPr>
          <w:p w14:paraId="040C273E" w14:textId="77777777" w:rsidR="0016219C" w:rsidRDefault="0016219C" w:rsidP="00CA79C3">
            <w:pPr>
              <w:tabs>
                <w:tab w:val="left" w:pos="3059"/>
                <w:tab w:val="left" w:pos="7230"/>
              </w:tabs>
            </w:pPr>
          </w:p>
          <w:p w14:paraId="614A1A16" w14:textId="77777777" w:rsidR="0016219C" w:rsidRPr="006A51E8" w:rsidRDefault="0016219C" w:rsidP="00CA79C3">
            <w:pPr>
              <w:tabs>
                <w:tab w:val="left" w:pos="3059"/>
                <w:tab w:val="left" w:pos="7230"/>
              </w:tabs>
              <w:spacing w:before="120"/>
            </w:pPr>
            <w:r>
              <w:t xml:space="preserve"> </w:t>
            </w:r>
            <w:r>
              <w:br/>
              <w:t xml:space="preserve"> </w:t>
            </w:r>
            <w:r w:rsidRPr="00A9481F">
              <w:t>...............................</w:t>
            </w:r>
            <w:r>
              <w:t>.................</w:t>
            </w:r>
          </w:p>
        </w:tc>
      </w:tr>
      <w:tr w:rsidR="0016219C" w:rsidRPr="006A51E8" w14:paraId="11DC7179" w14:textId="77777777" w:rsidTr="00CA79C3">
        <w:tc>
          <w:tcPr>
            <w:tcW w:w="4529" w:type="dxa"/>
          </w:tcPr>
          <w:p w14:paraId="57976DA1" w14:textId="77777777" w:rsidR="0016219C" w:rsidRPr="000F41B0" w:rsidRDefault="0016219C" w:rsidP="00CA79C3">
            <w:pPr>
              <w:tabs>
                <w:tab w:val="left" w:pos="4253"/>
                <w:tab w:val="left" w:leader="dot" w:pos="8222"/>
              </w:tabs>
              <w:rPr>
                <w:szCs w:val="24"/>
              </w:rPr>
            </w:pPr>
            <w:r>
              <w:rPr>
                <w:szCs w:val="24"/>
              </w:rPr>
              <w:t>Dr James Popple</w:t>
            </w:r>
            <w:r w:rsidRPr="000F41B0">
              <w:rPr>
                <w:szCs w:val="24"/>
              </w:rPr>
              <w:tab/>
            </w:r>
          </w:p>
          <w:p w14:paraId="6755B066" w14:textId="77777777" w:rsidR="0016219C" w:rsidRPr="000F41B0" w:rsidRDefault="0016219C" w:rsidP="00CA79C3">
            <w:pPr>
              <w:tabs>
                <w:tab w:val="left" w:pos="4253"/>
                <w:tab w:val="left" w:leader="dot" w:pos="8222"/>
              </w:tabs>
              <w:rPr>
                <w:szCs w:val="24"/>
              </w:rPr>
            </w:pPr>
            <w:r w:rsidRPr="000F41B0">
              <w:rPr>
                <w:szCs w:val="24"/>
              </w:rPr>
              <w:t>Member</w:t>
            </w:r>
          </w:p>
        </w:tc>
        <w:tc>
          <w:tcPr>
            <w:tcW w:w="4488" w:type="dxa"/>
          </w:tcPr>
          <w:p w14:paraId="5D5D1D02" w14:textId="77777777" w:rsidR="0016219C" w:rsidRDefault="0016219C" w:rsidP="00CA79C3">
            <w:pPr>
              <w:tabs>
                <w:tab w:val="left" w:pos="3059"/>
                <w:tab w:val="left" w:pos="7230"/>
              </w:tabs>
            </w:pPr>
            <w:r w:rsidRPr="006A51E8">
              <w:t xml:space="preserve"> </w:t>
            </w:r>
          </w:p>
          <w:p w14:paraId="582EBB67" w14:textId="77777777" w:rsidR="0016219C" w:rsidRDefault="0016219C" w:rsidP="00CA79C3">
            <w:pPr>
              <w:tabs>
                <w:tab w:val="left" w:pos="3059"/>
                <w:tab w:val="left" w:pos="7230"/>
              </w:tabs>
            </w:pPr>
          </w:p>
          <w:p w14:paraId="13D84AEB" w14:textId="77777777" w:rsidR="0016219C" w:rsidRDefault="0016219C" w:rsidP="00CA79C3">
            <w:pPr>
              <w:tabs>
                <w:tab w:val="left" w:pos="3059"/>
                <w:tab w:val="left" w:pos="7230"/>
              </w:tabs>
            </w:pPr>
            <w:r>
              <w:t xml:space="preserve">  </w:t>
            </w:r>
            <w:r w:rsidRPr="00A9481F">
              <w:t>..............................</w:t>
            </w:r>
            <w:r>
              <w:t>.................</w:t>
            </w:r>
          </w:p>
          <w:p w14:paraId="6BBECD72" w14:textId="77777777" w:rsidR="0016219C" w:rsidRDefault="0016219C" w:rsidP="00CA79C3">
            <w:pPr>
              <w:tabs>
                <w:tab w:val="left" w:pos="3059"/>
                <w:tab w:val="left" w:pos="7230"/>
              </w:tabs>
            </w:pPr>
          </w:p>
        </w:tc>
      </w:tr>
      <w:tr w:rsidR="0016219C" w:rsidRPr="006A51E8" w14:paraId="6893BD9B" w14:textId="77777777" w:rsidTr="00CA79C3">
        <w:tc>
          <w:tcPr>
            <w:tcW w:w="4529" w:type="dxa"/>
          </w:tcPr>
          <w:p w14:paraId="50F9E787" w14:textId="77777777" w:rsidR="0016219C" w:rsidRPr="000F41B0" w:rsidRDefault="0016219C" w:rsidP="00CA79C3">
            <w:pPr>
              <w:tabs>
                <w:tab w:val="left" w:pos="4253"/>
                <w:tab w:val="left" w:pos="7230"/>
                <w:tab w:val="left" w:leader="dot" w:pos="8222"/>
              </w:tabs>
              <w:rPr>
                <w:szCs w:val="24"/>
              </w:rPr>
            </w:pPr>
          </w:p>
          <w:p w14:paraId="1E340534" w14:textId="77777777" w:rsidR="0016219C" w:rsidRDefault="0016219C" w:rsidP="00CA79C3">
            <w:pPr>
              <w:tabs>
                <w:tab w:val="left" w:pos="4253"/>
                <w:tab w:val="left" w:pos="7230"/>
                <w:tab w:val="left" w:leader="dot" w:pos="8222"/>
              </w:tabs>
              <w:rPr>
                <w:szCs w:val="24"/>
              </w:rPr>
            </w:pPr>
          </w:p>
          <w:p w14:paraId="4CB86997" w14:textId="77777777" w:rsidR="0016219C" w:rsidRPr="000F41B0" w:rsidRDefault="0016219C" w:rsidP="00CA79C3">
            <w:pPr>
              <w:tabs>
                <w:tab w:val="left" w:pos="4253"/>
                <w:tab w:val="left" w:leader="dot" w:pos="8222"/>
              </w:tabs>
              <w:rPr>
                <w:szCs w:val="24"/>
              </w:rPr>
            </w:pPr>
            <w:r>
              <w:rPr>
                <w:szCs w:val="24"/>
              </w:rPr>
              <w:t>Mr Dale Boucher PSM</w:t>
            </w:r>
            <w:r w:rsidRPr="000F41B0">
              <w:rPr>
                <w:szCs w:val="24"/>
              </w:rPr>
              <w:tab/>
            </w:r>
          </w:p>
          <w:p w14:paraId="59B7AD8E" w14:textId="77777777" w:rsidR="0016219C" w:rsidRPr="000F41B0" w:rsidRDefault="0016219C" w:rsidP="00CA79C3">
            <w:pPr>
              <w:tabs>
                <w:tab w:val="left" w:pos="4253"/>
                <w:tab w:val="left" w:leader="dot" w:pos="8222"/>
              </w:tabs>
              <w:rPr>
                <w:szCs w:val="24"/>
              </w:rPr>
            </w:pPr>
            <w:r w:rsidRPr="000F41B0">
              <w:rPr>
                <w:szCs w:val="24"/>
              </w:rPr>
              <w:t xml:space="preserve">Member </w:t>
            </w:r>
          </w:p>
        </w:tc>
        <w:tc>
          <w:tcPr>
            <w:tcW w:w="4488" w:type="dxa"/>
          </w:tcPr>
          <w:p w14:paraId="768A0968" w14:textId="77777777" w:rsidR="0016219C" w:rsidRDefault="0016219C" w:rsidP="00CA79C3">
            <w:pPr>
              <w:tabs>
                <w:tab w:val="left" w:pos="4026"/>
                <w:tab w:val="left" w:pos="7230"/>
              </w:tabs>
            </w:pPr>
          </w:p>
          <w:p w14:paraId="2897DF68" w14:textId="77777777" w:rsidR="0016219C" w:rsidRDefault="0016219C" w:rsidP="00CA79C3">
            <w:pPr>
              <w:tabs>
                <w:tab w:val="left" w:pos="4026"/>
                <w:tab w:val="left" w:pos="7230"/>
              </w:tabs>
            </w:pPr>
          </w:p>
          <w:p w14:paraId="65625FBD" w14:textId="77777777" w:rsidR="0016219C" w:rsidRDefault="0016219C" w:rsidP="00CA79C3">
            <w:pPr>
              <w:tabs>
                <w:tab w:val="left" w:pos="4026"/>
                <w:tab w:val="left" w:pos="7230"/>
              </w:tabs>
            </w:pPr>
          </w:p>
          <w:p w14:paraId="09FFB007" w14:textId="77777777" w:rsidR="0016219C" w:rsidRDefault="0016219C" w:rsidP="00CA79C3">
            <w:pPr>
              <w:tabs>
                <w:tab w:val="left" w:pos="3059"/>
                <w:tab w:val="left" w:pos="7230"/>
              </w:tabs>
            </w:pPr>
            <w:r>
              <w:t xml:space="preserve">  </w:t>
            </w:r>
            <w:r w:rsidRPr="00A9481F">
              <w:t>...............................</w:t>
            </w:r>
            <w:r>
              <w:t>................</w:t>
            </w:r>
          </w:p>
          <w:p w14:paraId="3110B245" w14:textId="77777777" w:rsidR="0016219C" w:rsidRPr="006A51E8" w:rsidRDefault="0016219C" w:rsidP="00CA79C3">
            <w:pPr>
              <w:tabs>
                <w:tab w:val="left" w:pos="3059"/>
                <w:tab w:val="left" w:pos="7230"/>
              </w:tabs>
            </w:pPr>
          </w:p>
        </w:tc>
      </w:tr>
    </w:tbl>
    <w:p w14:paraId="06DDDA86" w14:textId="77777777" w:rsidR="0016219C" w:rsidRDefault="0016219C" w:rsidP="0016219C">
      <w:pPr>
        <w:tabs>
          <w:tab w:val="left" w:pos="4320"/>
        </w:tabs>
        <w:jc w:val="right"/>
      </w:pPr>
      <w:r>
        <w:t>December 2021</w:t>
      </w:r>
    </w:p>
    <w:bookmarkEnd w:id="4"/>
    <w:p w14:paraId="4377BBA4" w14:textId="77777777" w:rsidR="0016219C" w:rsidRDefault="0016219C" w:rsidP="001F0EA2">
      <w:pPr>
        <w:tabs>
          <w:tab w:val="left" w:pos="4253"/>
          <w:tab w:val="left" w:leader="dot" w:pos="8222"/>
        </w:tabs>
        <w:rPr>
          <w:szCs w:val="24"/>
        </w:rPr>
      </w:pPr>
    </w:p>
    <w:sectPr w:rsidR="0016219C" w:rsidSect="00702D2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2D84" w14:textId="77777777" w:rsidR="00976127" w:rsidRDefault="00976127" w:rsidP="00DE7D35">
      <w:r>
        <w:separator/>
      </w:r>
    </w:p>
  </w:endnote>
  <w:endnote w:type="continuationSeparator" w:id="0">
    <w:p w14:paraId="62F49412" w14:textId="77777777" w:rsidR="00976127" w:rsidRDefault="00976127" w:rsidP="00DE7D35">
      <w:r>
        <w:continuationSeparator/>
      </w:r>
    </w:p>
  </w:endnote>
  <w:endnote w:type="continuationNotice" w:id="1">
    <w:p w14:paraId="72C07243" w14:textId="77777777" w:rsidR="00976127" w:rsidRDefault="0097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976127" w:rsidRDefault="00976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976127" w:rsidRDefault="00976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E4" w14:textId="658C5FE6" w:rsidR="00976127" w:rsidRPr="00702D2D" w:rsidRDefault="00976127"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73495">
      <w:rPr>
        <w:rFonts w:ascii="Calibri" w:hAnsi="Calibri"/>
        <w:noProof/>
      </w:rPr>
      <w:t>15</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CE22" w14:textId="77777777" w:rsidR="00976127" w:rsidRDefault="0097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673" w14:textId="77777777" w:rsidR="00976127" w:rsidRDefault="00976127" w:rsidP="00DE7D35">
      <w:r>
        <w:separator/>
      </w:r>
    </w:p>
  </w:footnote>
  <w:footnote w:type="continuationSeparator" w:id="0">
    <w:p w14:paraId="02759958" w14:textId="77777777" w:rsidR="00976127" w:rsidRDefault="00976127" w:rsidP="00DE7D35">
      <w:r>
        <w:continuationSeparator/>
      </w:r>
    </w:p>
  </w:footnote>
  <w:footnote w:type="continuationNotice" w:id="1">
    <w:p w14:paraId="3278DF7A" w14:textId="77777777" w:rsidR="00976127" w:rsidRDefault="00976127"/>
  </w:footnote>
  <w:footnote w:id="2">
    <w:p w14:paraId="6A1591F8" w14:textId="77777777" w:rsidR="00E212EC" w:rsidRPr="00412E65" w:rsidRDefault="00E212EC" w:rsidP="00E212EC">
      <w:pPr>
        <w:pStyle w:val="FootnoteText"/>
        <w:spacing w:after="80" w:line="200" w:lineRule="atLeast"/>
        <w:rPr>
          <w:rFonts w:asciiTheme="minorHAnsi" w:hAnsiTheme="minorHAnsi" w:cstheme="minorHAnsi"/>
          <w:sz w:val="18"/>
          <w:szCs w:val="18"/>
        </w:rPr>
      </w:pPr>
      <w:r w:rsidRPr="00412E65">
        <w:rPr>
          <w:rStyle w:val="FootnoteReference"/>
          <w:rFonts w:asciiTheme="minorHAnsi" w:hAnsiTheme="minorHAnsi" w:cstheme="minorHAnsi"/>
          <w:sz w:val="18"/>
          <w:szCs w:val="18"/>
        </w:rPr>
        <w:footnoteRef/>
      </w:r>
      <w:r w:rsidRPr="00412E65">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588DD26D" w14:textId="055CFF76" w:rsidR="00E212EC" w:rsidRPr="00412E65" w:rsidRDefault="00E212EC" w:rsidP="00E212EC">
      <w:pPr>
        <w:pStyle w:val="FootnoteText"/>
        <w:spacing w:after="80" w:line="200" w:lineRule="atLeast"/>
        <w:rPr>
          <w:rFonts w:asciiTheme="minorHAnsi" w:hAnsiTheme="minorHAnsi" w:cstheme="minorHAnsi"/>
          <w:sz w:val="18"/>
          <w:szCs w:val="18"/>
        </w:rPr>
      </w:pPr>
      <w:r w:rsidRPr="00412E65">
        <w:rPr>
          <w:rStyle w:val="FootnoteReference"/>
          <w:rFonts w:asciiTheme="minorHAnsi" w:hAnsiTheme="minorHAnsi" w:cstheme="minorHAnsi"/>
          <w:sz w:val="18"/>
          <w:szCs w:val="18"/>
        </w:rPr>
        <w:footnoteRef/>
      </w:r>
      <w:r w:rsidRPr="00412E65">
        <w:rPr>
          <w:rFonts w:asciiTheme="minorHAnsi" w:hAnsiTheme="minorHAnsi" w:cstheme="minorHAnsi"/>
          <w:sz w:val="18"/>
          <w:szCs w:val="18"/>
        </w:rPr>
        <w:t xml:space="preserve"> Australian Bureau of Statistics, Consumer Price Index (October 2021), </w:t>
      </w:r>
      <w:hyperlink r:id="rId1" w:history="1">
        <w:r w:rsidRPr="00412E65">
          <w:rPr>
            <w:rStyle w:val="Hyperlink"/>
            <w:rFonts w:asciiTheme="minorHAnsi" w:hAnsiTheme="minorHAnsi" w:cstheme="minorHAnsi"/>
            <w:sz w:val="18"/>
            <w:szCs w:val="18"/>
          </w:rPr>
          <w:t>https://www.abs.gov.au/statistics/economy/price-indexes-and-inflation/consumer-price-index-australia/latest-release</w:t>
        </w:r>
      </w:hyperlink>
      <w:r w:rsidRPr="00412E65">
        <w:rPr>
          <w:rFonts w:asciiTheme="minorHAnsi" w:hAnsiTheme="minorHAnsi" w:cstheme="minorHAnsi"/>
          <w:sz w:val="18"/>
          <w:szCs w:val="18"/>
        </w:rPr>
        <w:t xml:space="preserve"> </w:t>
      </w:r>
    </w:p>
  </w:footnote>
  <w:footnote w:id="4">
    <w:p w14:paraId="53CE78B0" w14:textId="75706E9E" w:rsidR="00E212EC" w:rsidRDefault="00E212EC" w:rsidP="00E212EC">
      <w:pPr>
        <w:pStyle w:val="FootnoteText"/>
        <w:spacing w:after="80" w:line="200" w:lineRule="atLeast"/>
      </w:pPr>
      <w:r w:rsidRPr="00412E65">
        <w:rPr>
          <w:rStyle w:val="FootnoteReference"/>
          <w:rFonts w:asciiTheme="minorHAnsi" w:hAnsiTheme="minorHAnsi" w:cstheme="minorHAnsi"/>
          <w:sz w:val="18"/>
          <w:szCs w:val="18"/>
        </w:rPr>
        <w:footnoteRef/>
      </w:r>
      <w:r w:rsidRPr="00412E65">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412E65">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32F8D0A7" w14:textId="77777777" w:rsidR="00E212EC" w:rsidRPr="00412E65" w:rsidRDefault="00E212EC" w:rsidP="00E212EC">
      <w:pPr>
        <w:pStyle w:val="FootnoteText"/>
        <w:spacing w:after="80" w:line="200" w:lineRule="atLeast"/>
        <w:jc w:val="left"/>
        <w:rPr>
          <w:rFonts w:asciiTheme="minorHAnsi" w:hAnsiTheme="minorHAnsi" w:cstheme="minorHAnsi"/>
        </w:rPr>
      </w:pPr>
      <w:r w:rsidRPr="00412E65">
        <w:rPr>
          <w:rStyle w:val="FootnoteReference"/>
          <w:rFonts w:asciiTheme="minorHAnsi" w:hAnsiTheme="minorHAnsi" w:cstheme="minorHAnsi"/>
          <w:sz w:val="18"/>
          <w:szCs w:val="18"/>
        </w:rPr>
        <w:footnoteRef/>
      </w:r>
      <w:r w:rsidRPr="00412E65">
        <w:rPr>
          <w:rFonts w:asciiTheme="minorHAnsi" w:hAnsiTheme="minorHAnsi" w:cstheme="minorHAnsi"/>
          <w:sz w:val="18"/>
          <w:szCs w:val="18"/>
        </w:rPr>
        <w:t xml:space="preserve"> Australian Bureau of Statistics, Wage Price Index (November 2021), </w:t>
      </w:r>
      <w:hyperlink r:id="rId3" w:history="1">
        <w:r w:rsidRPr="00412E65">
          <w:rPr>
            <w:rStyle w:val="Hyperlink"/>
            <w:rFonts w:asciiTheme="minorHAnsi" w:hAnsiTheme="minorHAnsi" w:cstheme="minorHAnsi"/>
            <w:sz w:val="18"/>
            <w:szCs w:val="18"/>
          </w:rPr>
          <w:t>https://www.abs.gov.au/statistics/economy/price-indexes-and-inflation/wage-price-index-australia/latest-release</w:t>
        </w:r>
      </w:hyperlink>
      <w:r w:rsidRPr="00412E65">
        <w:rPr>
          <w:rFonts w:asciiTheme="minorHAnsi" w:hAnsiTheme="minorHAnsi" w:cstheme="minorHAnsi"/>
          <w:sz w:val="18"/>
          <w:szCs w:val="18"/>
        </w:rPr>
        <w:t xml:space="preserve">; </w:t>
      </w:r>
      <w:hyperlink r:id="rId4" w:history="1">
        <w:r w:rsidRPr="00412E65">
          <w:rPr>
            <w:rStyle w:val="Hyperlink"/>
            <w:rFonts w:asciiTheme="minorHAnsi" w:hAnsiTheme="minorHAnsi" w:cstheme="minorHAnsi"/>
            <w:sz w:val="18"/>
            <w:szCs w:val="18"/>
          </w:rPr>
          <w:t>https://www.abs.gov.au/media-centre/media-releases/wage-price-index-reverts-pre-pandemic-pattern</w:t>
        </w:r>
      </w:hyperlink>
      <w:r w:rsidRPr="00412E65">
        <w:rPr>
          <w:rFonts w:asciiTheme="minorHAnsi" w:hAnsiTheme="minorHAnsi" w:cstheme="minorHAnsi"/>
          <w:sz w:val="18"/>
          <w:szCs w:val="18"/>
        </w:rPr>
        <w:t xml:space="preserve"> and </w:t>
      </w:r>
      <w:hyperlink r:id="rId5" w:history="1">
        <w:r w:rsidRPr="00412E65">
          <w:rPr>
            <w:rStyle w:val="Hyperlink"/>
            <w:rFonts w:asciiTheme="minorHAnsi" w:hAnsiTheme="minorHAnsi" w:cstheme="minorHAnsi"/>
            <w:sz w:val="18"/>
            <w:szCs w:val="18"/>
          </w:rPr>
          <w:t>https://www.treasury.act.gov.au/__data/assets/pdf_file/0006/399993/WPI.pdf/_recache</w:t>
        </w:r>
      </w:hyperlink>
      <w:r w:rsidRPr="00412E65">
        <w:rPr>
          <w:rFonts w:asciiTheme="minorHAnsi" w:hAnsiTheme="minorHAnsi" w:cstheme="minorHAnsi"/>
          <w:sz w:val="18"/>
          <w:szCs w:val="18"/>
        </w:rPr>
        <w:t xml:space="preserve"> </w:t>
      </w:r>
    </w:p>
  </w:footnote>
  <w:footnote w:id="6">
    <w:p w14:paraId="26BE4C8C" w14:textId="7F12786F" w:rsidR="00976127" w:rsidRPr="00412E65" w:rsidRDefault="00976127" w:rsidP="000772F7">
      <w:pPr>
        <w:rPr>
          <w:rFonts w:asciiTheme="minorHAnsi" w:hAnsiTheme="minorHAnsi" w:cstheme="minorHAnsi"/>
        </w:rPr>
      </w:pPr>
      <w:r w:rsidRPr="00412E65">
        <w:rPr>
          <w:rStyle w:val="FootnoteReference"/>
          <w:rFonts w:asciiTheme="minorHAnsi" w:hAnsiTheme="minorHAnsi" w:cstheme="minorHAnsi"/>
          <w:color w:val="000000" w:themeColor="text1"/>
          <w:sz w:val="16"/>
          <w:szCs w:val="16"/>
        </w:rPr>
        <w:footnoteRef/>
      </w:r>
      <w:r w:rsidRPr="00412E65">
        <w:rPr>
          <w:rFonts w:asciiTheme="minorHAnsi" w:hAnsiTheme="minorHAnsi" w:cstheme="minorHAnsi"/>
          <w:color w:val="000000" w:themeColor="text1"/>
          <w:sz w:val="16"/>
          <w:szCs w:val="16"/>
        </w:rPr>
        <w:t xml:space="preserve"> </w:t>
      </w:r>
      <w:hyperlink r:id="rId6" w:history="1">
        <w:r w:rsidRPr="00412E65">
          <w:rPr>
            <w:rStyle w:val="Hyperlink"/>
            <w:rFonts w:asciiTheme="minorHAnsi" w:hAnsiTheme="minorHAnsi" w:cstheme="min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8ADD" w14:textId="77777777" w:rsidR="00976127" w:rsidRDefault="0097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F551" w14:textId="6FB98A4E" w:rsidR="00976127" w:rsidRDefault="0097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A29D" w14:textId="77777777" w:rsidR="00976127" w:rsidRDefault="0097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75DA5"/>
    <w:multiLevelType w:val="hybridMultilevel"/>
    <w:tmpl w:val="8E0E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96AC9"/>
    <w:multiLevelType w:val="hybridMultilevel"/>
    <w:tmpl w:val="D1D4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0"/>
  </w:num>
  <w:num w:numId="3">
    <w:abstractNumId w:val="0"/>
  </w:num>
  <w:num w:numId="4">
    <w:abstractNumId w:val="17"/>
  </w:num>
  <w:num w:numId="5">
    <w:abstractNumId w:val="5"/>
  </w:num>
  <w:num w:numId="6">
    <w:abstractNumId w:val="14"/>
  </w:num>
  <w:num w:numId="7">
    <w:abstractNumId w:val="16"/>
  </w:num>
  <w:num w:numId="8">
    <w:abstractNumId w:val="20"/>
  </w:num>
  <w:num w:numId="9">
    <w:abstractNumId w:val="6"/>
  </w:num>
  <w:num w:numId="10">
    <w:abstractNumId w:val="12"/>
  </w:num>
  <w:num w:numId="11">
    <w:abstractNumId w:val="2"/>
  </w:num>
  <w:num w:numId="12">
    <w:abstractNumId w:val="3"/>
  </w:num>
  <w:num w:numId="13">
    <w:abstractNumId w:val="11"/>
  </w:num>
  <w:num w:numId="14">
    <w:abstractNumId w:val="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7"/>
  </w:num>
  <w:num w:numId="19">
    <w:abstractNumId w:val="1"/>
  </w:num>
  <w:num w:numId="20">
    <w:abstractNumId w:val="8"/>
  </w:num>
  <w:num w:numId="21">
    <w:abstractNumId w:val="21"/>
  </w:num>
  <w:num w:numId="22">
    <w:abstractNumId w:val="18"/>
  </w:num>
  <w:num w:numId="23">
    <w:abstractNumId w:val="19"/>
  </w:num>
  <w:num w:numId="24">
    <w:abstractNumId w:val="1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04120"/>
    <w:rsid w:val="00010EC3"/>
    <w:rsid w:val="000150BE"/>
    <w:rsid w:val="000164D9"/>
    <w:rsid w:val="000229D3"/>
    <w:rsid w:val="00023A61"/>
    <w:rsid w:val="00025A53"/>
    <w:rsid w:val="0003415E"/>
    <w:rsid w:val="00034932"/>
    <w:rsid w:val="00043657"/>
    <w:rsid w:val="000452AB"/>
    <w:rsid w:val="00046C9C"/>
    <w:rsid w:val="0005071C"/>
    <w:rsid w:val="00054C69"/>
    <w:rsid w:val="0006071F"/>
    <w:rsid w:val="000704BA"/>
    <w:rsid w:val="000718FC"/>
    <w:rsid w:val="0007202B"/>
    <w:rsid w:val="000772F7"/>
    <w:rsid w:val="00093BF4"/>
    <w:rsid w:val="00096697"/>
    <w:rsid w:val="000A2860"/>
    <w:rsid w:val="000A55D7"/>
    <w:rsid w:val="000B2C06"/>
    <w:rsid w:val="000B4828"/>
    <w:rsid w:val="000B5DF2"/>
    <w:rsid w:val="000C1091"/>
    <w:rsid w:val="000C235A"/>
    <w:rsid w:val="000C53D9"/>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409BE"/>
    <w:rsid w:val="001417D8"/>
    <w:rsid w:val="001526C0"/>
    <w:rsid w:val="00156FFC"/>
    <w:rsid w:val="0016219C"/>
    <w:rsid w:val="00165F53"/>
    <w:rsid w:val="001672DB"/>
    <w:rsid w:val="0017001A"/>
    <w:rsid w:val="00172F92"/>
    <w:rsid w:val="0017568D"/>
    <w:rsid w:val="0017754A"/>
    <w:rsid w:val="00182AA3"/>
    <w:rsid w:val="00184CF6"/>
    <w:rsid w:val="00187029"/>
    <w:rsid w:val="00191808"/>
    <w:rsid w:val="001A119E"/>
    <w:rsid w:val="001A2790"/>
    <w:rsid w:val="001A41D1"/>
    <w:rsid w:val="001B0784"/>
    <w:rsid w:val="001B3FAC"/>
    <w:rsid w:val="001B5D52"/>
    <w:rsid w:val="001B7670"/>
    <w:rsid w:val="001C6DCE"/>
    <w:rsid w:val="001D466F"/>
    <w:rsid w:val="001D6B2D"/>
    <w:rsid w:val="001F0EA2"/>
    <w:rsid w:val="001F610C"/>
    <w:rsid w:val="001F733D"/>
    <w:rsid w:val="001F7515"/>
    <w:rsid w:val="001F7516"/>
    <w:rsid w:val="0020397B"/>
    <w:rsid w:val="00204FD9"/>
    <w:rsid w:val="002074A8"/>
    <w:rsid w:val="00211B7A"/>
    <w:rsid w:val="00212202"/>
    <w:rsid w:val="00215327"/>
    <w:rsid w:val="002173F8"/>
    <w:rsid w:val="00220E81"/>
    <w:rsid w:val="00220F3A"/>
    <w:rsid w:val="00222405"/>
    <w:rsid w:val="00224428"/>
    <w:rsid w:val="00224E69"/>
    <w:rsid w:val="00226DD6"/>
    <w:rsid w:val="00230441"/>
    <w:rsid w:val="0023156B"/>
    <w:rsid w:val="00236FE8"/>
    <w:rsid w:val="00241D99"/>
    <w:rsid w:val="00242DC0"/>
    <w:rsid w:val="00247031"/>
    <w:rsid w:val="00247F6E"/>
    <w:rsid w:val="00254641"/>
    <w:rsid w:val="0025648E"/>
    <w:rsid w:val="0025728A"/>
    <w:rsid w:val="002602A2"/>
    <w:rsid w:val="00260E45"/>
    <w:rsid w:val="00264E6D"/>
    <w:rsid w:val="00270893"/>
    <w:rsid w:val="00271336"/>
    <w:rsid w:val="002721E1"/>
    <w:rsid w:val="00273495"/>
    <w:rsid w:val="00275BA0"/>
    <w:rsid w:val="00276328"/>
    <w:rsid w:val="00276385"/>
    <w:rsid w:val="002829B2"/>
    <w:rsid w:val="0028512F"/>
    <w:rsid w:val="002932BB"/>
    <w:rsid w:val="00293A36"/>
    <w:rsid w:val="00293BE9"/>
    <w:rsid w:val="00293DF7"/>
    <w:rsid w:val="00294FE9"/>
    <w:rsid w:val="002A370C"/>
    <w:rsid w:val="002A4F58"/>
    <w:rsid w:val="002A7012"/>
    <w:rsid w:val="002B2EED"/>
    <w:rsid w:val="002B33A0"/>
    <w:rsid w:val="002B5966"/>
    <w:rsid w:val="002B6D40"/>
    <w:rsid w:val="002C0C98"/>
    <w:rsid w:val="002C419F"/>
    <w:rsid w:val="002C658A"/>
    <w:rsid w:val="002D1042"/>
    <w:rsid w:val="002D1CE7"/>
    <w:rsid w:val="002E31AC"/>
    <w:rsid w:val="002F0FAE"/>
    <w:rsid w:val="002F3C76"/>
    <w:rsid w:val="002F3CB8"/>
    <w:rsid w:val="002F6102"/>
    <w:rsid w:val="002F6ACB"/>
    <w:rsid w:val="002F752E"/>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DCF"/>
    <w:rsid w:val="00376D1F"/>
    <w:rsid w:val="00380585"/>
    <w:rsid w:val="003819D5"/>
    <w:rsid w:val="00381CD8"/>
    <w:rsid w:val="003834D6"/>
    <w:rsid w:val="0038578C"/>
    <w:rsid w:val="00386AE0"/>
    <w:rsid w:val="003906A5"/>
    <w:rsid w:val="0039283D"/>
    <w:rsid w:val="00393BDD"/>
    <w:rsid w:val="00394720"/>
    <w:rsid w:val="00394756"/>
    <w:rsid w:val="003A279C"/>
    <w:rsid w:val="003A356F"/>
    <w:rsid w:val="003A5A5C"/>
    <w:rsid w:val="003A653D"/>
    <w:rsid w:val="003C22BB"/>
    <w:rsid w:val="003C2AFA"/>
    <w:rsid w:val="003C3156"/>
    <w:rsid w:val="003C5292"/>
    <w:rsid w:val="003C5C6B"/>
    <w:rsid w:val="003D1545"/>
    <w:rsid w:val="003D206C"/>
    <w:rsid w:val="003D595F"/>
    <w:rsid w:val="003E16A3"/>
    <w:rsid w:val="003E593C"/>
    <w:rsid w:val="003E61EE"/>
    <w:rsid w:val="003E64A8"/>
    <w:rsid w:val="003E6E58"/>
    <w:rsid w:val="004000DB"/>
    <w:rsid w:val="004079D4"/>
    <w:rsid w:val="00412E65"/>
    <w:rsid w:val="00420A17"/>
    <w:rsid w:val="004255ED"/>
    <w:rsid w:val="0043677A"/>
    <w:rsid w:val="004417CA"/>
    <w:rsid w:val="00444EEB"/>
    <w:rsid w:val="004538A5"/>
    <w:rsid w:val="00453A44"/>
    <w:rsid w:val="004545CA"/>
    <w:rsid w:val="00456A3B"/>
    <w:rsid w:val="004641DC"/>
    <w:rsid w:val="00471065"/>
    <w:rsid w:val="0048374B"/>
    <w:rsid w:val="00483FB9"/>
    <w:rsid w:val="00490F77"/>
    <w:rsid w:val="004A5512"/>
    <w:rsid w:val="004A79EE"/>
    <w:rsid w:val="004B6566"/>
    <w:rsid w:val="004C3EAE"/>
    <w:rsid w:val="004C3F50"/>
    <w:rsid w:val="004C65FD"/>
    <w:rsid w:val="004C66BC"/>
    <w:rsid w:val="004D1D65"/>
    <w:rsid w:val="004D1E14"/>
    <w:rsid w:val="004E0627"/>
    <w:rsid w:val="004E1D5B"/>
    <w:rsid w:val="004E3C0A"/>
    <w:rsid w:val="004F3E40"/>
    <w:rsid w:val="004F72EE"/>
    <w:rsid w:val="004F74D5"/>
    <w:rsid w:val="004F75FD"/>
    <w:rsid w:val="00501164"/>
    <w:rsid w:val="005124B6"/>
    <w:rsid w:val="00514E7E"/>
    <w:rsid w:val="0052222A"/>
    <w:rsid w:val="00525D6A"/>
    <w:rsid w:val="00536C9C"/>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845A9"/>
    <w:rsid w:val="005917CE"/>
    <w:rsid w:val="00595E95"/>
    <w:rsid w:val="00597D49"/>
    <w:rsid w:val="005A192F"/>
    <w:rsid w:val="005A43CE"/>
    <w:rsid w:val="005B6ADD"/>
    <w:rsid w:val="005C15D6"/>
    <w:rsid w:val="005C3146"/>
    <w:rsid w:val="005C628D"/>
    <w:rsid w:val="005D12E8"/>
    <w:rsid w:val="005D693C"/>
    <w:rsid w:val="005D6942"/>
    <w:rsid w:val="005E3C83"/>
    <w:rsid w:val="005E4C73"/>
    <w:rsid w:val="005E68DA"/>
    <w:rsid w:val="005F1678"/>
    <w:rsid w:val="005F219B"/>
    <w:rsid w:val="005F5A2B"/>
    <w:rsid w:val="005F65ED"/>
    <w:rsid w:val="00600B98"/>
    <w:rsid w:val="00603253"/>
    <w:rsid w:val="006043BA"/>
    <w:rsid w:val="006056D5"/>
    <w:rsid w:val="00605F3D"/>
    <w:rsid w:val="006128FA"/>
    <w:rsid w:val="0061586F"/>
    <w:rsid w:val="00622A9B"/>
    <w:rsid w:val="006257C0"/>
    <w:rsid w:val="00626F76"/>
    <w:rsid w:val="00626FCD"/>
    <w:rsid w:val="006273DD"/>
    <w:rsid w:val="006303F8"/>
    <w:rsid w:val="00630B0E"/>
    <w:rsid w:val="006347CE"/>
    <w:rsid w:val="00643D5E"/>
    <w:rsid w:val="006446AC"/>
    <w:rsid w:val="00646316"/>
    <w:rsid w:val="00646D56"/>
    <w:rsid w:val="00647565"/>
    <w:rsid w:val="00653DBE"/>
    <w:rsid w:val="00657AA3"/>
    <w:rsid w:val="00663B55"/>
    <w:rsid w:val="0066407C"/>
    <w:rsid w:val="006832C5"/>
    <w:rsid w:val="00685696"/>
    <w:rsid w:val="00690F74"/>
    <w:rsid w:val="00693B1E"/>
    <w:rsid w:val="006940C8"/>
    <w:rsid w:val="00694C2E"/>
    <w:rsid w:val="00695037"/>
    <w:rsid w:val="006952B7"/>
    <w:rsid w:val="006A4BE0"/>
    <w:rsid w:val="006A5444"/>
    <w:rsid w:val="006C32D4"/>
    <w:rsid w:val="006C3813"/>
    <w:rsid w:val="006C384A"/>
    <w:rsid w:val="006C7BE2"/>
    <w:rsid w:val="006D3724"/>
    <w:rsid w:val="006D37CB"/>
    <w:rsid w:val="006D3DF5"/>
    <w:rsid w:val="006D45E1"/>
    <w:rsid w:val="006E0AA7"/>
    <w:rsid w:val="006E1209"/>
    <w:rsid w:val="006F53F2"/>
    <w:rsid w:val="006F5963"/>
    <w:rsid w:val="006F631C"/>
    <w:rsid w:val="006F73C2"/>
    <w:rsid w:val="006F7634"/>
    <w:rsid w:val="00702660"/>
    <w:rsid w:val="00702D2D"/>
    <w:rsid w:val="007102A9"/>
    <w:rsid w:val="00710FFB"/>
    <w:rsid w:val="0071240E"/>
    <w:rsid w:val="00722C91"/>
    <w:rsid w:val="00724712"/>
    <w:rsid w:val="00724CAA"/>
    <w:rsid w:val="00725FF3"/>
    <w:rsid w:val="007377A6"/>
    <w:rsid w:val="007434AA"/>
    <w:rsid w:val="00743E35"/>
    <w:rsid w:val="00752E8A"/>
    <w:rsid w:val="00754756"/>
    <w:rsid w:val="00757ED0"/>
    <w:rsid w:val="00762CD9"/>
    <w:rsid w:val="00763CE2"/>
    <w:rsid w:val="00765FF6"/>
    <w:rsid w:val="0077128F"/>
    <w:rsid w:val="00774447"/>
    <w:rsid w:val="00775B4B"/>
    <w:rsid w:val="00776B32"/>
    <w:rsid w:val="007810FF"/>
    <w:rsid w:val="00783D25"/>
    <w:rsid w:val="0079194D"/>
    <w:rsid w:val="00793B65"/>
    <w:rsid w:val="0079572D"/>
    <w:rsid w:val="007C16C1"/>
    <w:rsid w:val="007E48DA"/>
    <w:rsid w:val="007E4C79"/>
    <w:rsid w:val="007E64D2"/>
    <w:rsid w:val="007E7C34"/>
    <w:rsid w:val="007F635D"/>
    <w:rsid w:val="007F7689"/>
    <w:rsid w:val="008039DD"/>
    <w:rsid w:val="00807670"/>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3A14"/>
    <w:rsid w:val="0087410E"/>
    <w:rsid w:val="00875B2F"/>
    <w:rsid w:val="00881DE3"/>
    <w:rsid w:val="00882B67"/>
    <w:rsid w:val="008848EF"/>
    <w:rsid w:val="008863DB"/>
    <w:rsid w:val="0088734C"/>
    <w:rsid w:val="008874D2"/>
    <w:rsid w:val="008879E2"/>
    <w:rsid w:val="00892421"/>
    <w:rsid w:val="008931E1"/>
    <w:rsid w:val="00895708"/>
    <w:rsid w:val="00897179"/>
    <w:rsid w:val="008A223F"/>
    <w:rsid w:val="008A3A7C"/>
    <w:rsid w:val="008A7264"/>
    <w:rsid w:val="008B2F59"/>
    <w:rsid w:val="008C14FF"/>
    <w:rsid w:val="008E0D37"/>
    <w:rsid w:val="008E3A25"/>
    <w:rsid w:val="008E5B43"/>
    <w:rsid w:val="008E6C0F"/>
    <w:rsid w:val="008F1208"/>
    <w:rsid w:val="008F33DD"/>
    <w:rsid w:val="008F404C"/>
    <w:rsid w:val="008F7566"/>
    <w:rsid w:val="008F77BD"/>
    <w:rsid w:val="00900822"/>
    <w:rsid w:val="00900C83"/>
    <w:rsid w:val="009022E2"/>
    <w:rsid w:val="009110F7"/>
    <w:rsid w:val="00912464"/>
    <w:rsid w:val="00914FD3"/>
    <w:rsid w:val="00933660"/>
    <w:rsid w:val="0094179B"/>
    <w:rsid w:val="0096027D"/>
    <w:rsid w:val="00961737"/>
    <w:rsid w:val="00962328"/>
    <w:rsid w:val="00964FCF"/>
    <w:rsid w:val="0096696F"/>
    <w:rsid w:val="009673CC"/>
    <w:rsid w:val="009703FD"/>
    <w:rsid w:val="00974E09"/>
    <w:rsid w:val="00975F2B"/>
    <w:rsid w:val="00976127"/>
    <w:rsid w:val="00981ECE"/>
    <w:rsid w:val="00984405"/>
    <w:rsid w:val="00991146"/>
    <w:rsid w:val="009956FB"/>
    <w:rsid w:val="00997958"/>
    <w:rsid w:val="00997BA5"/>
    <w:rsid w:val="009A2312"/>
    <w:rsid w:val="009A313C"/>
    <w:rsid w:val="009A3C46"/>
    <w:rsid w:val="009A43D9"/>
    <w:rsid w:val="009A445B"/>
    <w:rsid w:val="009A7D0F"/>
    <w:rsid w:val="009B10E0"/>
    <w:rsid w:val="009B1214"/>
    <w:rsid w:val="009B2361"/>
    <w:rsid w:val="009B5F0B"/>
    <w:rsid w:val="009B6858"/>
    <w:rsid w:val="009B77E5"/>
    <w:rsid w:val="009B7B7C"/>
    <w:rsid w:val="009C1E47"/>
    <w:rsid w:val="009C2F2E"/>
    <w:rsid w:val="009D5789"/>
    <w:rsid w:val="009D64D9"/>
    <w:rsid w:val="009D7737"/>
    <w:rsid w:val="009E484F"/>
    <w:rsid w:val="009E59F1"/>
    <w:rsid w:val="009E7630"/>
    <w:rsid w:val="009E7A0D"/>
    <w:rsid w:val="009E7E38"/>
    <w:rsid w:val="009F36AD"/>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6336"/>
    <w:rsid w:val="00A504A9"/>
    <w:rsid w:val="00A53528"/>
    <w:rsid w:val="00A605D5"/>
    <w:rsid w:val="00A634B0"/>
    <w:rsid w:val="00A63641"/>
    <w:rsid w:val="00A72BAE"/>
    <w:rsid w:val="00A7438D"/>
    <w:rsid w:val="00A76999"/>
    <w:rsid w:val="00A76E5C"/>
    <w:rsid w:val="00A80327"/>
    <w:rsid w:val="00A80A26"/>
    <w:rsid w:val="00A830FE"/>
    <w:rsid w:val="00A85A8C"/>
    <w:rsid w:val="00A872A8"/>
    <w:rsid w:val="00A90FBE"/>
    <w:rsid w:val="00A942CB"/>
    <w:rsid w:val="00A94328"/>
    <w:rsid w:val="00A95801"/>
    <w:rsid w:val="00AA0031"/>
    <w:rsid w:val="00AA02D4"/>
    <w:rsid w:val="00AA1466"/>
    <w:rsid w:val="00AA2886"/>
    <w:rsid w:val="00AA35D7"/>
    <w:rsid w:val="00AA3F5C"/>
    <w:rsid w:val="00AA64D6"/>
    <w:rsid w:val="00AA6D0E"/>
    <w:rsid w:val="00AB5FCD"/>
    <w:rsid w:val="00AC52CF"/>
    <w:rsid w:val="00AD0145"/>
    <w:rsid w:val="00AD274A"/>
    <w:rsid w:val="00AD44CA"/>
    <w:rsid w:val="00AD7E81"/>
    <w:rsid w:val="00AE0FFA"/>
    <w:rsid w:val="00AE3241"/>
    <w:rsid w:val="00AE5DD1"/>
    <w:rsid w:val="00AE696C"/>
    <w:rsid w:val="00AE7595"/>
    <w:rsid w:val="00AF19B9"/>
    <w:rsid w:val="00AF5B12"/>
    <w:rsid w:val="00AF7D38"/>
    <w:rsid w:val="00B00E48"/>
    <w:rsid w:val="00B03A31"/>
    <w:rsid w:val="00B04093"/>
    <w:rsid w:val="00B059F1"/>
    <w:rsid w:val="00B11D10"/>
    <w:rsid w:val="00B121E8"/>
    <w:rsid w:val="00B154A4"/>
    <w:rsid w:val="00B20C7C"/>
    <w:rsid w:val="00B242F4"/>
    <w:rsid w:val="00B25071"/>
    <w:rsid w:val="00B26252"/>
    <w:rsid w:val="00B331A6"/>
    <w:rsid w:val="00B351F2"/>
    <w:rsid w:val="00B353FA"/>
    <w:rsid w:val="00B439B2"/>
    <w:rsid w:val="00B44EA5"/>
    <w:rsid w:val="00B45C09"/>
    <w:rsid w:val="00B51348"/>
    <w:rsid w:val="00B515EA"/>
    <w:rsid w:val="00B5746C"/>
    <w:rsid w:val="00B60506"/>
    <w:rsid w:val="00B64415"/>
    <w:rsid w:val="00B67387"/>
    <w:rsid w:val="00B67391"/>
    <w:rsid w:val="00B77238"/>
    <w:rsid w:val="00B77CBA"/>
    <w:rsid w:val="00B80F13"/>
    <w:rsid w:val="00B830B0"/>
    <w:rsid w:val="00B87B1B"/>
    <w:rsid w:val="00B91E9A"/>
    <w:rsid w:val="00B91FD3"/>
    <w:rsid w:val="00B94655"/>
    <w:rsid w:val="00B97942"/>
    <w:rsid w:val="00BA75EE"/>
    <w:rsid w:val="00BB0383"/>
    <w:rsid w:val="00BB0E2D"/>
    <w:rsid w:val="00BC329A"/>
    <w:rsid w:val="00BC540D"/>
    <w:rsid w:val="00BC5B92"/>
    <w:rsid w:val="00BC60C7"/>
    <w:rsid w:val="00BD0A11"/>
    <w:rsid w:val="00BD0D13"/>
    <w:rsid w:val="00BD10EB"/>
    <w:rsid w:val="00BD4D21"/>
    <w:rsid w:val="00BD71C6"/>
    <w:rsid w:val="00BD739F"/>
    <w:rsid w:val="00BD7CC8"/>
    <w:rsid w:val="00BE04F1"/>
    <w:rsid w:val="00BE43F2"/>
    <w:rsid w:val="00BE5B36"/>
    <w:rsid w:val="00BE7B5C"/>
    <w:rsid w:val="00BF2D0A"/>
    <w:rsid w:val="00BF2F01"/>
    <w:rsid w:val="00BF3AD3"/>
    <w:rsid w:val="00BF690C"/>
    <w:rsid w:val="00C0173E"/>
    <w:rsid w:val="00C018B7"/>
    <w:rsid w:val="00C02F35"/>
    <w:rsid w:val="00C111F3"/>
    <w:rsid w:val="00C1238C"/>
    <w:rsid w:val="00C1418F"/>
    <w:rsid w:val="00C1433F"/>
    <w:rsid w:val="00C16FBA"/>
    <w:rsid w:val="00C20189"/>
    <w:rsid w:val="00C24102"/>
    <w:rsid w:val="00C27D7C"/>
    <w:rsid w:val="00C303F5"/>
    <w:rsid w:val="00C30A32"/>
    <w:rsid w:val="00C312EA"/>
    <w:rsid w:val="00C4163B"/>
    <w:rsid w:val="00C45DD2"/>
    <w:rsid w:val="00C50EE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A7C51"/>
    <w:rsid w:val="00CB04DF"/>
    <w:rsid w:val="00CC08A8"/>
    <w:rsid w:val="00CC6AC9"/>
    <w:rsid w:val="00CC6DDA"/>
    <w:rsid w:val="00CC72E9"/>
    <w:rsid w:val="00CD176E"/>
    <w:rsid w:val="00CD4CF7"/>
    <w:rsid w:val="00CD711A"/>
    <w:rsid w:val="00CE14AA"/>
    <w:rsid w:val="00CE1EFA"/>
    <w:rsid w:val="00CE3130"/>
    <w:rsid w:val="00CE3A03"/>
    <w:rsid w:val="00CE5479"/>
    <w:rsid w:val="00CF13DD"/>
    <w:rsid w:val="00CF4AB4"/>
    <w:rsid w:val="00D01FC9"/>
    <w:rsid w:val="00D06B77"/>
    <w:rsid w:val="00D12B22"/>
    <w:rsid w:val="00D13220"/>
    <w:rsid w:val="00D179B3"/>
    <w:rsid w:val="00D20A9E"/>
    <w:rsid w:val="00D21AF1"/>
    <w:rsid w:val="00D22079"/>
    <w:rsid w:val="00D275FF"/>
    <w:rsid w:val="00D321EC"/>
    <w:rsid w:val="00D32B1E"/>
    <w:rsid w:val="00D33B6F"/>
    <w:rsid w:val="00D347E1"/>
    <w:rsid w:val="00D35F5F"/>
    <w:rsid w:val="00D365DD"/>
    <w:rsid w:val="00D415B6"/>
    <w:rsid w:val="00D45ED3"/>
    <w:rsid w:val="00D51257"/>
    <w:rsid w:val="00D542CD"/>
    <w:rsid w:val="00D568D6"/>
    <w:rsid w:val="00D56C6F"/>
    <w:rsid w:val="00D62589"/>
    <w:rsid w:val="00D7174B"/>
    <w:rsid w:val="00D71B40"/>
    <w:rsid w:val="00D72E84"/>
    <w:rsid w:val="00D774E4"/>
    <w:rsid w:val="00D81DFD"/>
    <w:rsid w:val="00D83CE5"/>
    <w:rsid w:val="00D94277"/>
    <w:rsid w:val="00D947A9"/>
    <w:rsid w:val="00D964AD"/>
    <w:rsid w:val="00DA6CC9"/>
    <w:rsid w:val="00DB0AA7"/>
    <w:rsid w:val="00DB73C9"/>
    <w:rsid w:val="00DC4CE3"/>
    <w:rsid w:val="00DC5E9B"/>
    <w:rsid w:val="00DC6CE1"/>
    <w:rsid w:val="00DD14BF"/>
    <w:rsid w:val="00DD2019"/>
    <w:rsid w:val="00DD3C93"/>
    <w:rsid w:val="00DD3F90"/>
    <w:rsid w:val="00DD4E55"/>
    <w:rsid w:val="00DD6681"/>
    <w:rsid w:val="00DE36C6"/>
    <w:rsid w:val="00DE3900"/>
    <w:rsid w:val="00DE56DF"/>
    <w:rsid w:val="00DE7D35"/>
    <w:rsid w:val="00DF0EF7"/>
    <w:rsid w:val="00DF2FE4"/>
    <w:rsid w:val="00E0122C"/>
    <w:rsid w:val="00E049E6"/>
    <w:rsid w:val="00E05CC5"/>
    <w:rsid w:val="00E07013"/>
    <w:rsid w:val="00E074DF"/>
    <w:rsid w:val="00E11E6F"/>
    <w:rsid w:val="00E14938"/>
    <w:rsid w:val="00E157E2"/>
    <w:rsid w:val="00E212EC"/>
    <w:rsid w:val="00E23044"/>
    <w:rsid w:val="00E24AE5"/>
    <w:rsid w:val="00E2542D"/>
    <w:rsid w:val="00E25C21"/>
    <w:rsid w:val="00E30308"/>
    <w:rsid w:val="00E312BF"/>
    <w:rsid w:val="00E3265B"/>
    <w:rsid w:val="00E34E78"/>
    <w:rsid w:val="00E43E93"/>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23B9"/>
    <w:rsid w:val="00E91A88"/>
    <w:rsid w:val="00E94683"/>
    <w:rsid w:val="00EA2638"/>
    <w:rsid w:val="00EB2828"/>
    <w:rsid w:val="00EB4CCB"/>
    <w:rsid w:val="00EB4EE8"/>
    <w:rsid w:val="00EB6096"/>
    <w:rsid w:val="00ED3550"/>
    <w:rsid w:val="00ED405F"/>
    <w:rsid w:val="00ED6D5A"/>
    <w:rsid w:val="00ED73A5"/>
    <w:rsid w:val="00EE09D9"/>
    <w:rsid w:val="00EE3EF5"/>
    <w:rsid w:val="00EE66E8"/>
    <w:rsid w:val="00EF14E4"/>
    <w:rsid w:val="00EF4C85"/>
    <w:rsid w:val="00EF5E10"/>
    <w:rsid w:val="00F0168E"/>
    <w:rsid w:val="00F06231"/>
    <w:rsid w:val="00F12C8B"/>
    <w:rsid w:val="00F14E88"/>
    <w:rsid w:val="00F1557D"/>
    <w:rsid w:val="00F157C9"/>
    <w:rsid w:val="00F32EFD"/>
    <w:rsid w:val="00F335F8"/>
    <w:rsid w:val="00F35096"/>
    <w:rsid w:val="00F358CD"/>
    <w:rsid w:val="00F41F26"/>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A50"/>
    <w:rsid w:val="00F848A0"/>
    <w:rsid w:val="00F85353"/>
    <w:rsid w:val="00F85A73"/>
    <w:rsid w:val="00F85A82"/>
    <w:rsid w:val="00F85CA0"/>
    <w:rsid w:val="00F916DA"/>
    <w:rsid w:val="00F928B8"/>
    <w:rsid w:val="00F937B4"/>
    <w:rsid w:val="00F961FC"/>
    <w:rsid w:val="00FA063D"/>
    <w:rsid w:val="00FA0D00"/>
    <w:rsid w:val="00FA0EA0"/>
    <w:rsid w:val="00FA0FDD"/>
    <w:rsid w:val="00FA292A"/>
    <w:rsid w:val="00FA4E62"/>
    <w:rsid w:val="00FA6233"/>
    <w:rsid w:val="00FA70EC"/>
    <w:rsid w:val="00FB02A0"/>
    <w:rsid w:val="00FB0BCA"/>
    <w:rsid w:val="00FB53F6"/>
    <w:rsid w:val="00FC0C2E"/>
    <w:rsid w:val="00FC0D7C"/>
    <w:rsid w:val="00FC1F56"/>
    <w:rsid w:val="00FC5B01"/>
    <w:rsid w:val="00FD3471"/>
    <w:rsid w:val="00FD6F02"/>
    <w:rsid w:val="00FE7535"/>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nhideWhenUsed/>
    <w:rsid w:val="00352C36"/>
    <w:rPr>
      <w:sz w:val="16"/>
      <w:szCs w:val="16"/>
    </w:rPr>
  </w:style>
  <w:style w:type="paragraph" w:styleId="CommentText">
    <w:name w:val="annotation text"/>
    <w:basedOn w:val="Normal"/>
    <w:link w:val="CommentTextChar"/>
    <w:unhideWhenUsed/>
    <w:rsid w:val="00352C36"/>
    <w:rPr>
      <w:sz w:val="20"/>
    </w:rPr>
  </w:style>
  <w:style w:type="character" w:customStyle="1" w:styleId="CommentTextChar">
    <w:name w:val="Comment Text Char"/>
    <w:basedOn w:val="DefaultParagraphFont"/>
    <w:link w:val="CommentText"/>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772213571">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6A5-2978-4531-A802-376B4FA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37971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10</cp:revision>
  <cp:lastPrinted>2018-10-22T00:42:00Z</cp:lastPrinted>
  <dcterms:created xsi:type="dcterms:W3CDTF">2021-12-15T23:04:00Z</dcterms:created>
  <dcterms:modified xsi:type="dcterms:W3CDTF">2021-12-19T06:34:00Z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