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29590" w14:textId="77777777" w:rsidR="009E4C67" w:rsidRPr="003B1A08" w:rsidRDefault="00045FE9" w:rsidP="009E4C67">
      <w:pPr>
        <w:keepNext/>
        <w:keepLines/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 wp14:anchorId="3C337A63" wp14:editId="1DEB0D92">
            <wp:extent cx="1010285" cy="92519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 xml:space="preserve">      </w:t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14:paraId="6BB08C74" w14:textId="77777777" w:rsidR="00E35C4B" w:rsidRPr="003B1A08" w:rsidRDefault="00E35C4B" w:rsidP="00E35C4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 Judicial Positions</w:t>
      </w:r>
    </w:p>
    <w:p w14:paraId="6F09387F" w14:textId="51D360C0" w:rsidR="00D56A6B" w:rsidRPr="00F215BD" w:rsidRDefault="00D56A6B" w:rsidP="00D56A6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 xml:space="preserve">Determination </w:t>
      </w:r>
      <w:r w:rsidR="006E7EE7">
        <w:t>16</w:t>
      </w:r>
      <w:r w:rsidR="00CC036B">
        <w:t xml:space="preserve"> </w:t>
      </w:r>
      <w:r w:rsidRPr="00F215BD">
        <w:t xml:space="preserve">of </w:t>
      </w:r>
      <w:r w:rsidR="00D02D9B">
        <w:t>201</w:t>
      </w:r>
      <w:r w:rsidR="006A7E03">
        <w:t>7</w:t>
      </w:r>
      <w:r w:rsidR="009D34D7">
        <w:t xml:space="preserve"> </w:t>
      </w:r>
      <w:r w:rsidR="00C95B39">
        <w:t xml:space="preserve"> </w:t>
      </w:r>
      <w:bookmarkStart w:id="1" w:name="_GoBack"/>
      <w:bookmarkEnd w:id="1"/>
    </w:p>
    <w:p w14:paraId="4FC951CD" w14:textId="77777777" w:rsidR="009E4C67" w:rsidRPr="003B1A08" w:rsidRDefault="009E4C67" w:rsidP="008E31D4">
      <w:r w:rsidRPr="003B1A08">
        <w:t xml:space="preserve">made under the </w:t>
      </w:r>
    </w:p>
    <w:p w14:paraId="79541470" w14:textId="77777777" w:rsidR="009E4C67" w:rsidRPr="000D1005" w:rsidRDefault="007F3DA2" w:rsidP="008E31D4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 w:rsidR="000D1005">
        <w:rPr>
          <w:rFonts w:cs="Arial"/>
          <w:b/>
        </w:rPr>
        <w:t>, section 10 (Inquiries about holders of certain positions)</w:t>
      </w:r>
    </w:p>
    <w:p w14:paraId="29A10D44" w14:textId="77777777" w:rsidR="00C11250" w:rsidRDefault="009E4C67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>AC</w:t>
      </w:r>
      <w:r w:rsidR="00FB3B06">
        <w:t>C</w:t>
      </w:r>
      <w:r w:rsidRPr="00F215BD">
        <w:t>OMPANYING STATEMENT</w:t>
      </w:r>
    </w:p>
    <w:p w14:paraId="2286B7DB" w14:textId="77777777" w:rsidR="009E4C67" w:rsidRPr="00F778DA" w:rsidRDefault="009E4C67" w:rsidP="009E4C67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25481158" w14:textId="77777777" w:rsidR="00C11250" w:rsidRDefault="009E4C67" w:rsidP="00625249">
      <w:pPr>
        <w:pStyle w:val="Heading2"/>
        <w:spacing w:after="0"/>
      </w:pPr>
      <w:r>
        <w:t>Background</w:t>
      </w:r>
    </w:p>
    <w:p w14:paraId="58CE2D11" w14:textId="76F00361" w:rsidR="00C11250" w:rsidRDefault="006A5F59" w:rsidP="00F4595C">
      <w:pPr>
        <w:spacing w:before="120" w:after="60"/>
      </w:pPr>
      <w:r>
        <w:t xml:space="preserve">Under section 10 of the </w:t>
      </w:r>
      <w:r w:rsidRPr="006A5F59">
        <w:rPr>
          <w:i/>
        </w:rPr>
        <w:t>Remuneration Tribunal Act 1995</w:t>
      </w:r>
      <w:r w:rsidR="00464859">
        <w:t xml:space="preserve"> (the Act)</w:t>
      </w:r>
      <w:r>
        <w:t xml:space="preserve">, the </w:t>
      </w:r>
      <w:r w:rsidR="00464859">
        <w:t xml:space="preserve">Remuneration </w:t>
      </w:r>
      <w:r>
        <w:t xml:space="preserve">Tribunal </w:t>
      </w:r>
      <w:r w:rsidR="00464859">
        <w:t xml:space="preserve">(the Tribunal) </w:t>
      </w:r>
      <w:r>
        <w:t>must inquire into and determine the remuneration, allowances and other entitlements to be paid to the holders of Judicial positions mentioned in Schedule 1</w:t>
      </w:r>
      <w:r w:rsidR="00287A77">
        <w:t xml:space="preserve"> of the Act</w:t>
      </w:r>
      <w:r>
        <w:t xml:space="preserve">, </w:t>
      </w:r>
      <w:r w:rsidR="005A139C">
        <w:t>including</w:t>
      </w:r>
      <w:r>
        <w:t xml:space="preserve"> the Chief</w:t>
      </w:r>
      <w:r w:rsidR="00F532B1">
        <w:t> </w:t>
      </w:r>
      <w:r>
        <w:t>Justice</w:t>
      </w:r>
      <w:r w:rsidR="005A6144">
        <w:t xml:space="preserve"> of the ACT Supreme Court</w:t>
      </w:r>
      <w:r>
        <w:t xml:space="preserve">, the </w:t>
      </w:r>
      <w:r w:rsidR="00125E3B">
        <w:t xml:space="preserve">Associate Judge </w:t>
      </w:r>
      <w:r w:rsidR="009766A1">
        <w:t>and Acting J</w:t>
      </w:r>
      <w:r>
        <w:t>udges.</w:t>
      </w:r>
      <w:r w:rsidR="00F6462E">
        <w:t xml:space="preserve"> </w:t>
      </w:r>
      <w:r w:rsidR="00DF6B06">
        <w:t>For the Chief Justice, t</w:t>
      </w:r>
      <w:r w:rsidR="00293EEE">
        <w:t>h</w:t>
      </w:r>
      <w:r w:rsidR="00AC12D1">
        <w:t>is</w:t>
      </w:r>
      <w:r w:rsidR="00293EEE">
        <w:t xml:space="preserve"> entitlement </w:t>
      </w:r>
      <w:r w:rsidR="00AC12D1">
        <w:t xml:space="preserve">is </w:t>
      </w:r>
      <w:r w:rsidR="00293EEE">
        <w:t xml:space="preserve">in addition to </w:t>
      </w:r>
      <w:r w:rsidR="00DF6B06">
        <w:t xml:space="preserve">their </w:t>
      </w:r>
      <w:r w:rsidR="00293EEE">
        <w:t>entitlements</w:t>
      </w:r>
      <w:r w:rsidR="00DF6B06" w:rsidRPr="00DF6B06">
        <w:t xml:space="preserve"> </w:t>
      </w:r>
      <w:r w:rsidR="00DF6B06">
        <w:t xml:space="preserve">as a resident judge </w:t>
      </w:r>
      <w:r w:rsidR="006537A6">
        <w:t xml:space="preserve">under the </w:t>
      </w:r>
      <w:r w:rsidR="006537A6" w:rsidRPr="006537A6">
        <w:rPr>
          <w:i/>
        </w:rPr>
        <w:t>Supreme Court Act 1933</w:t>
      </w:r>
      <w:r w:rsidR="00293EEE">
        <w:t xml:space="preserve">. </w:t>
      </w:r>
    </w:p>
    <w:p w14:paraId="78A3C5AE" w14:textId="77777777" w:rsidR="00F4595C" w:rsidRPr="00F4595C" w:rsidRDefault="00076CA5" w:rsidP="00625249">
      <w:r>
        <w:rPr>
          <w:b/>
        </w:rPr>
        <w:t>Consideration</w:t>
      </w:r>
      <w:r w:rsidR="00F610F8">
        <w:rPr>
          <w:b/>
        </w:rPr>
        <w:t>s</w:t>
      </w:r>
    </w:p>
    <w:p w14:paraId="3F01C487" w14:textId="46D02363" w:rsidR="00BF1833" w:rsidRPr="00C87080" w:rsidRDefault="00BF1833" w:rsidP="00BF1833">
      <w:pPr>
        <w:spacing w:before="120" w:after="60"/>
      </w:pPr>
      <w:r w:rsidRPr="00C87080">
        <w:t xml:space="preserve">The Tribunal’s 2017 review of </w:t>
      </w:r>
      <w:r w:rsidR="00935CB9">
        <w:t xml:space="preserve">remuneration and </w:t>
      </w:r>
      <w:r w:rsidRPr="00C87080">
        <w:t xml:space="preserve">entitlements for the </w:t>
      </w:r>
      <w:r>
        <w:t>ACT Supreme Court</w:t>
      </w:r>
      <w:r w:rsidRPr="00C87080">
        <w:t xml:space="preserve"> was advertised in September 2017. The </w:t>
      </w:r>
      <w:r>
        <w:t>Chief Justice</w:t>
      </w:r>
      <w:r w:rsidRPr="00C87080">
        <w:t xml:space="preserve"> provide</w:t>
      </w:r>
      <w:r w:rsidR="00BD6EDE">
        <w:t>d</w:t>
      </w:r>
      <w:r w:rsidRPr="00C87080">
        <w:t xml:space="preserve"> a submission </w:t>
      </w:r>
      <w:r w:rsidR="00BD6EDE">
        <w:t xml:space="preserve">as did the </w:t>
      </w:r>
      <w:r w:rsidR="00BD6EDE">
        <w:br/>
        <w:t>Chief Minister on behalf of the ACT Government</w:t>
      </w:r>
      <w:r w:rsidRPr="00C87080">
        <w:t xml:space="preserve">. </w:t>
      </w:r>
    </w:p>
    <w:p w14:paraId="41DD3B18" w14:textId="7FDA36D4" w:rsidR="00BF1833" w:rsidRPr="00C87080" w:rsidRDefault="00BF1833" w:rsidP="00BF1833">
      <w:pPr>
        <w:spacing w:before="120" w:after="60"/>
      </w:pPr>
      <w:r w:rsidRPr="00C87080">
        <w:t xml:space="preserve">The Tribunal met on 25-26 October 2017 and this determination sets out the Tribunal’s decision following the review. </w:t>
      </w:r>
    </w:p>
    <w:p w14:paraId="5D9FCA0B" w14:textId="0CC406CE" w:rsidR="00D12844" w:rsidRPr="00BF1833" w:rsidRDefault="00D12844" w:rsidP="002C1258">
      <w:pPr>
        <w:spacing w:before="120" w:after="60"/>
        <w:rPr>
          <w:szCs w:val="24"/>
        </w:rPr>
      </w:pPr>
      <w:r w:rsidRPr="00BF1833">
        <w:rPr>
          <w:szCs w:val="24"/>
        </w:rPr>
        <w:t>The Tribunal consider</w:t>
      </w:r>
      <w:r w:rsidR="00BF1833">
        <w:rPr>
          <w:szCs w:val="24"/>
        </w:rPr>
        <w:t>ed</w:t>
      </w:r>
      <w:r w:rsidRPr="00BF1833">
        <w:rPr>
          <w:szCs w:val="24"/>
        </w:rPr>
        <w:t xml:space="preserve"> the Australian Government Remuneration Tribunal Determination 2017/09: Judicial and Related Offices – Remuneration </w:t>
      </w:r>
      <w:r w:rsidR="00380FF3">
        <w:rPr>
          <w:szCs w:val="24"/>
        </w:rPr>
        <w:t>and Allowances</w:t>
      </w:r>
      <w:r w:rsidRPr="00BF1833">
        <w:rPr>
          <w:szCs w:val="24"/>
        </w:rPr>
        <w:t xml:space="preserve"> dated 1 July 2017.</w:t>
      </w:r>
    </w:p>
    <w:p w14:paraId="768C4BFC" w14:textId="649AF1D6" w:rsidR="002C1258" w:rsidRDefault="002C1258" w:rsidP="00FB05AF">
      <w:pPr>
        <w:spacing w:before="120" w:after="60"/>
      </w:pPr>
      <w:r>
        <w:t>In considering remuneration and entitlements for judicial positions in the ACT Supreme Court, the Tribunal noted</w:t>
      </w:r>
      <w:r w:rsidR="00BD6EDE">
        <w:t xml:space="preserve"> </w:t>
      </w:r>
      <w:r>
        <w:t xml:space="preserve">the </w:t>
      </w:r>
      <w:r w:rsidRPr="00B51DDB">
        <w:rPr>
          <w:i/>
        </w:rPr>
        <w:t>Australian Government Remuneration Tribunal Determination 201</w:t>
      </w:r>
      <w:r>
        <w:rPr>
          <w:i/>
        </w:rPr>
        <w:t>7</w:t>
      </w:r>
      <w:r w:rsidRPr="00B51DDB">
        <w:rPr>
          <w:i/>
        </w:rPr>
        <w:t>/</w:t>
      </w:r>
      <w:r>
        <w:rPr>
          <w:i/>
        </w:rPr>
        <w:t>09</w:t>
      </w:r>
      <w:r w:rsidRPr="00B51DDB">
        <w:rPr>
          <w:i/>
        </w:rPr>
        <w:t>: Judicial and Related Offices – Remuneration and Allowances</w:t>
      </w:r>
      <w:r w:rsidR="00BD6EDE">
        <w:t>.</w:t>
      </w:r>
    </w:p>
    <w:p w14:paraId="0DEFCDBB" w14:textId="6A457E57" w:rsidR="000C0126" w:rsidRPr="00C87080" w:rsidRDefault="000C0126" w:rsidP="000C0126">
      <w:pPr>
        <w:spacing w:before="120" w:after="60"/>
      </w:pPr>
      <w:r w:rsidRPr="00C87080">
        <w:t xml:space="preserve">In considering remuneration and allowances for the </w:t>
      </w:r>
      <w:r>
        <w:t>ACT Supreme Court</w:t>
      </w:r>
      <w:r w:rsidRPr="00C87080">
        <w:t xml:space="preserve">, the Tribunal </w:t>
      </w:r>
      <w:r w:rsidR="00BD6EDE">
        <w:t>also had</w:t>
      </w:r>
      <w:r w:rsidR="00BD6EDE" w:rsidRPr="00C87080">
        <w:t xml:space="preserve"> </w:t>
      </w:r>
      <w:r w:rsidRPr="00C87080">
        <w:t xml:space="preserve">discussions with the </w:t>
      </w:r>
      <w:r w:rsidR="00BD6EDE">
        <w:t xml:space="preserve">Chief Minister and the </w:t>
      </w:r>
      <w:r w:rsidRPr="00C87080">
        <w:t>Justice and Community Safety Directorate. Treasury officials provided a comprehensive briefing to the Tribunal on the prevailing economic circumstances for 2017 and forecasts for the coming years.</w:t>
      </w:r>
    </w:p>
    <w:p w14:paraId="42AA05A5" w14:textId="77777777" w:rsidR="002C1258" w:rsidRDefault="002C1258" w:rsidP="00F4595C">
      <w:pPr>
        <w:spacing w:before="120" w:after="60"/>
      </w:pPr>
    </w:p>
    <w:p w14:paraId="6992C5D4" w14:textId="77777777" w:rsidR="00BD6EDE" w:rsidRDefault="00BD6EDE" w:rsidP="00F4595C">
      <w:pPr>
        <w:spacing w:before="120" w:after="60"/>
      </w:pPr>
    </w:p>
    <w:p w14:paraId="3EBC35B3" w14:textId="77777777" w:rsidR="00BD6EDE" w:rsidRDefault="00BD6EDE" w:rsidP="00F4595C">
      <w:pPr>
        <w:spacing w:before="120" w:after="60"/>
      </w:pPr>
    </w:p>
    <w:p w14:paraId="2179595C" w14:textId="77777777" w:rsidR="002C1258" w:rsidRDefault="002C1258" w:rsidP="00F4595C">
      <w:pPr>
        <w:spacing w:before="120" w:after="60"/>
      </w:pPr>
    </w:p>
    <w:p w14:paraId="6471D898" w14:textId="77777777" w:rsidR="00B74CF4" w:rsidRDefault="00B74CF4" w:rsidP="00625249">
      <w:pPr>
        <w:rPr>
          <w:b/>
        </w:rPr>
      </w:pPr>
      <w:r>
        <w:rPr>
          <w:b/>
        </w:rPr>
        <w:lastRenderedPageBreak/>
        <w:t>Decision</w:t>
      </w:r>
    </w:p>
    <w:p w14:paraId="23381E76" w14:textId="6944A646" w:rsidR="00380FF3" w:rsidRDefault="003C2146" w:rsidP="003C2146">
      <w:pPr>
        <w:spacing w:before="120" w:after="60"/>
      </w:pPr>
      <w:r>
        <w:t>The Tribunal determined to maintain the allowance for the position of the Chief Justice of the ACT Supreme Court at its current rate relative to an ACT Supreme Court Judge.</w:t>
      </w:r>
    </w:p>
    <w:p w14:paraId="6FE21E42" w14:textId="78814B3D" w:rsidR="00380FF3" w:rsidRDefault="00380FF3" w:rsidP="00380FF3">
      <w:pPr>
        <w:spacing w:before="120" w:after="60"/>
      </w:pPr>
      <w:r>
        <w:t xml:space="preserve">The Tribunal determined to maintain the remuneration for the position of the </w:t>
      </w:r>
      <w:r>
        <w:br/>
        <w:t xml:space="preserve">Associate Judge of the ACT Supreme Court at its current rate relative to an </w:t>
      </w:r>
      <w:r>
        <w:br/>
        <w:t>ACT Supreme Court Judge.</w:t>
      </w:r>
    </w:p>
    <w:p w14:paraId="40A60C73" w14:textId="142F30AF" w:rsidR="00380FF3" w:rsidRDefault="00380FF3" w:rsidP="00380FF3">
      <w:pPr>
        <w:spacing w:before="120" w:after="60"/>
      </w:pPr>
      <w:r>
        <w:t xml:space="preserve">The Tribunal determined </w:t>
      </w:r>
      <w:r w:rsidR="00BD6EDE">
        <w:t>to maintain</w:t>
      </w:r>
      <w:r>
        <w:t xml:space="preserve"> the remuneration for the position of Acting Judge of the ACT Supreme Court</w:t>
      </w:r>
      <w:r w:rsidR="00BD6EDE">
        <w:t>, at the rate of 1/230 of the annual remuneration paid to a judge of the ACT Supreme Court per day</w:t>
      </w:r>
      <w:r>
        <w:t>.</w:t>
      </w:r>
    </w:p>
    <w:p w14:paraId="4DF5EA1A" w14:textId="09ABC318" w:rsidR="00900D4B" w:rsidRDefault="00900D4B" w:rsidP="003C2146">
      <w:pPr>
        <w:spacing w:before="120" w:after="60"/>
      </w:pPr>
    </w:p>
    <w:p w14:paraId="6E22BCDC" w14:textId="3F90E189" w:rsidR="009E4C67" w:rsidRPr="003B1A08" w:rsidRDefault="00510ECA" w:rsidP="00625249">
      <w:pPr>
        <w:ind w:left="360"/>
        <w:jc w:val="right"/>
        <w:rPr>
          <w:rFonts w:cs="Arial"/>
        </w:rPr>
        <w:sectPr w:rsidR="009E4C67" w:rsidRPr="003B1A08" w:rsidSect="00DD73BE">
          <w:footerReference w:type="default" r:id="rId10"/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26"/>
        </w:sectPr>
      </w:pPr>
      <w:r>
        <w:rPr>
          <w:szCs w:val="24"/>
        </w:rPr>
        <w:t>November</w:t>
      </w:r>
      <w:r w:rsidR="00076CA5">
        <w:rPr>
          <w:szCs w:val="24"/>
        </w:rPr>
        <w:t xml:space="preserve"> </w:t>
      </w:r>
      <w:r>
        <w:rPr>
          <w:szCs w:val="24"/>
        </w:rPr>
        <w:t>2017</w:t>
      </w:r>
    </w:p>
    <w:p w14:paraId="45B446D2" w14:textId="77777777" w:rsidR="009E4C67" w:rsidRPr="003B1A08" w:rsidRDefault="00045FE9" w:rsidP="009E4C67">
      <w:pPr>
        <w:spacing w:before="120"/>
        <w:jc w:val="right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 wp14:anchorId="5D745934" wp14:editId="538EFE73">
            <wp:extent cx="1010285" cy="92519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ab/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14:paraId="300DCCB8" w14:textId="77777777" w:rsidR="00896DBC" w:rsidRPr="003B1A08" w:rsidRDefault="00896DBC" w:rsidP="00896DBC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 Judicial Positions</w:t>
      </w:r>
    </w:p>
    <w:p w14:paraId="1C736DF0" w14:textId="6942A18F" w:rsidR="00896DBC" w:rsidRPr="00F215BD" w:rsidRDefault="00896DBC" w:rsidP="00896DBC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 xml:space="preserve">Determination </w:t>
      </w:r>
      <w:r w:rsidR="006E7EE7">
        <w:t>16</w:t>
      </w:r>
      <w:r>
        <w:t xml:space="preserve"> </w:t>
      </w:r>
      <w:r w:rsidRPr="00F215BD">
        <w:t xml:space="preserve">of </w:t>
      </w:r>
      <w:r>
        <w:t>201</w:t>
      </w:r>
      <w:r w:rsidR="00E80AA9">
        <w:t>7</w:t>
      </w:r>
    </w:p>
    <w:p w14:paraId="134D416B" w14:textId="77777777" w:rsidR="009E4C67" w:rsidRPr="003B1A08" w:rsidRDefault="009E4C67" w:rsidP="008E31D4">
      <w:r w:rsidRPr="003B1A08">
        <w:t xml:space="preserve">made under the </w:t>
      </w:r>
    </w:p>
    <w:p w14:paraId="15D36650" w14:textId="77777777" w:rsidR="00076CA5" w:rsidRPr="000D1005" w:rsidRDefault="00076CA5" w:rsidP="00076CA5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6A08C6A1" w14:textId="77777777" w:rsidR="009E4C67" w:rsidRPr="003B1A08" w:rsidRDefault="009E4C67" w:rsidP="009E4C67">
      <w:pPr>
        <w:pStyle w:val="N-line3"/>
        <w:pBdr>
          <w:bottom w:val="none" w:sz="0" w:space="0" w:color="auto"/>
        </w:pBdr>
      </w:pPr>
    </w:p>
    <w:p w14:paraId="6DB8F7D6" w14:textId="77777777" w:rsidR="00C11250" w:rsidRDefault="00C11250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14:paraId="6C08B56A" w14:textId="77777777" w:rsidR="00C11250" w:rsidRDefault="007F3DA2">
      <w:pPr>
        <w:pStyle w:val="Heading2"/>
        <w:spacing w:before="120" w:after="60"/>
      </w:pPr>
      <w:r w:rsidRPr="007F3DA2">
        <w:t>1. Commencement</w:t>
      </w:r>
    </w:p>
    <w:p w14:paraId="25249A45" w14:textId="2623D3E4" w:rsidR="00C11250" w:rsidRDefault="00535602">
      <w:pPr>
        <w:spacing w:before="120" w:after="60"/>
      </w:pPr>
      <w:r>
        <w:t>This instrument commence</w:t>
      </w:r>
      <w:r w:rsidR="00A2716C">
        <w:t>s</w:t>
      </w:r>
      <w:r w:rsidR="007F3DA2">
        <w:t xml:space="preserve"> </w:t>
      </w:r>
      <w:r w:rsidR="00896DBC">
        <w:t xml:space="preserve">1 </w:t>
      </w:r>
      <w:r w:rsidR="003C2146">
        <w:t>July</w:t>
      </w:r>
      <w:r w:rsidR="009734D5">
        <w:t xml:space="preserve"> </w:t>
      </w:r>
      <w:r w:rsidR="00896DBC">
        <w:t>201</w:t>
      </w:r>
      <w:r w:rsidR="009734D5">
        <w:t>7</w:t>
      </w:r>
      <w:r w:rsidR="007F3DA2">
        <w:t>.</w:t>
      </w:r>
    </w:p>
    <w:p w14:paraId="083F1F2A" w14:textId="77777777" w:rsidR="00F76B05" w:rsidRDefault="00F76B05">
      <w:pPr>
        <w:spacing w:before="120" w:after="60"/>
      </w:pPr>
    </w:p>
    <w:p w14:paraId="789B366B" w14:textId="77777777" w:rsidR="00C11250" w:rsidRDefault="007F3DA2">
      <w:pPr>
        <w:pStyle w:val="Heading2"/>
        <w:spacing w:before="120" w:after="60"/>
      </w:pPr>
      <w:r w:rsidRPr="007F3DA2">
        <w:t xml:space="preserve">2. </w:t>
      </w:r>
      <w:r w:rsidR="0081643F">
        <w:t xml:space="preserve">Remuneration </w:t>
      </w:r>
    </w:p>
    <w:p w14:paraId="75838E7E" w14:textId="7EE3DE75" w:rsidR="00C11250" w:rsidRDefault="007A4970">
      <w:pPr>
        <w:spacing w:before="120" w:after="60"/>
      </w:pPr>
      <w:r>
        <w:t xml:space="preserve">The </w:t>
      </w:r>
      <w:r w:rsidR="00FB4BFB">
        <w:t>benchmark</w:t>
      </w:r>
      <w:r>
        <w:t xml:space="preserve"> </w:t>
      </w:r>
      <w:r w:rsidR="00896DBC">
        <w:t>$</w:t>
      </w:r>
      <w:r w:rsidR="00CE0DDE">
        <w:t>449,840</w:t>
      </w:r>
      <w:r w:rsidR="00896DBC">
        <w:t xml:space="preserve"> </w:t>
      </w:r>
      <w:r w:rsidR="00EE7426">
        <w:t xml:space="preserve">(being </w:t>
      </w:r>
      <w:r w:rsidR="0081643F">
        <w:t xml:space="preserve">the remuneration payable to a Federal Court </w:t>
      </w:r>
      <w:r w:rsidR="006537A6">
        <w:t xml:space="preserve">Judge and </w:t>
      </w:r>
      <w:r w:rsidR="0081643F">
        <w:t>ACT Supreme Court Judge</w:t>
      </w:r>
      <w:r w:rsidR="005511DA">
        <w:t xml:space="preserve"> </w:t>
      </w:r>
      <w:r w:rsidR="0020190A">
        <w:t>on</w:t>
      </w:r>
      <w:r w:rsidR="007D72F3">
        <w:t xml:space="preserve"> 1 </w:t>
      </w:r>
      <w:r w:rsidR="00380FF3">
        <w:t xml:space="preserve">July </w:t>
      </w:r>
      <w:r w:rsidR="00896DBC">
        <w:t>201</w:t>
      </w:r>
      <w:r w:rsidR="001B2A05">
        <w:t>7</w:t>
      </w:r>
      <w:r w:rsidR="00EE7426">
        <w:t>)</w:t>
      </w:r>
      <w:r>
        <w:t>.</w:t>
      </w:r>
    </w:p>
    <w:p w14:paraId="52FE8011" w14:textId="77777777" w:rsidR="00AC5560" w:rsidRPr="00AC5560" w:rsidRDefault="00AC5560">
      <w:pPr>
        <w:spacing w:before="120" w:after="60"/>
      </w:pPr>
    </w:p>
    <w:p w14:paraId="0883F59B" w14:textId="77777777" w:rsidR="00C11250" w:rsidRDefault="0081643F">
      <w:pPr>
        <w:pStyle w:val="Heading2"/>
        <w:spacing w:before="120" w:after="60"/>
        <w:rPr>
          <w:b w:val="0"/>
          <w:i/>
        </w:rPr>
      </w:pPr>
      <w:r w:rsidRPr="008E31D4">
        <w:rPr>
          <w:b w:val="0"/>
          <w:i/>
        </w:rPr>
        <w:t>2.1</w:t>
      </w:r>
      <w:r w:rsidR="00CC5C68" w:rsidRPr="008E31D4">
        <w:rPr>
          <w:b w:val="0"/>
          <w:i/>
        </w:rPr>
        <w:t xml:space="preserve"> </w:t>
      </w:r>
      <w:r w:rsidR="007232A0" w:rsidRPr="008E31D4">
        <w:rPr>
          <w:b w:val="0"/>
          <w:i/>
        </w:rPr>
        <w:t>Chief Justice of the Supreme Court</w:t>
      </w:r>
    </w:p>
    <w:p w14:paraId="4971DE3A" w14:textId="06DA305C" w:rsidR="00FA7ED7" w:rsidRDefault="007A4970">
      <w:pPr>
        <w:spacing w:before="120" w:after="60"/>
      </w:pPr>
      <w:r>
        <w:t>The Chief Justice of the Supreme Court is entitled to an allowance</w:t>
      </w:r>
      <w:r w:rsidR="0081643F">
        <w:t xml:space="preserve"> of </w:t>
      </w:r>
      <w:r w:rsidR="00896DBC">
        <w:t>$</w:t>
      </w:r>
      <w:r w:rsidR="009734D5">
        <w:t>44,</w:t>
      </w:r>
      <w:r w:rsidR="00CE0DDE">
        <w:t>984</w:t>
      </w:r>
      <w:r w:rsidR="00896DBC">
        <w:t xml:space="preserve"> </w:t>
      </w:r>
      <w:r w:rsidR="00267E35">
        <w:t xml:space="preserve">per annum </w:t>
      </w:r>
      <w:r w:rsidR="003B1FF4">
        <w:t>in addition to the benchmark</w:t>
      </w:r>
      <w:r w:rsidR="0081643F">
        <w:t>.</w:t>
      </w:r>
      <w:r>
        <w:t xml:space="preserve"> </w:t>
      </w:r>
    </w:p>
    <w:p w14:paraId="30672346" w14:textId="77777777" w:rsidR="00AC5560" w:rsidRPr="00FA7ED7" w:rsidRDefault="00AC5560">
      <w:pPr>
        <w:spacing w:before="120" w:after="60"/>
      </w:pPr>
    </w:p>
    <w:p w14:paraId="7FC103DA" w14:textId="77777777" w:rsidR="00C11250" w:rsidRDefault="00FA7ED7">
      <w:pPr>
        <w:pStyle w:val="Heading2"/>
        <w:spacing w:before="120" w:after="60"/>
        <w:rPr>
          <w:b w:val="0"/>
          <w:i/>
        </w:rPr>
      </w:pPr>
      <w:r>
        <w:rPr>
          <w:b w:val="0"/>
          <w:i/>
        </w:rPr>
        <w:t>2.2</w:t>
      </w:r>
      <w:r w:rsidR="005A64DB">
        <w:rPr>
          <w:b w:val="0"/>
          <w:i/>
        </w:rPr>
        <w:t xml:space="preserve"> Associate Judge</w:t>
      </w:r>
      <w:r w:rsidR="007232A0" w:rsidRPr="008E31D4">
        <w:rPr>
          <w:b w:val="0"/>
          <w:i/>
        </w:rPr>
        <w:t xml:space="preserve"> of the ACT Supreme Court </w:t>
      </w:r>
    </w:p>
    <w:p w14:paraId="2ABDB0B7" w14:textId="1EF1DB7D" w:rsidR="00C11250" w:rsidRDefault="005A64DB">
      <w:pPr>
        <w:spacing w:before="120" w:after="60"/>
      </w:pPr>
      <w:r>
        <w:t>The Associate Judge</w:t>
      </w:r>
      <w:r w:rsidR="003B1FF4">
        <w:t xml:space="preserve"> of the </w:t>
      </w:r>
      <w:r w:rsidR="00241DD2">
        <w:t xml:space="preserve">ACT </w:t>
      </w:r>
      <w:r w:rsidR="003B1FF4">
        <w:t xml:space="preserve">Supreme Court is entitled to remuneration of </w:t>
      </w:r>
      <w:r w:rsidR="00896DBC">
        <w:t>$</w:t>
      </w:r>
      <w:r w:rsidR="00CE0DDE">
        <w:t>404,856</w:t>
      </w:r>
      <w:r w:rsidR="00896DBC">
        <w:t xml:space="preserve"> </w:t>
      </w:r>
      <w:r w:rsidR="00241DD2">
        <w:br/>
      </w:r>
      <w:r w:rsidR="00267E35">
        <w:t>per annum</w:t>
      </w:r>
      <w:r w:rsidR="003B1FF4">
        <w:t>.</w:t>
      </w:r>
    </w:p>
    <w:p w14:paraId="4A313352" w14:textId="042D79B8" w:rsidR="00C11250" w:rsidRDefault="00947D3B">
      <w:pPr>
        <w:spacing w:before="120" w:after="60"/>
      </w:pPr>
      <w:r w:rsidRPr="00AA7615">
        <w:t xml:space="preserve">The Associate Judge of the Supreme Court is entitled to the </w:t>
      </w:r>
      <w:r w:rsidR="003C2146">
        <w:t xml:space="preserve">same </w:t>
      </w:r>
      <w:r w:rsidRPr="00AA7615">
        <w:t xml:space="preserve">travelling </w:t>
      </w:r>
      <w:r w:rsidR="000B5975">
        <w:t xml:space="preserve">allowance </w:t>
      </w:r>
      <w:r w:rsidR="003C2146">
        <w:t>provisions for other ACT Supreme Court Judges (being a</w:t>
      </w:r>
      <w:r w:rsidR="000B5975">
        <w:t xml:space="preserve"> J</w:t>
      </w:r>
      <w:r w:rsidRPr="00AA7615">
        <w:t xml:space="preserve">udge </w:t>
      </w:r>
      <w:r w:rsidR="000B5975">
        <w:t>of the Federal Court of Australia</w:t>
      </w:r>
      <w:r w:rsidR="003C2146">
        <w:t>), which is outlined in Commonwealth</w:t>
      </w:r>
      <w:r w:rsidRPr="00AA7615">
        <w:t xml:space="preserve"> Remuneration Tribunal Determinations </w:t>
      </w:r>
      <w:r w:rsidR="003C2146">
        <w:t xml:space="preserve">for Judicial and Related Offices, </w:t>
      </w:r>
      <w:r w:rsidRPr="00AA7615">
        <w:t>issued from time to time.</w:t>
      </w:r>
    </w:p>
    <w:p w14:paraId="5C8ABEA2" w14:textId="77777777" w:rsidR="00947D3B" w:rsidRDefault="00947D3B">
      <w:pPr>
        <w:spacing w:before="120" w:after="60"/>
      </w:pPr>
    </w:p>
    <w:p w14:paraId="51C031A1" w14:textId="77777777" w:rsidR="00C11250" w:rsidRDefault="00FA7ED7">
      <w:pPr>
        <w:pStyle w:val="Heading2"/>
        <w:spacing w:before="120" w:after="60"/>
        <w:rPr>
          <w:b w:val="0"/>
          <w:i/>
        </w:rPr>
      </w:pPr>
      <w:r>
        <w:rPr>
          <w:b w:val="0"/>
          <w:i/>
        </w:rPr>
        <w:t>2.3</w:t>
      </w:r>
      <w:r w:rsidR="003C3D49" w:rsidRPr="008E31D4">
        <w:rPr>
          <w:b w:val="0"/>
          <w:i/>
        </w:rPr>
        <w:t xml:space="preserve"> Acting Judge</w:t>
      </w:r>
    </w:p>
    <w:p w14:paraId="553CD317" w14:textId="77777777" w:rsidR="00C11250" w:rsidRDefault="00093D63">
      <w:pPr>
        <w:spacing w:before="120" w:after="60"/>
      </w:pPr>
      <w:r>
        <w:t>An A</w:t>
      </w:r>
      <w:r w:rsidR="003C3D49">
        <w:t xml:space="preserve">cting Judge is entitled to be paid remuneration calculated at the rate of 1/230 of the </w:t>
      </w:r>
      <w:r w:rsidR="00267E35">
        <w:t xml:space="preserve">annual </w:t>
      </w:r>
      <w:r w:rsidR="003C3D49">
        <w:t>remuneration paid to a judge of the ACT Supreme Court per day.</w:t>
      </w:r>
    </w:p>
    <w:p w14:paraId="197AFEE3" w14:textId="77777777" w:rsidR="00C11250" w:rsidRDefault="003C3D49">
      <w:pPr>
        <w:spacing w:before="120" w:after="60"/>
      </w:pPr>
      <w:r>
        <w:t xml:space="preserve">In any 12 month period, total remuneration paid to an </w:t>
      </w:r>
      <w:r w:rsidR="00520023">
        <w:t>A</w:t>
      </w:r>
      <w:r>
        <w:t>cting judge must not exceed that paid to a judge of the ACT Supreme Court.</w:t>
      </w:r>
    </w:p>
    <w:p w14:paraId="1E9102AA" w14:textId="77777777" w:rsidR="00C11250" w:rsidRDefault="00C11250">
      <w:pPr>
        <w:spacing w:before="120" w:after="60"/>
      </w:pPr>
    </w:p>
    <w:p w14:paraId="3C1FF013" w14:textId="77777777" w:rsidR="00FA7ED7" w:rsidRDefault="00FA7ED7">
      <w:pPr>
        <w:spacing w:before="120" w:after="60"/>
      </w:pPr>
    </w:p>
    <w:p w14:paraId="3049EB36" w14:textId="77777777" w:rsidR="00FA7ED7" w:rsidRDefault="00FA7ED7">
      <w:pPr>
        <w:spacing w:before="120" w:after="60"/>
      </w:pPr>
    </w:p>
    <w:p w14:paraId="1ED13615" w14:textId="77777777" w:rsidR="00C11250" w:rsidRDefault="003C3D49">
      <w:pPr>
        <w:pStyle w:val="Heading2"/>
        <w:spacing w:before="120" w:after="60"/>
      </w:pPr>
      <w:r>
        <w:t xml:space="preserve">3. </w:t>
      </w:r>
      <w:r w:rsidRPr="00E320F8">
        <w:t xml:space="preserve">Salary </w:t>
      </w:r>
      <w:r w:rsidR="00FA7ED7">
        <w:t>packaging for the Associate Judge</w:t>
      </w:r>
    </w:p>
    <w:p w14:paraId="5B1497B2" w14:textId="77777777" w:rsidR="00C11250" w:rsidRDefault="00FA7ED7">
      <w:pPr>
        <w:pStyle w:val="ColorfulList-Accent11"/>
        <w:numPr>
          <w:ilvl w:val="1"/>
          <w:numId w:val="8"/>
        </w:numPr>
        <w:spacing w:before="120" w:after="60"/>
      </w:pPr>
      <w:r>
        <w:t>The Associate Judge</w:t>
      </w:r>
      <w:r w:rsidR="003C3D49">
        <w:t xml:space="preserve"> </w:t>
      </w:r>
      <w:r w:rsidR="003C3D49" w:rsidRPr="00BF6FC8">
        <w:t xml:space="preserve">may elect to take remuneration </w:t>
      </w:r>
      <w:r w:rsidR="003C3D49" w:rsidRPr="00B25138">
        <w:t>mentioned</w:t>
      </w:r>
      <w:r w:rsidR="003C3D49">
        <w:t xml:space="preserve"> </w:t>
      </w:r>
      <w:r w:rsidR="003C3D49" w:rsidRPr="00BF6FC8">
        <w:t>as</w:t>
      </w:r>
      <w:r w:rsidR="003C3D49">
        <w:t>:</w:t>
      </w:r>
    </w:p>
    <w:p w14:paraId="400C8039" w14:textId="77777777"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salary</w:t>
      </w:r>
      <w:r>
        <w:t>;</w:t>
      </w:r>
      <w:r w:rsidRPr="00BF6FC8">
        <w:t xml:space="preserve"> or </w:t>
      </w:r>
    </w:p>
    <w:p w14:paraId="3A9FEE83" w14:textId="77777777"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a combination of salary and other benefits</w:t>
      </w:r>
      <w:r>
        <w:t xml:space="preserve"> (</w:t>
      </w:r>
      <w:r w:rsidRPr="00B93392">
        <w:t xml:space="preserve">a </w:t>
      </w:r>
      <w:r>
        <w:rPr>
          <w:b/>
          <w:i/>
        </w:rPr>
        <w:t>salary package</w:t>
      </w:r>
      <w:r>
        <w:t>)</w:t>
      </w:r>
      <w:r w:rsidRPr="00BF6FC8">
        <w:t>.</w:t>
      </w:r>
    </w:p>
    <w:p w14:paraId="248DEF55" w14:textId="77777777" w:rsidR="00C11250" w:rsidRDefault="003C3D49">
      <w:pPr>
        <w:keepNext/>
        <w:keepLines/>
        <w:spacing w:before="120" w:after="60"/>
      </w:pPr>
      <w:r>
        <w:t>3.2 Salary packaging must</w:t>
      </w:r>
      <w:r w:rsidRPr="00BF6FC8">
        <w:t xml:space="preserve"> be</w:t>
      </w:r>
      <w:r>
        <w:t xml:space="preserve"> </w:t>
      </w:r>
      <w:r w:rsidRPr="00BF6FC8">
        <w:t>consistent with</w:t>
      </w:r>
      <w:r>
        <w:t>:</w:t>
      </w:r>
    </w:p>
    <w:p w14:paraId="74235E40" w14:textId="77777777"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taxation laws and guidelines issued by</w:t>
      </w:r>
      <w:r>
        <w:t xml:space="preserve"> the Australian Taxation Office; and</w:t>
      </w:r>
    </w:p>
    <w:p w14:paraId="0BE3BD4E" w14:textId="77777777" w:rsidR="00C11250" w:rsidRDefault="00764B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>
        <w:t>any s</w:t>
      </w:r>
      <w:r w:rsidRPr="00F56F15">
        <w:t xml:space="preserve">alary </w:t>
      </w:r>
      <w:r>
        <w:t>p</w:t>
      </w:r>
      <w:r w:rsidRPr="00F56F15">
        <w:t xml:space="preserve">ackaging </w:t>
      </w:r>
      <w:r>
        <w:t>p</w:t>
      </w:r>
      <w:r w:rsidRPr="00F56F15">
        <w:t>olicy and</w:t>
      </w:r>
      <w:r>
        <w:t>/or</w:t>
      </w:r>
      <w:r w:rsidRPr="00F56F15">
        <w:t xml:space="preserve"> </w:t>
      </w:r>
      <w:r>
        <w:t>p</w:t>
      </w:r>
      <w:r w:rsidRPr="00F56F15">
        <w:t>rocedures</w:t>
      </w:r>
      <w:r w:rsidRPr="002B1680">
        <w:t xml:space="preserve"> issued for </w:t>
      </w:r>
      <w:r>
        <w:t xml:space="preserve">the </w:t>
      </w:r>
      <w:r w:rsidRPr="00F56F15">
        <w:t>ACT Public Service</w:t>
      </w:r>
      <w:r w:rsidR="003C3D49" w:rsidRPr="005C2122">
        <w:t>, with up to 100% of the remuneration a</w:t>
      </w:r>
      <w:r w:rsidR="003C3D49">
        <w:t>b</w:t>
      </w:r>
      <w:r w:rsidR="003C3D49" w:rsidRPr="005C2122">
        <w:t xml:space="preserve">le to be taken as benefits and related costs </w:t>
      </w:r>
      <w:r w:rsidR="003C3D49">
        <w:t>such as</w:t>
      </w:r>
      <w:r w:rsidR="003C3D49" w:rsidRPr="005C2122">
        <w:t xml:space="preserve"> </w:t>
      </w:r>
      <w:r w:rsidR="003C3D49">
        <w:t>f</w:t>
      </w:r>
      <w:r w:rsidR="003C3D49" w:rsidRPr="005C2122">
        <w:t xml:space="preserve">ringe </w:t>
      </w:r>
      <w:r w:rsidR="003C3D49">
        <w:t>b</w:t>
      </w:r>
      <w:r w:rsidR="003C3D49" w:rsidRPr="005C2122">
        <w:t xml:space="preserve">enefits </w:t>
      </w:r>
      <w:r w:rsidR="003C3D49">
        <w:t>t</w:t>
      </w:r>
      <w:r w:rsidR="003C3D49" w:rsidRPr="005C2122">
        <w:t xml:space="preserve">ax. </w:t>
      </w:r>
    </w:p>
    <w:p w14:paraId="3AE21D26" w14:textId="6EFF3B9B" w:rsidR="00C11250" w:rsidRDefault="003C3D49" w:rsidP="00FB05AF">
      <w:pPr>
        <w:tabs>
          <w:tab w:val="left" w:pos="426"/>
        </w:tabs>
        <w:spacing w:before="120" w:after="60"/>
        <w:ind w:left="426" w:hanging="426"/>
      </w:pPr>
      <w:r>
        <w:t xml:space="preserve">3.3 </w:t>
      </w:r>
      <w:r w:rsidR="00CB08BF">
        <w:tab/>
      </w:r>
      <w:r>
        <w:t>Salary packaging must</w:t>
      </w:r>
      <w:r w:rsidRPr="00BF6FC8">
        <w:t xml:space="preserve"> be administered </w:t>
      </w:r>
      <w:r>
        <w:t xml:space="preserve">without </w:t>
      </w:r>
      <w:r w:rsidRPr="00BF6FC8">
        <w:t xml:space="preserve">additional cost to the </w:t>
      </w:r>
      <w:r>
        <w:t>employer and</w:t>
      </w:r>
      <w:r w:rsidRPr="00BF6FC8">
        <w:t xml:space="preserve"> any </w:t>
      </w:r>
      <w:r w:rsidRPr="006368F6">
        <w:t>fringe benefits tax</w:t>
      </w:r>
      <w:r w:rsidRPr="00BF6FC8">
        <w:t xml:space="preserve"> associated with the provision of a benefit </w:t>
      </w:r>
      <w:r>
        <w:t>must</w:t>
      </w:r>
      <w:r w:rsidRPr="00BF6FC8">
        <w:t xml:space="preserve"> be included in the salary package.</w:t>
      </w:r>
    </w:p>
    <w:p w14:paraId="0F84FD0B" w14:textId="77777777" w:rsidR="00C11250" w:rsidRDefault="003C3D49" w:rsidP="00FB05AF">
      <w:pPr>
        <w:pStyle w:val="ColorfulList-Accent11"/>
        <w:numPr>
          <w:ilvl w:val="1"/>
          <w:numId w:val="7"/>
        </w:numPr>
        <w:tabs>
          <w:tab w:val="left" w:pos="567"/>
        </w:tabs>
        <w:spacing w:before="120" w:after="60"/>
      </w:pPr>
      <w:r>
        <w:t>S</w:t>
      </w:r>
      <w:r w:rsidRPr="00BF6FC8">
        <w:t xml:space="preserve">alary for superannuation purposes is </w:t>
      </w:r>
      <w:r>
        <w:t xml:space="preserve">not </w:t>
      </w:r>
      <w:r w:rsidRPr="00BF6FC8">
        <w:t>affected by salary packaging.</w:t>
      </w:r>
    </w:p>
    <w:p w14:paraId="7BEC5859" w14:textId="77777777" w:rsidR="00C11250" w:rsidRDefault="00C11250">
      <w:pPr>
        <w:spacing w:before="120" w:after="60"/>
        <w:rPr>
          <w:b/>
        </w:rPr>
      </w:pPr>
    </w:p>
    <w:p w14:paraId="350647DE" w14:textId="079412BB" w:rsidR="00C11250" w:rsidRDefault="003C3D49">
      <w:pPr>
        <w:pStyle w:val="Heading2"/>
        <w:spacing w:before="120" w:after="60"/>
      </w:pPr>
      <w:r>
        <w:t>4</w:t>
      </w:r>
      <w:r w:rsidRPr="003C3D49">
        <w:t>. Tr</w:t>
      </w:r>
      <w:r w:rsidR="00FA7ED7">
        <w:t>avelling Allowance for the Associate Judge</w:t>
      </w:r>
      <w:r w:rsidRPr="003C3D49">
        <w:t xml:space="preserve"> —</w:t>
      </w:r>
      <w:r w:rsidR="00076CA5">
        <w:t xml:space="preserve"> </w:t>
      </w:r>
      <w:r w:rsidRPr="003C3D49">
        <w:t>within</w:t>
      </w:r>
      <w:r w:rsidR="003C2146">
        <w:t xml:space="preserve"> and outside</w:t>
      </w:r>
      <w:r w:rsidRPr="003C3D49">
        <w:t xml:space="preserve"> Australia </w:t>
      </w:r>
    </w:p>
    <w:p w14:paraId="12B737DB" w14:textId="12C247CE" w:rsidR="003C2146" w:rsidRDefault="003C3D49" w:rsidP="00FB05AF">
      <w:pPr>
        <w:tabs>
          <w:tab w:val="left" w:pos="426"/>
        </w:tabs>
        <w:spacing w:before="120" w:after="60"/>
        <w:ind w:left="426" w:hanging="426"/>
      </w:pPr>
      <w:r>
        <w:t xml:space="preserve">4.1 </w:t>
      </w:r>
      <w:r w:rsidR="00CB08BF">
        <w:tab/>
      </w:r>
      <w:r w:rsidR="003C2146" w:rsidRPr="00AA7615">
        <w:t xml:space="preserve">The Associate Judge of the Supreme Court is entitled to the </w:t>
      </w:r>
      <w:r w:rsidR="003C2146">
        <w:t xml:space="preserve">same </w:t>
      </w:r>
      <w:r w:rsidR="003C2146" w:rsidRPr="00AA7615">
        <w:t xml:space="preserve">travelling </w:t>
      </w:r>
      <w:r w:rsidR="003C2146">
        <w:t>allowance provisions for other ACT Supreme Court Judges (being a J</w:t>
      </w:r>
      <w:r w:rsidR="003C2146" w:rsidRPr="00AA7615">
        <w:t xml:space="preserve">udge </w:t>
      </w:r>
      <w:r w:rsidR="003C2146">
        <w:t>of the Federal Court of Australia), which is outlined in Commonwealth</w:t>
      </w:r>
      <w:r w:rsidR="003C2146" w:rsidRPr="00AA7615">
        <w:t xml:space="preserve"> Remuneration Tribunal Determinations </w:t>
      </w:r>
      <w:r w:rsidR="003C2146">
        <w:t xml:space="preserve">for Judicial and Related Offices, </w:t>
      </w:r>
      <w:r w:rsidR="003C2146" w:rsidRPr="00AA7615">
        <w:t>issued from time to time.</w:t>
      </w:r>
    </w:p>
    <w:p w14:paraId="51C6BADB" w14:textId="7FD0006C" w:rsidR="00C11250" w:rsidRDefault="00C11250">
      <w:pPr>
        <w:spacing w:before="120" w:after="60"/>
      </w:pPr>
    </w:p>
    <w:p w14:paraId="4FFB336E" w14:textId="4E29BDD9" w:rsidR="00C11250" w:rsidRDefault="003C3D49">
      <w:pPr>
        <w:pStyle w:val="Heading2"/>
        <w:spacing w:before="120" w:after="60"/>
      </w:pPr>
      <w:r>
        <w:t>5</w:t>
      </w:r>
      <w:r w:rsidRPr="003C3D49">
        <w:t xml:space="preserve">. </w:t>
      </w:r>
      <w:r w:rsidR="003C2146">
        <w:t>Other entitlements</w:t>
      </w:r>
      <w:r w:rsidRPr="003C3D49">
        <w:t xml:space="preserve"> </w:t>
      </w:r>
    </w:p>
    <w:p w14:paraId="72F0F4ED" w14:textId="3C3CE04A" w:rsidR="00C11250" w:rsidRDefault="003C3D49" w:rsidP="00FB05AF">
      <w:pPr>
        <w:tabs>
          <w:tab w:val="left" w:pos="426"/>
        </w:tabs>
        <w:spacing w:before="120" w:after="60"/>
        <w:ind w:left="426" w:hanging="426"/>
      </w:pPr>
      <w:r>
        <w:t xml:space="preserve">5.1 </w:t>
      </w:r>
      <w:r w:rsidR="00CB08BF">
        <w:tab/>
      </w:r>
      <w:r w:rsidR="003C2146">
        <w:t xml:space="preserve">Other entitlements such as </w:t>
      </w:r>
      <w:r w:rsidR="00C15665">
        <w:t xml:space="preserve">vehicle, parking, relocation </w:t>
      </w:r>
      <w:r w:rsidR="003C2146">
        <w:t xml:space="preserve">and leave arrangements are outlined in the </w:t>
      </w:r>
      <w:r w:rsidR="00C15665">
        <w:rPr>
          <w:i/>
        </w:rPr>
        <w:t>Supreme Court (Master) Conditions of Appointment 2017 (No.1)</w:t>
      </w:r>
      <w:r w:rsidR="00C15665">
        <w:t xml:space="preserve">, </w:t>
      </w:r>
      <w:r w:rsidR="006E7EE7">
        <w:br/>
      </w:r>
      <w:r w:rsidR="00C15665">
        <w:t>NI2017</w:t>
      </w:r>
      <w:r w:rsidR="003C2146">
        <w:t>-</w:t>
      </w:r>
      <w:r w:rsidR="00C15665">
        <w:t>242</w:t>
      </w:r>
      <w:r w:rsidR="003C2146" w:rsidRPr="00BF6FC8">
        <w:t>.</w:t>
      </w:r>
    </w:p>
    <w:p w14:paraId="20F10C81" w14:textId="5BF80223" w:rsidR="00C11250" w:rsidRDefault="00C11250">
      <w:pPr>
        <w:spacing w:before="120" w:after="60"/>
      </w:pPr>
    </w:p>
    <w:p w14:paraId="005594E6" w14:textId="14BBCA17" w:rsidR="00C11250" w:rsidRDefault="003C3D49">
      <w:pPr>
        <w:pStyle w:val="Heading2"/>
        <w:spacing w:before="120" w:after="60"/>
      </w:pPr>
      <w:r>
        <w:t>6</w:t>
      </w:r>
      <w:r w:rsidRPr="003C3D49">
        <w:t>. Definitions</w:t>
      </w:r>
    </w:p>
    <w:p w14:paraId="6E3DF1E0" w14:textId="39EF854F" w:rsidR="00C11250" w:rsidRDefault="003C3D49" w:rsidP="00FB05AF">
      <w:pPr>
        <w:tabs>
          <w:tab w:val="left" w:pos="567"/>
        </w:tabs>
        <w:spacing w:before="120" w:after="60"/>
        <w:ind w:left="567" w:hanging="567"/>
      </w:pPr>
      <w:r>
        <w:t xml:space="preserve">6.1 </w:t>
      </w:r>
      <w:r w:rsidR="00CB08BF">
        <w:tab/>
      </w:r>
      <w:r w:rsidRPr="003C3D49">
        <w:t>In this Determination:</w:t>
      </w:r>
    </w:p>
    <w:p w14:paraId="597512AA" w14:textId="77777777" w:rsidR="00C11250" w:rsidRDefault="003C3D49">
      <w:pPr>
        <w:spacing w:before="120" w:after="60"/>
        <w:ind w:left="720"/>
        <w:rPr>
          <w:b/>
        </w:rPr>
      </w:pPr>
      <w:r w:rsidRPr="00FB05AF">
        <w:rPr>
          <w:b/>
          <w:i/>
        </w:rPr>
        <w:t>employer</w:t>
      </w:r>
      <w:r w:rsidRPr="003C3D49">
        <w:t xml:space="preserve"> means the Australian Capital Territory and includes any person authorised to act on behalf of the Australian Capital Territory.</w:t>
      </w:r>
    </w:p>
    <w:p w14:paraId="7B59E862" w14:textId="77777777" w:rsidR="00C11250" w:rsidRDefault="003C3D49" w:rsidP="008D5DF4">
      <w:pPr>
        <w:spacing w:before="120" w:after="60"/>
        <w:ind w:left="720"/>
      </w:pPr>
      <w:r w:rsidRPr="00FB05AF">
        <w:rPr>
          <w:b/>
          <w:i/>
        </w:rPr>
        <w:t>fringe benefits tax</w:t>
      </w:r>
      <w:r w:rsidRPr="003C3D49">
        <w:t xml:space="preserve"> means the tax assessed under the </w:t>
      </w:r>
      <w:r w:rsidRPr="00267E35">
        <w:rPr>
          <w:i/>
        </w:rPr>
        <w:t>Fringe Benefits Tax Assessment Act 1986</w:t>
      </w:r>
      <w:r w:rsidRPr="003C3D49">
        <w:t>.</w:t>
      </w:r>
    </w:p>
    <w:p w14:paraId="4334F5A2" w14:textId="77777777" w:rsidR="008D5DF4" w:rsidRDefault="008D5DF4" w:rsidP="008D5DF4">
      <w:pPr>
        <w:spacing w:before="120" w:after="60"/>
        <w:ind w:left="720"/>
      </w:pPr>
    </w:p>
    <w:p w14:paraId="61C00F68" w14:textId="3D3642DA" w:rsidR="00C11250" w:rsidRDefault="000A394D">
      <w:pPr>
        <w:pStyle w:val="Heading2"/>
        <w:spacing w:before="120" w:after="60"/>
      </w:pPr>
      <w:r>
        <w:t>7</w:t>
      </w:r>
      <w:r w:rsidR="00AD7BB4" w:rsidRPr="007F3DA2">
        <w:t xml:space="preserve">. </w:t>
      </w:r>
      <w:r w:rsidR="00AD7BB4">
        <w:t>Revocation of previous determinations</w:t>
      </w:r>
    </w:p>
    <w:p w14:paraId="201BF488" w14:textId="34642B53" w:rsidR="00C11250" w:rsidRDefault="009704C4">
      <w:pPr>
        <w:spacing w:before="120" w:after="60"/>
      </w:pPr>
      <w:r>
        <w:t>Determination</w:t>
      </w:r>
      <w:r w:rsidR="00AD7BB4">
        <w:t xml:space="preserve"> </w:t>
      </w:r>
      <w:r w:rsidR="00D12844">
        <w:t>1</w:t>
      </w:r>
      <w:r w:rsidR="009728F3">
        <w:t xml:space="preserve"> </w:t>
      </w:r>
      <w:r w:rsidR="008D5DF4">
        <w:t>of 201</w:t>
      </w:r>
      <w:r w:rsidR="00D12844">
        <w:t>7</w:t>
      </w:r>
      <w:r w:rsidR="00282079">
        <w:t xml:space="preserve"> </w:t>
      </w:r>
      <w:r w:rsidR="00CB545A">
        <w:t>and 6 of 2017 are</w:t>
      </w:r>
      <w:r w:rsidR="002055BF">
        <w:t xml:space="preserve"> </w:t>
      </w:r>
      <w:r w:rsidR="00AD7BB4">
        <w:t>revoked.</w:t>
      </w:r>
    </w:p>
    <w:bookmarkEnd w:id="0"/>
    <w:p w14:paraId="6B80C086" w14:textId="77777777" w:rsidR="00C7762A" w:rsidRDefault="00C7762A" w:rsidP="009E4C67">
      <w:pPr>
        <w:tabs>
          <w:tab w:val="left" w:pos="4253"/>
          <w:tab w:val="left" w:leader="dot" w:pos="8222"/>
        </w:tabs>
      </w:pPr>
    </w:p>
    <w:p w14:paraId="0A2120EC" w14:textId="77777777" w:rsidR="00A545B9" w:rsidRDefault="00A545B9" w:rsidP="009E4C67">
      <w:pPr>
        <w:tabs>
          <w:tab w:val="left" w:pos="4253"/>
          <w:tab w:val="left" w:leader="dot" w:pos="8222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491"/>
      </w:tblGrid>
      <w:tr w:rsidR="00076CA5" w:rsidRPr="000F41B0" w14:paraId="7F934A15" w14:textId="77777777" w:rsidTr="006E7EE7">
        <w:tc>
          <w:tcPr>
            <w:tcW w:w="4536" w:type="dxa"/>
          </w:tcPr>
          <w:p w14:paraId="4566BA95" w14:textId="77777777" w:rsidR="00076CA5" w:rsidRPr="000F41B0" w:rsidRDefault="00076CA5" w:rsidP="00076CA5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1110C12C" w14:textId="77777777" w:rsidR="00076CA5" w:rsidRPr="000F41B0" w:rsidRDefault="00076CA5" w:rsidP="005021EE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 w:rsidRPr="000F41B0">
              <w:rPr>
                <w:szCs w:val="24"/>
              </w:rPr>
              <w:t>Dr Colin Adrian</w:t>
            </w:r>
            <w:r w:rsidRPr="000F41B0">
              <w:rPr>
                <w:szCs w:val="24"/>
              </w:rPr>
              <w:tab/>
            </w:r>
          </w:p>
          <w:p w14:paraId="4ACF5CB2" w14:textId="77777777" w:rsidR="00076CA5" w:rsidRPr="000F41B0" w:rsidRDefault="00076CA5" w:rsidP="005021EE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Chair</w:t>
            </w:r>
          </w:p>
          <w:p w14:paraId="1023FCD9" w14:textId="77777777" w:rsidR="00076CA5" w:rsidRPr="000F41B0" w:rsidRDefault="00076CA5" w:rsidP="005021EE">
            <w:pPr>
              <w:tabs>
                <w:tab w:val="left" w:pos="7230"/>
              </w:tabs>
              <w:rPr>
                <w:szCs w:val="24"/>
              </w:rPr>
            </w:pPr>
          </w:p>
        </w:tc>
        <w:tc>
          <w:tcPr>
            <w:tcW w:w="4491" w:type="dxa"/>
          </w:tcPr>
          <w:p w14:paraId="4FA7BEB0" w14:textId="77777777" w:rsidR="00076CA5" w:rsidRDefault="00076CA5" w:rsidP="005021EE">
            <w:pPr>
              <w:tabs>
                <w:tab w:val="left" w:pos="3059"/>
                <w:tab w:val="left" w:pos="7230"/>
              </w:tabs>
            </w:pPr>
          </w:p>
          <w:p w14:paraId="714B4611" w14:textId="77777777" w:rsidR="00076CA5" w:rsidRDefault="00076CA5" w:rsidP="005021EE">
            <w:pPr>
              <w:tabs>
                <w:tab w:val="left" w:pos="3059"/>
                <w:tab w:val="left" w:pos="7230"/>
              </w:tabs>
            </w:pPr>
          </w:p>
          <w:p w14:paraId="6FCBFC19" w14:textId="77777777" w:rsidR="00076CA5" w:rsidRPr="000F41B0" w:rsidRDefault="00076CA5" w:rsidP="005021EE">
            <w:pPr>
              <w:tabs>
                <w:tab w:val="left" w:pos="3059"/>
                <w:tab w:val="left" w:pos="7230"/>
              </w:tabs>
              <w:rPr>
                <w:szCs w:val="24"/>
              </w:rPr>
            </w:pPr>
            <w:r>
              <w:t xml:space="preserve">  </w:t>
            </w:r>
            <w:r w:rsidRPr="00A9481F">
              <w:t>...............................................................</w:t>
            </w:r>
          </w:p>
        </w:tc>
      </w:tr>
      <w:tr w:rsidR="00076CA5" w:rsidRPr="000F41B0" w14:paraId="1EB8482B" w14:textId="77777777" w:rsidTr="006E7EE7">
        <w:tc>
          <w:tcPr>
            <w:tcW w:w="4536" w:type="dxa"/>
          </w:tcPr>
          <w:p w14:paraId="508E0356" w14:textId="77777777" w:rsidR="00076CA5" w:rsidRDefault="00076CA5" w:rsidP="005021EE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180866AE" w14:textId="77777777" w:rsidR="006E7EE7" w:rsidRPr="000F41B0" w:rsidRDefault="006E7EE7" w:rsidP="005021EE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7322CFE2" w14:textId="77777777" w:rsidR="00076CA5" w:rsidRPr="000F41B0" w:rsidRDefault="00076CA5" w:rsidP="005021EE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 w:rsidRPr="000F41B0">
              <w:rPr>
                <w:szCs w:val="24"/>
              </w:rPr>
              <w:t>Mr James Smythe PSM</w:t>
            </w:r>
            <w:r w:rsidRPr="000F41B0">
              <w:rPr>
                <w:szCs w:val="24"/>
              </w:rPr>
              <w:tab/>
            </w:r>
          </w:p>
          <w:p w14:paraId="198E028C" w14:textId="77777777" w:rsidR="00076CA5" w:rsidRPr="000F41B0" w:rsidRDefault="00076CA5" w:rsidP="005021EE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Member</w:t>
            </w:r>
          </w:p>
          <w:p w14:paraId="780468A2" w14:textId="77777777" w:rsidR="00076CA5" w:rsidRPr="000F41B0" w:rsidRDefault="00076CA5" w:rsidP="005021EE">
            <w:pPr>
              <w:tabs>
                <w:tab w:val="left" w:pos="7230"/>
              </w:tabs>
              <w:rPr>
                <w:szCs w:val="24"/>
              </w:rPr>
            </w:pPr>
          </w:p>
        </w:tc>
        <w:tc>
          <w:tcPr>
            <w:tcW w:w="4491" w:type="dxa"/>
          </w:tcPr>
          <w:p w14:paraId="5C2EFC65" w14:textId="77777777" w:rsidR="00076CA5" w:rsidRDefault="00076CA5" w:rsidP="005021EE">
            <w:pPr>
              <w:tabs>
                <w:tab w:val="left" w:pos="2892"/>
                <w:tab w:val="left" w:pos="7230"/>
              </w:tabs>
            </w:pPr>
          </w:p>
          <w:p w14:paraId="2FF2FE09" w14:textId="77777777" w:rsidR="006E7EE7" w:rsidRDefault="006E7EE7" w:rsidP="005021EE">
            <w:pPr>
              <w:tabs>
                <w:tab w:val="left" w:pos="2892"/>
                <w:tab w:val="left" w:pos="7230"/>
              </w:tabs>
            </w:pPr>
          </w:p>
          <w:p w14:paraId="11959E1D" w14:textId="77777777" w:rsidR="00076CA5" w:rsidRDefault="00076CA5" w:rsidP="005021EE">
            <w:pPr>
              <w:tabs>
                <w:tab w:val="left" w:pos="2892"/>
                <w:tab w:val="left" w:pos="7230"/>
              </w:tabs>
            </w:pPr>
          </w:p>
          <w:p w14:paraId="33DF75D5" w14:textId="77777777" w:rsidR="00076CA5" w:rsidRPr="000F41B0" w:rsidRDefault="00076CA5" w:rsidP="005021EE">
            <w:pPr>
              <w:tabs>
                <w:tab w:val="left" w:pos="2892"/>
                <w:tab w:val="left" w:pos="7230"/>
              </w:tabs>
              <w:rPr>
                <w:szCs w:val="24"/>
              </w:rPr>
            </w:pPr>
            <w:r>
              <w:t xml:space="preserve">  </w:t>
            </w:r>
            <w:r w:rsidRPr="00A9481F">
              <w:t>...............................................................</w:t>
            </w:r>
          </w:p>
        </w:tc>
      </w:tr>
      <w:tr w:rsidR="00076CA5" w:rsidRPr="000F41B0" w14:paraId="1AB38260" w14:textId="77777777" w:rsidTr="006E7EE7">
        <w:tc>
          <w:tcPr>
            <w:tcW w:w="4536" w:type="dxa"/>
          </w:tcPr>
          <w:p w14:paraId="1EB560A8" w14:textId="77777777" w:rsidR="00076CA5" w:rsidRPr="000F41B0" w:rsidRDefault="00076CA5" w:rsidP="005021EE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2F49C800" w14:textId="77777777" w:rsidR="00076CA5" w:rsidRDefault="00076CA5" w:rsidP="005021EE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3C8A7FF7" w14:textId="77777777" w:rsidR="00076CA5" w:rsidRPr="000F41B0" w:rsidRDefault="00076CA5" w:rsidP="005021EE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Ms Sandra Lambert AM</w:t>
            </w:r>
            <w:r w:rsidRPr="000F41B0">
              <w:rPr>
                <w:szCs w:val="24"/>
              </w:rPr>
              <w:tab/>
            </w:r>
          </w:p>
          <w:p w14:paraId="285C0A03" w14:textId="77777777" w:rsidR="00076CA5" w:rsidRPr="000F41B0" w:rsidRDefault="00076CA5" w:rsidP="005021EE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Member</w:t>
            </w:r>
          </w:p>
          <w:p w14:paraId="6DF8E26A" w14:textId="77777777" w:rsidR="00076CA5" w:rsidRPr="000F41B0" w:rsidRDefault="00076CA5" w:rsidP="005021EE">
            <w:pPr>
              <w:tabs>
                <w:tab w:val="left" w:pos="7230"/>
              </w:tabs>
              <w:rPr>
                <w:szCs w:val="24"/>
              </w:rPr>
            </w:pPr>
          </w:p>
        </w:tc>
        <w:tc>
          <w:tcPr>
            <w:tcW w:w="4491" w:type="dxa"/>
          </w:tcPr>
          <w:p w14:paraId="0012E7BC" w14:textId="77777777" w:rsidR="00076CA5" w:rsidRDefault="00076CA5" w:rsidP="005021EE">
            <w:pPr>
              <w:tabs>
                <w:tab w:val="left" w:pos="3059"/>
                <w:tab w:val="left" w:pos="7230"/>
              </w:tabs>
            </w:pPr>
          </w:p>
          <w:p w14:paraId="7050C813" w14:textId="77777777" w:rsidR="00076CA5" w:rsidRDefault="00076CA5" w:rsidP="005021EE">
            <w:pPr>
              <w:tabs>
                <w:tab w:val="left" w:pos="4026"/>
                <w:tab w:val="left" w:pos="7230"/>
              </w:tabs>
            </w:pPr>
          </w:p>
          <w:p w14:paraId="66186442" w14:textId="77777777" w:rsidR="00076CA5" w:rsidRDefault="00076CA5" w:rsidP="005021EE">
            <w:pPr>
              <w:tabs>
                <w:tab w:val="left" w:pos="4026"/>
                <w:tab w:val="left" w:pos="7230"/>
              </w:tabs>
            </w:pPr>
          </w:p>
          <w:p w14:paraId="50CB1A0F" w14:textId="77777777" w:rsidR="00076CA5" w:rsidRPr="000F41B0" w:rsidRDefault="00076CA5" w:rsidP="005021EE">
            <w:pPr>
              <w:tabs>
                <w:tab w:val="left" w:pos="3034"/>
                <w:tab w:val="left" w:pos="7230"/>
              </w:tabs>
              <w:rPr>
                <w:szCs w:val="24"/>
              </w:rPr>
            </w:pPr>
            <w:r>
              <w:t xml:space="preserve">  </w:t>
            </w:r>
            <w:r w:rsidRPr="00A9481F">
              <w:t>...............................................................</w:t>
            </w:r>
          </w:p>
        </w:tc>
      </w:tr>
    </w:tbl>
    <w:p w14:paraId="739D56F1" w14:textId="77777777" w:rsidR="008D5DF4" w:rsidRDefault="008D5DF4" w:rsidP="009E4C67">
      <w:pPr>
        <w:tabs>
          <w:tab w:val="left" w:pos="4253"/>
          <w:tab w:val="left" w:leader="dot" w:pos="8222"/>
        </w:tabs>
      </w:pPr>
    </w:p>
    <w:p w14:paraId="761D52FC" w14:textId="77777777" w:rsidR="00F778DA" w:rsidRDefault="00F778DA" w:rsidP="009E4C67">
      <w:pPr>
        <w:tabs>
          <w:tab w:val="left" w:pos="4253"/>
          <w:tab w:val="left" w:leader="dot" w:pos="8222"/>
        </w:tabs>
      </w:pPr>
    </w:p>
    <w:p w14:paraId="5E057C11" w14:textId="77777777" w:rsidR="00076CA5" w:rsidRDefault="00076CA5" w:rsidP="009E4C67">
      <w:pPr>
        <w:tabs>
          <w:tab w:val="left" w:pos="4253"/>
          <w:tab w:val="left" w:leader="dot" w:pos="8222"/>
        </w:tabs>
      </w:pPr>
    </w:p>
    <w:p w14:paraId="13756F05" w14:textId="1D89EED6" w:rsidR="009E4C67" w:rsidRPr="003B1A08" w:rsidRDefault="00282079" w:rsidP="00C7762A">
      <w:pPr>
        <w:tabs>
          <w:tab w:val="left" w:pos="4253"/>
          <w:tab w:val="left" w:leader="dot" w:pos="8222"/>
        </w:tabs>
        <w:jc w:val="right"/>
      </w:pPr>
      <w:r>
        <w:t xml:space="preserve">          </w:t>
      </w:r>
      <w:r w:rsidR="00A545B9">
        <w:t>November 2017</w:t>
      </w:r>
    </w:p>
    <w:p w14:paraId="1B30DA4D" w14:textId="77777777" w:rsidR="005210C7" w:rsidRPr="009E4C67" w:rsidRDefault="005210C7" w:rsidP="009E4C67"/>
    <w:sectPr w:rsidR="005210C7" w:rsidRPr="009E4C67" w:rsidSect="00DD73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D7F40" w14:textId="77777777" w:rsidR="00FD5D11" w:rsidRDefault="00FD5D11">
      <w:r>
        <w:separator/>
      </w:r>
    </w:p>
  </w:endnote>
  <w:endnote w:type="continuationSeparator" w:id="0">
    <w:p w14:paraId="097D6784" w14:textId="77777777" w:rsidR="00FD5D11" w:rsidRDefault="00FD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2414B" w14:textId="66C34616" w:rsidR="001B2A05" w:rsidRPr="0082327D" w:rsidRDefault="0082327D" w:rsidP="0082327D">
    <w:pPr>
      <w:pStyle w:val="Footer"/>
      <w:jc w:val="right"/>
      <w:rPr>
        <w:rFonts w:ascii="Calibri" w:hAnsi="Calibri"/>
      </w:rPr>
    </w:pPr>
    <w:r w:rsidRPr="00FD7D3F">
      <w:rPr>
        <w:rFonts w:ascii="Calibri" w:hAnsi="Calibri"/>
      </w:rPr>
      <w:fldChar w:fldCharType="begin"/>
    </w:r>
    <w:r w:rsidRPr="00FD7D3F">
      <w:rPr>
        <w:rFonts w:ascii="Calibri" w:hAnsi="Calibri"/>
      </w:rPr>
      <w:instrText xml:space="preserve"> PAGE   \* MERGEFORMAT </w:instrText>
    </w:r>
    <w:r w:rsidRPr="00FD7D3F">
      <w:rPr>
        <w:rFonts w:ascii="Calibri" w:hAnsi="Calibri"/>
      </w:rPr>
      <w:fldChar w:fldCharType="separate"/>
    </w:r>
    <w:r w:rsidR="00C95B39">
      <w:rPr>
        <w:rFonts w:ascii="Calibri" w:hAnsi="Calibri"/>
        <w:noProof/>
      </w:rPr>
      <w:t>1</w:t>
    </w:r>
    <w:r w:rsidRPr="00FD7D3F">
      <w:rPr>
        <w:rFonts w:ascii="Calibri" w:hAnsi="Calibri"/>
        <w:noProof/>
      </w:rPr>
      <w:fldChar w:fldCharType="end"/>
    </w:r>
  </w:p>
  <w:p w14:paraId="1FCF81BC" w14:textId="77777777" w:rsidR="001B2A05" w:rsidRDefault="001B2A05" w:rsidP="004455DD">
    <w:pPr>
      <w:pStyle w:val="Footer"/>
      <w:spacing w:before="0"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BC6C5" w14:textId="77777777" w:rsidR="001B2A05" w:rsidRDefault="00505F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2A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555D5D" w14:textId="77777777" w:rsidR="001B2A05" w:rsidRDefault="001B2A0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23650" w14:textId="4725CFC2" w:rsidR="001B2A05" w:rsidRPr="0082327D" w:rsidRDefault="0082327D" w:rsidP="0082327D">
    <w:pPr>
      <w:pStyle w:val="Footer"/>
      <w:jc w:val="right"/>
      <w:rPr>
        <w:rFonts w:ascii="Calibri" w:hAnsi="Calibri"/>
      </w:rPr>
    </w:pPr>
    <w:r w:rsidRPr="00FD7D3F">
      <w:rPr>
        <w:rFonts w:ascii="Calibri" w:hAnsi="Calibri"/>
      </w:rPr>
      <w:fldChar w:fldCharType="begin"/>
    </w:r>
    <w:r w:rsidRPr="00FD7D3F">
      <w:rPr>
        <w:rFonts w:ascii="Calibri" w:hAnsi="Calibri"/>
      </w:rPr>
      <w:instrText xml:space="preserve"> PAGE   \* MERGEFORMAT </w:instrText>
    </w:r>
    <w:r w:rsidRPr="00FD7D3F">
      <w:rPr>
        <w:rFonts w:ascii="Calibri" w:hAnsi="Calibri"/>
      </w:rPr>
      <w:fldChar w:fldCharType="separate"/>
    </w:r>
    <w:r w:rsidR="00C95B39">
      <w:rPr>
        <w:rFonts w:ascii="Calibri" w:hAnsi="Calibri"/>
        <w:noProof/>
      </w:rPr>
      <w:t>5</w:t>
    </w:r>
    <w:r w:rsidRPr="00FD7D3F">
      <w:rPr>
        <w:rFonts w:ascii="Calibri" w:hAnsi="Calibri"/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8CFAC" w14:textId="77777777" w:rsidR="001B2A05" w:rsidRDefault="001B2A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33CCA" w14:textId="77777777" w:rsidR="00FD5D11" w:rsidRDefault="00FD5D11">
      <w:r>
        <w:separator/>
      </w:r>
    </w:p>
  </w:footnote>
  <w:footnote w:type="continuationSeparator" w:id="0">
    <w:p w14:paraId="44B0F65A" w14:textId="77777777" w:rsidR="00FD5D11" w:rsidRDefault="00FD5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1509F" w14:textId="77777777" w:rsidR="001B2A05" w:rsidRDefault="001B2A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6D334" w14:textId="77777777" w:rsidR="001B2A05" w:rsidRDefault="001B2A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6F416" w14:textId="77777777" w:rsidR="001B2A05" w:rsidRDefault="001B2A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 w15:restartNumberingAfterBreak="0">
    <w:nsid w:val="047827F0"/>
    <w:multiLevelType w:val="hybridMultilevel"/>
    <w:tmpl w:val="DBA25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223346CA"/>
    <w:multiLevelType w:val="hybridMultilevel"/>
    <w:tmpl w:val="06706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B0E5C"/>
    <w:multiLevelType w:val="multilevel"/>
    <w:tmpl w:val="2FEAB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E83EE9"/>
    <w:multiLevelType w:val="multilevel"/>
    <w:tmpl w:val="7DB04756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B697BA5"/>
    <w:multiLevelType w:val="multilevel"/>
    <w:tmpl w:val="5C1A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1632F93"/>
    <w:multiLevelType w:val="hybridMultilevel"/>
    <w:tmpl w:val="BC0E1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91194"/>
    <w:multiLevelType w:val="hybridMultilevel"/>
    <w:tmpl w:val="0E96D4B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2423E"/>
    <w:multiLevelType w:val="hybridMultilevel"/>
    <w:tmpl w:val="EC96E8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E03E18"/>
    <w:multiLevelType w:val="multilevel"/>
    <w:tmpl w:val="2A4E3AAA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  <w:num w:numId="1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2D"/>
    <w:rsid w:val="000044FC"/>
    <w:rsid w:val="0002104E"/>
    <w:rsid w:val="00045FE9"/>
    <w:rsid w:val="00047903"/>
    <w:rsid w:val="0005314A"/>
    <w:rsid w:val="000560A5"/>
    <w:rsid w:val="00056F1E"/>
    <w:rsid w:val="00060E78"/>
    <w:rsid w:val="000625FB"/>
    <w:rsid w:val="00071170"/>
    <w:rsid w:val="000739D1"/>
    <w:rsid w:val="00076CA5"/>
    <w:rsid w:val="00090EB5"/>
    <w:rsid w:val="00093D63"/>
    <w:rsid w:val="000945B5"/>
    <w:rsid w:val="00094CC2"/>
    <w:rsid w:val="000A394D"/>
    <w:rsid w:val="000B4901"/>
    <w:rsid w:val="000B5975"/>
    <w:rsid w:val="000C0126"/>
    <w:rsid w:val="000C0FBA"/>
    <w:rsid w:val="000C255C"/>
    <w:rsid w:val="000D063D"/>
    <w:rsid w:val="000D1005"/>
    <w:rsid w:val="000D2E7C"/>
    <w:rsid w:val="000D71D2"/>
    <w:rsid w:val="000D7702"/>
    <w:rsid w:val="0010519E"/>
    <w:rsid w:val="0010590D"/>
    <w:rsid w:val="00107588"/>
    <w:rsid w:val="0011446D"/>
    <w:rsid w:val="00124251"/>
    <w:rsid w:val="00125E3B"/>
    <w:rsid w:val="0013640A"/>
    <w:rsid w:val="001423CA"/>
    <w:rsid w:val="00142570"/>
    <w:rsid w:val="00145287"/>
    <w:rsid w:val="0014617C"/>
    <w:rsid w:val="00153E47"/>
    <w:rsid w:val="0015430B"/>
    <w:rsid w:val="001554F4"/>
    <w:rsid w:val="0016506F"/>
    <w:rsid w:val="00166597"/>
    <w:rsid w:val="001722DB"/>
    <w:rsid w:val="001742F0"/>
    <w:rsid w:val="00175610"/>
    <w:rsid w:val="001916BC"/>
    <w:rsid w:val="001A2EC1"/>
    <w:rsid w:val="001A4707"/>
    <w:rsid w:val="001B1067"/>
    <w:rsid w:val="001B2A05"/>
    <w:rsid w:val="001C0C3B"/>
    <w:rsid w:val="001C3DBB"/>
    <w:rsid w:val="001D2916"/>
    <w:rsid w:val="001F6D77"/>
    <w:rsid w:val="0020190A"/>
    <w:rsid w:val="002055BF"/>
    <w:rsid w:val="0021099D"/>
    <w:rsid w:val="00223CB9"/>
    <w:rsid w:val="00235B3A"/>
    <w:rsid w:val="002366FC"/>
    <w:rsid w:val="00241DD2"/>
    <w:rsid w:val="00251993"/>
    <w:rsid w:val="00260EDD"/>
    <w:rsid w:val="002639F9"/>
    <w:rsid w:val="00267E35"/>
    <w:rsid w:val="002740B6"/>
    <w:rsid w:val="00282079"/>
    <w:rsid w:val="00287A77"/>
    <w:rsid w:val="00292964"/>
    <w:rsid w:val="00293EEE"/>
    <w:rsid w:val="002A134C"/>
    <w:rsid w:val="002A4ADA"/>
    <w:rsid w:val="002B0CAD"/>
    <w:rsid w:val="002B391E"/>
    <w:rsid w:val="002B7F06"/>
    <w:rsid w:val="002C0635"/>
    <w:rsid w:val="002C1258"/>
    <w:rsid w:val="002C15A4"/>
    <w:rsid w:val="002C2521"/>
    <w:rsid w:val="002C2963"/>
    <w:rsid w:val="002C3B13"/>
    <w:rsid w:val="002C4C5C"/>
    <w:rsid w:val="002C506A"/>
    <w:rsid w:val="002C590A"/>
    <w:rsid w:val="002C5A60"/>
    <w:rsid w:val="002D40AF"/>
    <w:rsid w:val="002D47D2"/>
    <w:rsid w:val="002E23E7"/>
    <w:rsid w:val="002E565F"/>
    <w:rsid w:val="002E64FC"/>
    <w:rsid w:val="003019CD"/>
    <w:rsid w:val="00301E14"/>
    <w:rsid w:val="0030340C"/>
    <w:rsid w:val="00322FBA"/>
    <w:rsid w:val="00330830"/>
    <w:rsid w:val="00332984"/>
    <w:rsid w:val="0033335A"/>
    <w:rsid w:val="00342534"/>
    <w:rsid w:val="00343339"/>
    <w:rsid w:val="00347A7E"/>
    <w:rsid w:val="003500BA"/>
    <w:rsid w:val="00354E39"/>
    <w:rsid w:val="0036438B"/>
    <w:rsid w:val="00365F2D"/>
    <w:rsid w:val="0037076F"/>
    <w:rsid w:val="00373D11"/>
    <w:rsid w:val="003765D8"/>
    <w:rsid w:val="00380FF3"/>
    <w:rsid w:val="00381CF4"/>
    <w:rsid w:val="00383A02"/>
    <w:rsid w:val="00386D1A"/>
    <w:rsid w:val="00395907"/>
    <w:rsid w:val="003B0300"/>
    <w:rsid w:val="003B1A08"/>
    <w:rsid w:val="003B1FF4"/>
    <w:rsid w:val="003C2146"/>
    <w:rsid w:val="003C3D49"/>
    <w:rsid w:val="003C4C41"/>
    <w:rsid w:val="003D2D25"/>
    <w:rsid w:val="003D6355"/>
    <w:rsid w:val="003E65A3"/>
    <w:rsid w:val="003F15E5"/>
    <w:rsid w:val="003F6771"/>
    <w:rsid w:val="004004FA"/>
    <w:rsid w:val="00433BF4"/>
    <w:rsid w:val="00433C57"/>
    <w:rsid w:val="00437715"/>
    <w:rsid w:val="00441AA7"/>
    <w:rsid w:val="00443E59"/>
    <w:rsid w:val="004455DD"/>
    <w:rsid w:val="0045334E"/>
    <w:rsid w:val="0046117C"/>
    <w:rsid w:val="00464859"/>
    <w:rsid w:val="00470F0C"/>
    <w:rsid w:val="00483DE6"/>
    <w:rsid w:val="0048412F"/>
    <w:rsid w:val="00487C2A"/>
    <w:rsid w:val="004A1A11"/>
    <w:rsid w:val="004B14B2"/>
    <w:rsid w:val="004B66BB"/>
    <w:rsid w:val="004B688C"/>
    <w:rsid w:val="004C2A9A"/>
    <w:rsid w:val="004C42DA"/>
    <w:rsid w:val="004C6DE2"/>
    <w:rsid w:val="004D1C27"/>
    <w:rsid w:val="004F5B87"/>
    <w:rsid w:val="004F77CB"/>
    <w:rsid w:val="00505FB4"/>
    <w:rsid w:val="00510ECA"/>
    <w:rsid w:val="00513C42"/>
    <w:rsid w:val="005152BC"/>
    <w:rsid w:val="00516063"/>
    <w:rsid w:val="00520023"/>
    <w:rsid w:val="005210C7"/>
    <w:rsid w:val="00521DCD"/>
    <w:rsid w:val="005238CB"/>
    <w:rsid w:val="005266AF"/>
    <w:rsid w:val="005306CC"/>
    <w:rsid w:val="00531C63"/>
    <w:rsid w:val="00535602"/>
    <w:rsid w:val="00537D80"/>
    <w:rsid w:val="00545DFF"/>
    <w:rsid w:val="00547466"/>
    <w:rsid w:val="005511DA"/>
    <w:rsid w:val="00557E3B"/>
    <w:rsid w:val="005708C7"/>
    <w:rsid w:val="00570E76"/>
    <w:rsid w:val="00575293"/>
    <w:rsid w:val="00575A6D"/>
    <w:rsid w:val="005917EF"/>
    <w:rsid w:val="0059383C"/>
    <w:rsid w:val="005A0205"/>
    <w:rsid w:val="005A139C"/>
    <w:rsid w:val="005A6144"/>
    <w:rsid w:val="005A6309"/>
    <w:rsid w:val="005A64DB"/>
    <w:rsid w:val="005B596D"/>
    <w:rsid w:val="005E66E2"/>
    <w:rsid w:val="005E7A3E"/>
    <w:rsid w:val="005F2A73"/>
    <w:rsid w:val="00601E75"/>
    <w:rsid w:val="0060437E"/>
    <w:rsid w:val="00604F0B"/>
    <w:rsid w:val="00614531"/>
    <w:rsid w:val="0061674A"/>
    <w:rsid w:val="00625249"/>
    <w:rsid w:val="00630B59"/>
    <w:rsid w:val="00634596"/>
    <w:rsid w:val="00645C2A"/>
    <w:rsid w:val="00652206"/>
    <w:rsid w:val="006537A6"/>
    <w:rsid w:val="00667D31"/>
    <w:rsid w:val="00674580"/>
    <w:rsid w:val="00674BD0"/>
    <w:rsid w:val="00677B60"/>
    <w:rsid w:val="00696C9B"/>
    <w:rsid w:val="00697229"/>
    <w:rsid w:val="006A034A"/>
    <w:rsid w:val="006A5149"/>
    <w:rsid w:val="006A5F59"/>
    <w:rsid w:val="006A7E03"/>
    <w:rsid w:val="006B1541"/>
    <w:rsid w:val="006B231A"/>
    <w:rsid w:val="006B2E82"/>
    <w:rsid w:val="006D6312"/>
    <w:rsid w:val="006E2F19"/>
    <w:rsid w:val="006E53A9"/>
    <w:rsid w:val="006E6165"/>
    <w:rsid w:val="006E7EE7"/>
    <w:rsid w:val="006F1565"/>
    <w:rsid w:val="0070081A"/>
    <w:rsid w:val="007022CA"/>
    <w:rsid w:val="007101E4"/>
    <w:rsid w:val="00712C57"/>
    <w:rsid w:val="00714C87"/>
    <w:rsid w:val="00722E3B"/>
    <w:rsid w:val="007232A0"/>
    <w:rsid w:val="00723FDC"/>
    <w:rsid w:val="00730C82"/>
    <w:rsid w:val="00730F49"/>
    <w:rsid w:val="00741CBF"/>
    <w:rsid w:val="00743573"/>
    <w:rsid w:val="007534BC"/>
    <w:rsid w:val="00764B49"/>
    <w:rsid w:val="00764C6F"/>
    <w:rsid w:val="00765FDA"/>
    <w:rsid w:val="00766086"/>
    <w:rsid w:val="00774F91"/>
    <w:rsid w:val="00790EE7"/>
    <w:rsid w:val="007A4970"/>
    <w:rsid w:val="007B1718"/>
    <w:rsid w:val="007B2573"/>
    <w:rsid w:val="007B32AA"/>
    <w:rsid w:val="007B444B"/>
    <w:rsid w:val="007D72F3"/>
    <w:rsid w:val="007E6AB7"/>
    <w:rsid w:val="007F3BC7"/>
    <w:rsid w:val="007F3DA2"/>
    <w:rsid w:val="00802958"/>
    <w:rsid w:val="00802ACA"/>
    <w:rsid w:val="0080694B"/>
    <w:rsid w:val="0081643F"/>
    <w:rsid w:val="0081661C"/>
    <w:rsid w:val="0082327D"/>
    <w:rsid w:val="008275FC"/>
    <w:rsid w:val="008616B2"/>
    <w:rsid w:val="00865598"/>
    <w:rsid w:val="00867A92"/>
    <w:rsid w:val="00870068"/>
    <w:rsid w:val="00875E4A"/>
    <w:rsid w:val="00877EB0"/>
    <w:rsid w:val="00882C73"/>
    <w:rsid w:val="00893E45"/>
    <w:rsid w:val="0089656C"/>
    <w:rsid w:val="00896DBC"/>
    <w:rsid w:val="008A209F"/>
    <w:rsid w:val="008B6DDC"/>
    <w:rsid w:val="008C2937"/>
    <w:rsid w:val="008C43AB"/>
    <w:rsid w:val="008C5BE2"/>
    <w:rsid w:val="008C7DEE"/>
    <w:rsid w:val="008D0A3D"/>
    <w:rsid w:val="008D5909"/>
    <w:rsid w:val="008D5DF4"/>
    <w:rsid w:val="008D6946"/>
    <w:rsid w:val="008E2921"/>
    <w:rsid w:val="008E2ACA"/>
    <w:rsid w:val="008E31D4"/>
    <w:rsid w:val="008F42AC"/>
    <w:rsid w:val="00900D4B"/>
    <w:rsid w:val="00903A7E"/>
    <w:rsid w:val="0091032A"/>
    <w:rsid w:val="00910D69"/>
    <w:rsid w:val="009118FF"/>
    <w:rsid w:val="00916374"/>
    <w:rsid w:val="009265E5"/>
    <w:rsid w:val="009336E0"/>
    <w:rsid w:val="00935CB9"/>
    <w:rsid w:val="00946CD2"/>
    <w:rsid w:val="00947D3B"/>
    <w:rsid w:val="00953A0F"/>
    <w:rsid w:val="00960FDB"/>
    <w:rsid w:val="00964233"/>
    <w:rsid w:val="00967041"/>
    <w:rsid w:val="009704C4"/>
    <w:rsid w:val="00970D74"/>
    <w:rsid w:val="009728F3"/>
    <w:rsid w:val="009734D5"/>
    <w:rsid w:val="009766A1"/>
    <w:rsid w:val="009859F7"/>
    <w:rsid w:val="00987B1A"/>
    <w:rsid w:val="009A108C"/>
    <w:rsid w:val="009B27C7"/>
    <w:rsid w:val="009B4B59"/>
    <w:rsid w:val="009D1A1F"/>
    <w:rsid w:val="009D34D7"/>
    <w:rsid w:val="009E06F0"/>
    <w:rsid w:val="009E33F2"/>
    <w:rsid w:val="009E34DA"/>
    <w:rsid w:val="009E4C67"/>
    <w:rsid w:val="009E5715"/>
    <w:rsid w:val="009E5D52"/>
    <w:rsid w:val="009F295B"/>
    <w:rsid w:val="00A02717"/>
    <w:rsid w:val="00A033EC"/>
    <w:rsid w:val="00A06C78"/>
    <w:rsid w:val="00A262D0"/>
    <w:rsid w:val="00A2716C"/>
    <w:rsid w:val="00A403CA"/>
    <w:rsid w:val="00A426FE"/>
    <w:rsid w:val="00A452F0"/>
    <w:rsid w:val="00A517A4"/>
    <w:rsid w:val="00A545B9"/>
    <w:rsid w:val="00A54FA5"/>
    <w:rsid w:val="00A7057A"/>
    <w:rsid w:val="00A72561"/>
    <w:rsid w:val="00A77396"/>
    <w:rsid w:val="00A822E2"/>
    <w:rsid w:val="00A874CC"/>
    <w:rsid w:val="00A90033"/>
    <w:rsid w:val="00A904F3"/>
    <w:rsid w:val="00AA7615"/>
    <w:rsid w:val="00AA7AE5"/>
    <w:rsid w:val="00AC12D1"/>
    <w:rsid w:val="00AC3B40"/>
    <w:rsid w:val="00AC5560"/>
    <w:rsid w:val="00AC729A"/>
    <w:rsid w:val="00AD3C98"/>
    <w:rsid w:val="00AD7BB4"/>
    <w:rsid w:val="00AD7DB2"/>
    <w:rsid w:val="00AE56D9"/>
    <w:rsid w:val="00AE689E"/>
    <w:rsid w:val="00AE77C3"/>
    <w:rsid w:val="00B00C69"/>
    <w:rsid w:val="00B05488"/>
    <w:rsid w:val="00B25138"/>
    <w:rsid w:val="00B2742E"/>
    <w:rsid w:val="00B40DE4"/>
    <w:rsid w:val="00B41C52"/>
    <w:rsid w:val="00B47E19"/>
    <w:rsid w:val="00B51DDB"/>
    <w:rsid w:val="00B543C2"/>
    <w:rsid w:val="00B5505E"/>
    <w:rsid w:val="00B634A3"/>
    <w:rsid w:val="00B7359A"/>
    <w:rsid w:val="00B74CF4"/>
    <w:rsid w:val="00B75783"/>
    <w:rsid w:val="00B8383B"/>
    <w:rsid w:val="00B849C9"/>
    <w:rsid w:val="00B91851"/>
    <w:rsid w:val="00B94E3B"/>
    <w:rsid w:val="00B960E0"/>
    <w:rsid w:val="00B97BF2"/>
    <w:rsid w:val="00BB07AE"/>
    <w:rsid w:val="00BB118E"/>
    <w:rsid w:val="00BB3DB3"/>
    <w:rsid w:val="00BB7044"/>
    <w:rsid w:val="00BC2ABD"/>
    <w:rsid w:val="00BC6AEE"/>
    <w:rsid w:val="00BD6EDE"/>
    <w:rsid w:val="00BE3052"/>
    <w:rsid w:val="00BE4B52"/>
    <w:rsid w:val="00BF1833"/>
    <w:rsid w:val="00C03DBD"/>
    <w:rsid w:val="00C05120"/>
    <w:rsid w:val="00C10C16"/>
    <w:rsid w:val="00C10E1A"/>
    <w:rsid w:val="00C11250"/>
    <w:rsid w:val="00C12504"/>
    <w:rsid w:val="00C15665"/>
    <w:rsid w:val="00C22742"/>
    <w:rsid w:val="00C23982"/>
    <w:rsid w:val="00C2538E"/>
    <w:rsid w:val="00C32F19"/>
    <w:rsid w:val="00C5322A"/>
    <w:rsid w:val="00C57524"/>
    <w:rsid w:val="00C619C4"/>
    <w:rsid w:val="00C76A53"/>
    <w:rsid w:val="00C7762A"/>
    <w:rsid w:val="00C77EAF"/>
    <w:rsid w:val="00C810A6"/>
    <w:rsid w:val="00C81FA1"/>
    <w:rsid w:val="00C82612"/>
    <w:rsid w:val="00C95B39"/>
    <w:rsid w:val="00CA682D"/>
    <w:rsid w:val="00CB0848"/>
    <w:rsid w:val="00CB08BF"/>
    <w:rsid w:val="00CB545A"/>
    <w:rsid w:val="00CB7D64"/>
    <w:rsid w:val="00CC036B"/>
    <w:rsid w:val="00CC0BA1"/>
    <w:rsid w:val="00CC4A40"/>
    <w:rsid w:val="00CC57FE"/>
    <w:rsid w:val="00CC5C68"/>
    <w:rsid w:val="00CC6AAD"/>
    <w:rsid w:val="00CE0DDE"/>
    <w:rsid w:val="00CE2B20"/>
    <w:rsid w:val="00CF2E46"/>
    <w:rsid w:val="00D003B9"/>
    <w:rsid w:val="00D02D9B"/>
    <w:rsid w:val="00D12844"/>
    <w:rsid w:val="00D24A6F"/>
    <w:rsid w:val="00D423A3"/>
    <w:rsid w:val="00D44865"/>
    <w:rsid w:val="00D452F4"/>
    <w:rsid w:val="00D56A6B"/>
    <w:rsid w:val="00D6128B"/>
    <w:rsid w:val="00D9699C"/>
    <w:rsid w:val="00DA1BE7"/>
    <w:rsid w:val="00DA3F08"/>
    <w:rsid w:val="00DA50F3"/>
    <w:rsid w:val="00DA5569"/>
    <w:rsid w:val="00DB35EF"/>
    <w:rsid w:val="00DC011D"/>
    <w:rsid w:val="00DC35CF"/>
    <w:rsid w:val="00DD17B5"/>
    <w:rsid w:val="00DD1F0B"/>
    <w:rsid w:val="00DD30D2"/>
    <w:rsid w:val="00DD73BE"/>
    <w:rsid w:val="00DE6EB1"/>
    <w:rsid w:val="00DF0AB8"/>
    <w:rsid w:val="00DF0D48"/>
    <w:rsid w:val="00DF2CA8"/>
    <w:rsid w:val="00DF6B06"/>
    <w:rsid w:val="00DF73B5"/>
    <w:rsid w:val="00E1008A"/>
    <w:rsid w:val="00E14F84"/>
    <w:rsid w:val="00E16907"/>
    <w:rsid w:val="00E32058"/>
    <w:rsid w:val="00E33098"/>
    <w:rsid w:val="00E34CA3"/>
    <w:rsid w:val="00E356CE"/>
    <w:rsid w:val="00E35C4B"/>
    <w:rsid w:val="00E36389"/>
    <w:rsid w:val="00E43087"/>
    <w:rsid w:val="00E546CC"/>
    <w:rsid w:val="00E56DDD"/>
    <w:rsid w:val="00E602AE"/>
    <w:rsid w:val="00E61D6D"/>
    <w:rsid w:val="00E7244F"/>
    <w:rsid w:val="00E76FE2"/>
    <w:rsid w:val="00E80AA9"/>
    <w:rsid w:val="00EA1A9E"/>
    <w:rsid w:val="00EA576E"/>
    <w:rsid w:val="00EA7871"/>
    <w:rsid w:val="00EB5EE4"/>
    <w:rsid w:val="00EE7426"/>
    <w:rsid w:val="00EF3FD7"/>
    <w:rsid w:val="00F215BD"/>
    <w:rsid w:val="00F328E5"/>
    <w:rsid w:val="00F35025"/>
    <w:rsid w:val="00F412B1"/>
    <w:rsid w:val="00F44CAD"/>
    <w:rsid w:val="00F4595C"/>
    <w:rsid w:val="00F47A99"/>
    <w:rsid w:val="00F50BB9"/>
    <w:rsid w:val="00F532B1"/>
    <w:rsid w:val="00F53DC7"/>
    <w:rsid w:val="00F610F8"/>
    <w:rsid w:val="00F6462E"/>
    <w:rsid w:val="00F64856"/>
    <w:rsid w:val="00F67DFE"/>
    <w:rsid w:val="00F71CC3"/>
    <w:rsid w:val="00F74FF0"/>
    <w:rsid w:val="00F75042"/>
    <w:rsid w:val="00F76B05"/>
    <w:rsid w:val="00F778DA"/>
    <w:rsid w:val="00F77F4B"/>
    <w:rsid w:val="00F875AC"/>
    <w:rsid w:val="00F87F74"/>
    <w:rsid w:val="00F902F2"/>
    <w:rsid w:val="00F90F96"/>
    <w:rsid w:val="00FA0455"/>
    <w:rsid w:val="00FA2484"/>
    <w:rsid w:val="00FA7ED7"/>
    <w:rsid w:val="00FB05AF"/>
    <w:rsid w:val="00FB27BD"/>
    <w:rsid w:val="00FB3B06"/>
    <w:rsid w:val="00FB4BFB"/>
    <w:rsid w:val="00FB7E3C"/>
    <w:rsid w:val="00FC1A46"/>
    <w:rsid w:val="00FC1AD2"/>
    <w:rsid w:val="00FC5C65"/>
    <w:rsid w:val="00FD37E1"/>
    <w:rsid w:val="00FD5D11"/>
    <w:rsid w:val="00FE11B6"/>
    <w:rsid w:val="00FE674B"/>
    <w:rsid w:val="00FE6C66"/>
    <w:rsid w:val="00FF0669"/>
    <w:rsid w:val="00FF40D4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EFB699"/>
  <w15:docId w15:val="{43D9AB54-A4F4-4BBD-96F9-4C9B6461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E31D4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8E31D4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3C3D49"/>
    <w:rPr>
      <w:rFonts w:ascii="Calibri" w:hAnsi="Calibri"/>
      <w:b/>
      <w:bCs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3C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C98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545DFF"/>
    <w:rPr>
      <w:rFonts w:ascii="Calibri" w:hAnsi="Calibri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A54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0A2CE-6F4D-4BB6-9D34-626929CD1A3A}"/>
</file>

<file path=customXml/itemProps2.xml><?xml version="1.0" encoding="utf-8"?>
<ds:datastoreItem xmlns:ds="http://schemas.openxmlformats.org/officeDocument/2006/customXml" ds:itemID="{864409F1-A316-49A4-BF89-57BB7D4D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4294965111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10 of 2013 Supreme Court</vt:lpstr>
    </vt:vector>
  </TitlesOfParts>
  <Company>InTACT</Company>
  <LinksUpToDate>false</LinksUpToDate>
  <CharactersWithSpaces>5862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10 of 2013 Supreme Court</dc:title>
  <dc:subject>Remuneration</dc:subject>
  <dc:creator>ACT Remuneration Tribunal</dc:creator>
  <cp:lastModifiedBy>Hogan, Andrew</cp:lastModifiedBy>
  <cp:revision>32</cp:revision>
  <cp:lastPrinted>2016-11-30T05:53:00Z</cp:lastPrinted>
  <dcterms:created xsi:type="dcterms:W3CDTF">2017-10-31T09:30:00Z</dcterms:created>
  <dcterms:modified xsi:type="dcterms:W3CDTF">2017-11-27T21:15:00Z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Description">
    <vt:lpwstr>Determination 10 of 2013 on ACT Supreme Court Judicial Positions</vt:lpwstr>
  </property>
  <property fmtid="{D5CDD505-2E9C-101B-9397-08002B2CF9AE}" pid="4" name="Function">
    <vt:lpwstr>Remuneration</vt:lpwstr>
  </property>
  <property fmtid="{D5CDD505-2E9C-101B-9397-08002B2CF9AE}" pid="5" name="docIndexRef">
    <vt:lpwstr>5ca5bc8b-127e-4150-8c1e-beaaf1c8f584</vt:lpwstr>
  </property>
  <property fmtid="{D5CDD505-2E9C-101B-9397-08002B2CF9AE}" pid="6" name="bjSaver">
    <vt:lpwstr>Dl6ApRSHYVgxX8T8bEan8VIA9SRCGo1U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8" name="bjDocumentLabelXML-0">
    <vt:lpwstr>nternal/label"&gt;&lt;element uid="a68a5297-83bb-4ba8-a7cd-4b62d6981a77" value="" /&gt;&lt;/sisl&gt;</vt:lpwstr>
  </property>
  <property fmtid="{D5CDD505-2E9C-101B-9397-08002B2CF9AE}" pid="9" name="bjDocumentSecurityLabel">
    <vt:lpwstr>UNCLASSIFIED - NO MARKING</vt:lpwstr>
  </property>
  <property fmtid="{D5CDD505-2E9C-101B-9397-08002B2CF9AE}" pid="10" name="bjDocumentLabelFieldCode">
    <vt:lpwstr>UNCLASSIFIED - NO MARKING</vt:lpwstr>
  </property>
  <property fmtid="{D5CDD505-2E9C-101B-9397-08002B2CF9AE}" pid="11" name="bjDocumentLabelFieldCodeHeaderFooter">
    <vt:lpwstr>UNCLASSIFIED - NO MARKING</vt:lpwstr>
  </property>
</Properties>
</file>