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6E7A" w14:textId="77777777" w:rsidR="00F11BCC" w:rsidRPr="003B1A08" w:rsidRDefault="000C1670" w:rsidP="00F11BCC">
      <w:pPr>
        <w:spacing w:before="120"/>
        <w:rPr>
          <w:rFonts w:cs="Arial"/>
          <w:sz w:val="28"/>
          <w:szCs w:val="28"/>
        </w:rPr>
      </w:pPr>
      <w:bookmarkStart w:id="0" w:name="_Toc44738651"/>
      <w:r>
        <w:rPr>
          <w:rFonts w:cs="Arial"/>
          <w:noProof/>
          <w:lang w:eastAsia="en-AU"/>
        </w:rPr>
        <w:drawing>
          <wp:inline distT="0" distB="0" distL="0" distR="0" wp14:anchorId="3E2325F0" wp14:editId="65733104">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sidRPr="003B1A08">
        <w:rPr>
          <w:rFonts w:cs="Arial"/>
          <w:sz w:val="28"/>
          <w:szCs w:val="28"/>
        </w:rPr>
        <w:t>Australian Capital Territory Remuneration Tribunal</w:t>
      </w:r>
    </w:p>
    <w:p w14:paraId="23132AD2" w14:textId="2A6B6FC2" w:rsidR="004B34E6" w:rsidRPr="00366D86" w:rsidRDefault="004B34E6" w:rsidP="004B34E6">
      <w:pPr>
        <w:pStyle w:val="Heading1"/>
        <w:rPr>
          <w:color w:val="000000" w:themeColor="text1"/>
        </w:rPr>
      </w:pPr>
      <w:r w:rsidRPr="006E7416">
        <w:rPr>
          <w:color w:val="000000" w:themeColor="text1"/>
        </w:rPr>
        <w:t xml:space="preserve">Determination </w:t>
      </w:r>
      <w:r w:rsidR="00225C49">
        <w:rPr>
          <w:color w:val="000000" w:themeColor="text1"/>
        </w:rPr>
        <w:t>2</w:t>
      </w:r>
      <w:r w:rsidR="0054199E" w:rsidRPr="006E7416">
        <w:rPr>
          <w:color w:val="000000" w:themeColor="text1"/>
        </w:rPr>
        <w:t xml:space="preserve"> </w:t>
      </w:r>
      <w:r w:rsidRPr="006E7416">
        <w:rPr>
          <w:color w:val="000000" w:themeColor="text1"/>
        </w:rPr>
        <w:t xml:space="preserve">of </w:t>
      </w:r>
      <w:r w:rsidR="006442AA">
        <w:rPr>
          <w:color w:val="000000" w:themeColor="text1"/>
        </w:rPr>
        <w:t>20</w:t>
      </w:r>
      <w:r w:rsidR="00B06BD8">
        <w:rPr>
          <w:color w:val="000000" w:themeColor="text1"/>
        </w:rPr>
        <w:t>2</w:t>
      </w:r>
      <w:r w:rsidR="0054199E">
        <w:rPr>
          <w:color w:val="000000" w:themeColor="text1"/>
        </w:rPr>
        <w:t>2</w:t>
      </w:r>
      <w:r w:rsidR="006442AA" w:rsidRPr="00366D86">
        <w:rPr>
          <w:color w:val="000000" w:themeColor="text1"/>
        </w:rPr>
        <w:t xml:space="preserve"> </w:t>
      </w:r>
    </w:p>
    <w:p w14:paraId="315E6E5E" w14:textId="77777777" w:rsidR="00F11BCC" w:rsidRPr="003B1A08" w:rsidRDefault="00F11BCC" w:rsidP="00F11BCC">
      <w:pPr>
        <w:pStyle w:val="Heading1"/>
      </w:pPr>
      <w:r>
        <w:t>Head of Service, Directors-General and Executives</w:t>
      </w:r>
    </w:p>
    <w:p w14:paraId="0EBCC8D8" w14:textId="77777777" w:rsidR="00F11BCC" w:rsidRPr="003B1A08" w:rsidRDefault="00F11BCC" w:rsidP="00F11BCC">
      <w:pPr>
        <w:pStyle w:val="madeunder"/>
        <w:spacing w:before="240" w:after="120"/>
      </w:pPr>
      <w:r w:rsidRPr="003B1A08">
        <w:t xml:space="preserve">made under the </w:t>
      </w:r>
    </w:p>
    <w:p w14:paraId="7B71BEE3" w14:textId="77777777" w:rsidR="00F11BCC" w:rsidRPr="003B1A08" w:rsidRDefault="00F11BCC" w:rsidP="00F11BC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55B5020D" w14:textId="209C97B2" w:rsidR="00F11BCC" w:rsidRPr="003B1A08" w:rsidRDefault="00F11BCC" w:rsidP="00F11BCC">
      <w:pPr>
        <w:pStyle w:val="Heading1"/>
      </w:pPr>
      <w:r w:rsidRPr="003B1A08">
        <w:t>AC</w:t>
      </w:r>
      <w:r>
        <w:t>C</w:t>
      </w:r>
      <w:r w:rsidRPr="003B1A08">
        <w:t>OMPANYING STATEMENT</w:t>
      </w:r>
      <w:r w:rsidR="007A78A8">
        <w:t xml:space="preserve">  </w:t>
      </w:r>
    </w:p>
    <w:p w14:paraId="1C1C82AB" w14:textId="77777777" w:rsidR="00F11BCC" w:rsidRPr="004D3741" w:rsidRDefault="00F11BCC" w:rsidP="004D3741">
      <w:pPr>
        <w:pStyle w:val="N-line3"/>
        <w:pBdr>
          <w:bottom w:val="none" w:sz="0" w:space="0" w:color="auto"/>
        </w:pBdr>
        <w:rPr>
          <w:sz w:val="16"/>
          <w:szCs w:val="16"/>
        </w:rPr>
      </w:pPr>
    </w:p>
    <w:p w14:paraId="0CCD9AB6" w14:textId="77777777" w:rsidR="00F11BCC" w:rsidRPr="004D3741" w:rsidRDefault="00F11BCC" w:rsidP="004D3741">
      <w:pPr>
        <w:pStyle w:val="N-line3"/>
        <w:pBdr>
          <w:top w:val="single" w:sz="12" w:space="1" w:color="auto"/>
          <w:bottom w:val="none" w:sz="0" w:space="0" w:color="auto"/>
        </w:pBdr>
        <w:rPr>
          <w:sz w:val="16"/>
          <w:szCs w:val="16"/>
        </w:rPr>
      </w:pPr>
    </w:p>
    <w:p w14:paraId="46B5019F" w14:textId="77777777" w:rsidR="007C66D9" w:rsidRPr="007C66D9" w:rsidRDefault="007C66D9" w:rsidP="00EA1D9F">
      <w:pPr>
        <w:spacing w:after="60"/>
        <w:rPr>
          <w:b/>
        </w:rPr>
      </w:pPr>
      <w:r>
        <w:rPr>
          <w:b/>
        </w:rPr>
        <w:t>Background</w:t>
      </w:r>
    </w:p>
    <w:p w14:paraId="290C11DF" w14:textId="3644379F" w:rsidR="00F11BCC" w:rsidRPr="009D2938" w:rsidRDefault="00F11BCC" w:rsidP="004D3741">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rsidR="00E102AE">
        <w:t xml:space="preserve">(the Act), </w:t>
      </w:r>
      <w:r w:rsidRPr="00E83359">
        <w:t xml:space="preserve">the Remuneration </w:t>
      </w:r>
      <w:r w:rsidRPr="009D2938">
        <w:rPr>
          <w:color w:val="000000" w:themeColor="text1"/>
        </w:rPr>
        <w:t>Tribunal (</w:t>
      </w:r>
      <w:r w:rsidR="00E102AE" w:rsidRPr="009D2938">
        <w:rPr>
          <w:color w:val="000000" w:themeColor="text1"/>
        </w:rPr>
        <w:t xml:space="preserve">the </w:t>
      </w:r>
      <w:r w:rsidRPr="009D2938">
        <w:rPr>
          <w:color w:val="000000" w:themeColor="text1"/>
        </w:rPr>
        <w:t xml:space="preserve">Tribunal) </w:t>
      </w:r>
      <w:r w:rsidR="00E102AE" w:rsidRPr="009D2938">
        <w:rPr>
          <w:color w:val="000000" w:themeColor="text1"/>
        </w:rPr>
        <w:t xml:space="preserve">is required to </w:t>
      </w:r>
      <w:r w:rsidRPr="009D2938">
        <w:rPr>
          <w:color w:val="000000" w:themeColor="text1"/>
        </w:rPr>
        <w:t xml:space="preserve">inquire into, and determine, the </w:t>
      </w:r>
      <w:r w:rsidR="00E102AE" w:rsidRPr="009D2938">
        <w:rPr>
          <w:color w:val="000000" w:themeColor="text1"/>
        </w:rPr>
        <w:t>remuneration</w:t>
      </w:r>
      <w:r w:rsidRPr="009D2938">
        <w:rPr>
          <w:color w:val="000000" w:themeColor="text1"/>
        </w:rPr>
        <w:t xml:space="preserve">, allowances and other entitlements for holders </w:t>
      </w:r>
      <w:r w:rsidR="00306A45" w:rsidRPr="009D2938">
        <w:rPr>
          <w:color w:val="000000" w:themeColor="text1"/>
        </w:rPr>
        <w:t>of</w:t>
      </w:r>
      <w:r w:rsidRPr="009D2938">
        <w:rPr>
          <w:color w:val="000000" w:themeColor="text1"/>
        </w:rPr>
        <w:t xml:space="preserve"> certain public offices.  This includes the </w:t>
      </w:r>
      <w:r w:rsidR="00C86137" w:rsidRPr="009D2938">
        <w:rPr>
          <w:color w:val="000000" w:themeColor="text1"/>
        </w:rPr>
        <w:t>H</w:t>
      </w:r>
      <w:r w:rsidRPr="009D2938">
        <w:rPr>
          <w:color w:val="000000" w:themeColor="text1"/>
        </w:rPr>
        <w:t xml:space="preserve">ead of </w:t>
      </w:r>
      <w:r w:rsidR="00C86137" w:rsidRPr="009D2938">
        <w:rPr>
          <w:color w:val="000000" w:themeColor="text1"/>
        </w:rPr>
        <w:t>S</w:t>
      </w:r>
      <w:r w:rsidRPr="009D2938">
        <w:rPr>
          <w:color w:val="000000" w:themeColor="text1"/>
        </w:rPr>
        <w:t xml:space="preserve">ervice, </w:t>
      </w:r>
      <w:r w:rsidR="006D3751">
        <w:rPr>
          <w:color w:val="000000" w:themeColor="text1"/>
        </w:rPr>
        <w:t>D</w:t>
      </w:r>
      <w:r w:rsidRPr="009D2938">
        <w:rPr>
          <w:color w:val="000000" w:themeColor="text1"/>
        </w:rPr>
        <w:t>irectors-</w:t>
      </w:r>
      <w:r w:rsidR="006D3751">
        <w:rPr>
          <w:color w:val="000000" w:themeColor="text1"/>
        </w:rPr>
        <w:t>G</w:t>
      </w:r>
      <w:r w:rsidRPr="009D2938">
        <w:rPr>
          <w:color w:val="000000" w:themeColor="text1"/>
        </w:rPr>
        <w:t xml:space="preserve">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5B7FF0DF" w14:textId="77777777" w:rsidR="00EA1D9F" w:rsidRPr="009D2938" w:rsidRDefault="00EA1D9F" w:rsidP="00EA1D9F">
      <w:pPr>
        <w:spacing w:before="120" w:after="60"/>
        <w:rPr>
          <w:color w:val="000000" w:themeColor="text1"/>
        </w:rPr>
      </w:pPr>
      <w:r w:rsidRPr="009D2938">
        <w:rPr>
          <w:b/>
          <w:color w:val="000000" w:themeColor="text1"/>
        </w:rPr>
        <w:t>Considerations</w:t>
      </w:r>
    </w:p>
    <w:p w14:paraId="6AED46CB" w14:textId="4563CC90" w:rsidR="007A1880" w:rsidRPr="00033953" w:rsidRDefault="007A1880" w:rsidP="001B7AD8">
      <w:pPr>
        <w:spacing w:after="120"/>
        <w:rPr>
          <w:szCs w:val="24"/>
        </w:rPr>
      </w:pPr>
      <w:r w:rsidRPr="001B7AD8">
        <w:rPr>
          <w:szCs w:val="24"/>
        </w:rPr>
        <w:t xml:space="preserve">In May 2022, the Tribunal commenced its Autumn Sitting to consider the remuneration, allowances and other entitlements of the following </w:t>
      </w:r>
      <w:r w:rsidRPr="00033953">
        <w:rPr>
          <w:szCs w:val="24"/>
        </w:rPr>
        <w:t xml:space="preserve">office-holders: </w:t>
      </w:r>
    </w:p>
    <w:p w14:paraId="2BC1C69E" w14:textId="77777777" w:rsidR="007A1880" w:rsidRPr="00677D07" w:rsidRDefault="007A1880" w:rsidP="007A1880">
      <w:pPr>
        <w:pStyle w:val="ListParagraph"/>
        <w:numPr>
          <w:ilvl w:val="0"/>
          <w:numId w:val="14"/>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
    <w:p w14:paraId="43ED7264" w14:textId="77777777" w:rsidR="007A1880" w:rsidRPr="00677D07" w:rsidRDefault="007A1880" w:rsidP="007A1880">
      <w:pPr>
        <w:pStyle w:val="ListParagraph"/>
        <w:numPr>
          <w:ilvl w:val="0"/>
          <w:numId w:val="14"/>
        </w:numPr>
        <w:spacing w:after="120"/>
        <w:rPr>
          <w:sz w:val="24"/>
          <w:szCs w:val="24"/>
        </w:rPr>
      </w:pPr>
      <w:r w:rsidRPr="00677D07">
        <w:rPr>
          <w:sz w:val="24"/>
          <w:szCs w:val="24"/>
        </w:rPr>
        <w:t>the Head of Service, Directors-General and ACT Public Service Executives;</w:t>
      </w:r>
      <w:r>
        <w:rPr>
          <w:sz w:val="24"/>
          <w:szCs w:val="24"/>
        </w:rPr>
        <w:t xml:space="preserve"> and</w:t>
      </w:r>
    </w:p>
    <w:p w14:paraId="074A3BC0" w14:textId="77777777" w:rsidR="007A1880" w:rsidRPr="00677D07" w:rsidRDefault="007A1880" w:rsidP="007A1880">
      <w:pPr>
        <w:pStyle w:val="ListParagraph"/>
        <w:numPr>
          <w:ilvl w:val="0"/>
          <w:numId w:val="14"/>
        </w:numPr>
        <w:spacing w:after="120"/>
        <w:rPr>
          <w:sz w:val="24"/>
          <w:szCs w:val="24"/>
        </w:rPr>
      </w:pPr>
      <w:r w:rsidRPr="00677D07">
        <w:rPr>
          <w:sz w:val="24"/>
          <w:szCs w:val="24"/>
        </w:rPr>
        <w:t>Full-time Statutory Office</w:t>
      </w:r>
      <w:r>
        <w:rPr>
          <w:sz w:val="24"/>
          <w:szCs w:val="24"/>
        </w:rPr>
        <w:t>-</w:t>
      </w:r>
      <w:r w:rsidRPr="00677D07">
        <w:rPr>
          <w:sz w:val="24"/>
          <w:szCs w:val="24"/>
        </w:rPr>
        <w:t xml:space="preserve">Holders,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45E2EAEC" w14:textId="7216AE98" w:rsidR="007A1880" w:rsidRPr="001C56AB" w:rsidRDefault="007A1880" w:rsidP="007A1880">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17</w:t>
      </w:r>
      <w:r w:rsidR="00680BB2">
        <w:rPr>
          <w:rFonts w:cs="Calibri"/>
        </w:rPr>
        <w:t> </w:t>
      </w:r>
      <w:r>
        <w:rPr>
          <w:rFonts w:cs="Calibri"/>
        </w:rPr>
        <w:t>March 2022.</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requesting submissions. </w:t>
      </w:r>
    </w:p>
    <w:p w14:paraId="2D5B4616" w14:textId="21806FC8" w:rsidR="007A1880" w:rsidRPr="00EB1F62" w:rsidRDefault="007A1880" w:rsidP="001B7AD8">
      <w:pPr>
        <w:spacing w:after="120"/>
        <w:rPr>
          <w:rFonts w:cs="Calibri"/>
        </w:rPr>
      </w:pPr>
      <w:r w:rsidRPr="001B7AD8">
        <w:rPr>
          <w:rFonts w:cs="Calibri"/>
        </w:rPr>
        <w:t>At its meeting in May 2022,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006D3751" w:rsidRPr="00EB1F62">
        <w:rPr>
          <w:rFonts w:cs="Calibri"/>
        </w:rPr>
        <w:t xml:space="preserve">a number of </w:t>
      </w:r>
      <w:r w:rsidRPr="00EB1F62">
        <w:rPr>
          <w:rFonts w:cs="Calibri"/>
        </w:rPr>
        <w:t xml:space="preserve">full-time public office-holders and departmental officials. </w:t>
      </w:r>
    </w:p>
    <w:p w14:paraId="219C987B" w14:textId="6A34C4B9" w:rsidR="007A1880" w:rsidRPr="001C56AB" w:rsidRDefault="00C24529" w:rsidP="007A1880">
      <w:pPr>
        <w:spacing w:after="120"/>
        <w:rPr>
          <w:rFonts w:cs="Calibri"/>
        </w:rPr>
      </w:pPr>
      <w:bookmarkStart w:id="1" w:name="_Hlk109216894"/>
      <w:r w:rsidRPr="001217EA">
        <w:t>The briefings provided to the Tribunal by ACT Treasury officials outlined the resilient</w:t>
      </w:r>
      <w:r w:rsidRPr="00355319">
        <w:t xml:space="preserve"> nature of the Territory’s economy. ACT Treasury reported that the Territory had transitioned out of </w:t>
      </w:r>
      <w:r w:rsidRPr="00355319">
        <w:lastRenderedPageBreak/>
        <w:t>the potential economic crisis brought on by the Covid health emergency, with the Territory now experiencing a tight labour market and wages growth.</w:t>
      </w:r>
      <w:bookmarkEnd w:id="1"/>
      <w:r w:rsidR="001217EA">
        <w:t xml:space="preserve"> </w:t>
      </w:r>
      <w:r w:rsidR="007A1880" w:rsidRPr="001C56AB">
        <w:rPr>
          <w:rFonts w:cs="Calibri"/>
        </w:rPr>
        <w:t>In its deliberations, the Tribunal gave considerable weight to community standards and expectations,</w:t>
      </w:r>
      <w:r w:rsidR="007A1880">
        <w:rPr>
          <w:rFonts w:cs="Calibri"/>
        </w:rPr>
        <w:t xml:space="preserve"> with particular reference to the COVID-19 economic recovery, national and local inflation reporting and wage price index reporting. </w:t>
      </w:r>
      <w:r w:rsidR="007A1880" w:rsidRPr="001C56AB">
        <w:rPr>
          <w:rFonts w:cs="Calibri"/>
        </w:rPr>
        <w:t xml:space="preserve"> </w:t>
      </w:r>
    </w:p>
    <w:p w14:paraId="0F925C09" w14:textId="6C6FE9B9" w:rsidR="007A1880" w:rsidRPr="001C56AB" w:rsidRDefault="007A1880" w:rsidP="007A1880">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allowances and other entitlements so that it can continue to attract and retain high calibre individuals to deliver high quality services to the ACT community. In this context, the Tribunal noted the wage policies and recent remuneration determinations by its Commonwealth and State/Territory counterparts.</w:t>
      </w:r>
    </w:p>
    <w:p w14:paraId="7CE18554" w14:textId="2613D2B8" w:rsidR="007A1880" w:rsidRDefault="007A1880" w:rsidP="007A1880">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the pay increases that were provided to the ACT Public Sector non-executive workforce during 2021 under the Enterprise Agreements. In addition, when considering pay increases for statutory office</w:t>
      </w:r>
      <w:r>
        <w:rPr>
          <w:rFonts w:cs="Calibri"/>
        </w:rPr>
        <w:t>-</w:t>
      </w:r>
      <w:r w:rsidRPr="001C56AB">
        <w:rPr>
          <w:rFonts w:cs="Calibri"/>
        </w:rPr>
        <w:t xml:space="preserve">holders, the Tribunal </w:t>
      </w:r>
      <w:r>
        <w:rPr>
          <w:rFonts w:cs="Calibri"/>
        </w:rPr>
        <w:t>noted</w:t>
      </w:r>
      <w:r w:rsidRPr="001C56AB">
        <w:rPr>
          <w:rFonts w:cs="Calibri"/>
        </w:rPr>
        <w:t xml:space="preserve"> the pay increases that were provided to executives in the ACT Public Service. </w:t>
      </w:r>
    </w:p>
    <w:p w14:paraId="72C4F354" w14:textId="6095B45A" w:rsidR="007A1880" w:rsidRPr="001C56AB" w:rsidRDefault="001B7AD8" w:rsidP="007A1880">
      <w:pPr>
        <w:spacing w:after="120"/>
        <w:rPr>
          <w:rFonts w:cs="Calibri"/>
        </w:rPr>
      </w:pPr>
      <w:r w:rsidRPr="00EB1F62">
        <w:t xml:space="preserve">In making this </w:t>
      </w:r>
      <w:r>
        <w:t>d</w:t>
      </w:r>
      <w:r w:rsidRPr="00EB1F62">
        <w:t>etermination, the Tribunal has had regard to the fact that the Government is currently negotiating enterprise agreements for employees covered by such agreements</w:t>
      </w:r>
      <w:r>
        <w:t>.</w:t>
      </w:r>
      <w:r w:rsidR="001217EA">
        <w:t xml:space="preserve"> </w:t>
      </w:r>
      <w:r w:rsidR="007A1880" w:rsidRPr="001C56AB">
        <w:rPr>
          <w:rFonts w:cs="Calibri"/>
        </w:rPr>
        <w:t>The Tribunal had regard to the 202</w:t>
      </w:r>
      <w:r w:rsidR="007A1880">
        <w:rPr>
          <w:rFonts w:cs="Calibri"/>
        </w:rPr>
        <w:t>1</w:t>
      </w:r>
      <w:r w:rsidR="004E631E">
        <w:rPr>
          <w:rFonts w:cs="Calibri"/>
        </w:rPr>
        <w:t>–</w:t>
      </w:r>
      <w:r w:rsidR="007A1880" w:rsidRPr="001C56AB">
        <w:rPr>
          <w:rFonts w:cs="Calibri"/>
        </w:rPr>
        <w:t>2</w:t>
      </w:r>
      <w:r w:rsidR="007A1880">
        <w:rPr>
          <w:rFonts w:cs="Calibri"/>
        </w:rPr>
        <w:t>2</w:t>
      </w:r>
      <w:r w:rsidR="007A1880" w:rsidRPr="001C56AB">
        <w:rPr>
          <w:rFonts w:cs="Calibri"/>
        </w:rPr>
        <w:t xml:space="preserve"> ACT Budget</w:t>
      </w:r>
      <w:r w:rsidR="00680BB2">
        <w:rPr>
          <w:rFonts w:cs="Calibri"/>
        </w:rPr>
        <w:t>,</w:t>
      </w:r>
      <w:r w:rsidR="007A1880" w:rsidRPr="001C56AB">
        <w:rPr>
          <w:rFonts w:cs="Calibri"/>
        </w:rPr>
        <w:t xml:space="preserve"> released in</w:t>
      </w:r>
      <w:r w:rsidR="007A1880">
        <w:rPr>
          <w:rFonts w:cs="Calibri"/>
        </w:rPr>
        <w:t xml:space="preserve"> October 2021</w:t>
      </w:r>
      <w:r w:rsidR="007A1880" w:rsidRPr="001C56AB">
        <w:rPr>
          <w:rFonts w:cs="Calibri"/>
        </w:rPr>
        <w:t xml:space="preserve"> by the Chief Minister</w:t>
      </w:r>
      <w:r w:rsidR="007A1880">
        <w:rPr>
          <w:rFonts w:cs="Calibri"/>
        </w:rPr>
        <w:t>,</w:t>
      </w:r>
      <w:r w:rsidR="007A1880" w:rsidRPr="001C56AB">
        <w:rPr>
          <w:rFonts w:cs="Calibri"/>
        </w:rPr>
        <w:t xml:space="preserve"> which predicted growth in 202</w:t>
      </w:r>
      <w:r w:rsidR="007A1880">
        <w:rPr>
          <w:rFonts w:cs="Calibri"/>
        </w:rPr>
        <w:t>2</w:t>
      </w:r>
      <w:r w:rsidR="004E631E">
        <w:rPr>
          <w:rFonts w:cs="Calibri"/>
        </w:rPr>
        <w:t>–</w:t>
      </w:r>
      <w:r w:rsidR="007A1880" w:rsidRPr="001C56AB">
        <w:rPr>
          <w:rFonts w:cs="Calibri"/>
        </w:rPr>
        <w:t>2</w:t>
      </w:r>
      <w:r w:rsidR="007A1880">
        <w:rPr>
          <w:rFonts w:cs="Calibri"/>
        </w:rPr>
        <w:t>3</w:t>
      </w:r>
      <w:r w:rsidR="007A1880" w:rsidRPr="001C56AB">
        <w:rPr>
          <w:rFonts w:cs="Calibri"/>
        </w:rPr>
        <w:t xml:space="preserve"> of </w:t>
      </w:r>
      <w:r w:rsidR="007A1880">
        <w:rPr>
          <w:rFonts w:cs="Calibri"/>
        </w:rPr>
        <w:t>2.0</w:t>
      </w:r>
      <w:r w:rsidR="007A1880" w:rsidRPr="001C56AB">
        <w:rPr>
          <w:rFonts w:cs="Calibri"/>
        </w:rPr>
        <w:t xml:space="preserve"> per cent in WPI and 1.</w:t>
      </w:r>
      <w:r w:rsidR="007A1880">
        <w:rPr>
          <w:rFonts w:cs="Calibri"/>
        </w:rPr>
        <w:t>7</w:t>
      </w:r>
      <w:r w:rsidR="007A1880" w:rsidRPr="001C56AB">
        <w:rPr>
          <w:rFonts w:cs="Calibri"/>
        </w:rPr>
        <w:t>5 per cent in CPI</w:t>
      </w:r>
      <w:r w:rsidR="007A1880">
        <w:rPr>
          <w:rFonts w:cs="Calibri"/>
        </w:rPr>
        <w:t>.</w:t>
      </w:r>
      <w:r w:rsidR="007A1880" w:rsidRPr="001C56AB">
        <w:rPr>
          <w:rStyle w:val="FootnoteReference"/>
          <w:rFonts w:cs="Calibri"/>
        </w:rPr>
        <w:footnoteReference w:id="1"/>
      </w:r>
      <w:r w:rsidR="007A1880">
        <w:rPr>
          <w:rFonts w:cs="Calibri"/>
        </w:rPr>
        <w:t xml:space="preserve"> </w:t>
      </w:r>
    </w:p>
    <w:p w14:paraId="08B7DBA0" w14:textId="40A77A5E" w:rsidR="007A1880" w:rsidRPr="001C56AB" w:rsidRDefault="007A1880" w:rsidP="007A1880">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March Quarter on 27 April 2022, </w:t>
      </w:r>
      <w:r w:rsidRPr="001C56AB">
        <w:rPr>
          <w:rFonts w:cs="Calibri"/>
          <w:color w:val="000000" w:themeColor="text1"/>
        </w:rPr>
        <w:t xml:space="preserve">which included an increase of </w:t>
      </w:r>
      <w:r>
        <w:rPr>
          <w:rFonts w:cs="Calibri"/>
          <w:color w:val="000000" w:themeColor="text1"/>
        </w:rPr>
        <w:t xml:space="preserve">2.2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March</w:t>
      </w:r>
      <w:r w:rsidRPr="001C56AB">
        <w:rPr>
          <w:rFonts w:cs="Calibri"/>
          <w:color w:val="000000" w:themeColor="text1"/>
        </w:rPr>
        <w:t xml:space="preserve"> quarter, with a </w:t>
      </w:r>
      <w:r>
        <w:rPr>
          <w:rFonts w:cs="Calibri"/>
          <w:color w:val="000000" w:themeColor="text1"/>
        </w:rPr>
        <w:t xml:space="preserve">5.4 </w:t>
      </w:r>
      <w:r w:rsidRPr="001C56AB">
        <w:rPr>
          <w:rFonts w:cs="Calibri"/>
          <w:color w:val="000000" w:themeColor="text1"/>
        </w:rPr>
        <w:t>per cent increase over the year (</w:t>
      </w:r>
      <w:r>
        <w:rPr>
          <w:rFonts w:cs="Calibri"/>
          <w:color w:val="000000" w:themeColor="text1"/>
        </w:rPr>
        <w:t xml:space="preserve">March </w:t>
      </w:r>
      <w:r w:rsidRPr="001C56AB">
        <w:rPr>
          <w:rFonts w:cs="Calibri"/>
          <w:color w:val="000000" w:themeColor="text1"/>
        </w:rPr>
        <w:t>202</w:t>
      </w:r>
      <w:r>
        <w:rPr>
          <w:rFonts w:cs="Calibri"/>
          <w:color w:val="000000" w:themeColor="text1"/>
        </w:rPr>
        <w:t>1</w:t>
      </w:r>
      <w:r w:rsidRPr="001C56AB">
        <w:rPr>
          <w:rFonts w:cs="Calibri"/>
          <w:color w:val="000000" w:themeColor="text1"/>
        </w:rPr>
        <w:t xml:space="preserve"> to </w:t>
      </w:r>
      <w:r>
        <w:rPr>
          <w:rFonts w:cs="Calibri"/>
          <w:color w:val="000000" w:themeColor="text1"/>
        </w:rPr>
        <w:t xml:space="preserve">March </w:t>
      </w:r>
      <w:r w:rsidRPr="001C56AB">
        <w:rPr>
          <w:rFonts w:cs="Calibri"/>
          <w:color w:val="000000" w:themeColor="text1"/>
        </w:rPr>
        <w:t>202</w:t>
      </w:r>
      <w:r>
        <w:rPr>
          <w:rFonts w:cs="Calibri"/>
          <w:color w:val="000000" w:themeColor="text1"/>
        </w:rPr>
        <w:t>2</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2"/>
      </w:r>
      <w:r w:rsidRPr="001C56AB">
        <w:rPr>
          <w:rFonts w:cs="Calibri"/>
          <w:color w:val="000000" w:themeColor="text1"/>
        </w:rPr>
        <w:t xml:space="preserve"> Notwithstanding this, the Tribunal notes the </w:t>
      </w:r>
      <w:r>
        <w:rPr>
          <w:rFonts w:cs="Calibri"/>
          <w:color w:val="000000" w:themeColor="text1"/>
        </w:rPr>
        <w:t xml:space="preserve">national </w:t>
      </w:r>
      <w:r w:rsidRPr="001C56AB">
        <w:rPr>
          <w:rFonts w:cs="Calibri"/>
          <w:color w:val="000000" w:themeColor="text1"/>
        </w:rPr>
        <w:t xml:space="preserve">trimmed mean inflation </w:t>
      </w:r>
      <w:r w:rsidR="00B504D7" w:rsidRPr="001C56AB">
        <w:rPr>
          <w:rFonts w:cs="Calibri"/>
          <w:color w:val="000000" w:themeColor="text1"/>
        </w:rPr>
        <w:t>was 3.7</w:t>
      </w:r>
      <w:r>
        <w:rPr>
          <w:rFonts w:cs="Calibri"/>
          <w:color w:val="000000" w:themeColor="text1"/>
        </w:rPr>
        <w:t xml:space="preserve">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3"/>
      </w:r>
    </w:p>
    <w:p w14:paraId="10713137" w14:textId="6C7F1168" w:rsidR="007A1880" w:rsidRPr="001C56AB" w:rsidRDefault="007A1880" w:rsidP="007A1880">
      <w:pPr>
        <w:spacing w:after="120"/>
        <w:rPr>
          <w:rFonts w:cs="Calibri"/>
        </w:rPr>
      </w:pPr>
      <w:r w:rsidRPr="001C56AB">
        <w:rPr>
          <w:rFonts w:cs="Calibri"/>
        </w:rPr>
        <w:t xml:space="preserve">The Tribunal considered the statements </w:t>
      </w:r>
      <w:r w:rsidR="006E7053">
        <w:rPr>
          <w:rFonts w:cs="Calibri"/>
        </w:rPr>
        <w:t xml:space="preserve">that </w:t>
      </w:r>
      <w:r w:rsidRPr="001C56AB">
        <w:rPr>
          <w:rFonts w:cs="Calibri"/>
        </w:rPr>
        <w:t xml:space="preserve">the Governor of the Reserve Bank of Australia </w:t>
      </w:r>
      <w:r w:rsidR="0081684F">
        <w:rPr>
          <w:rFonts w:cs="Calibri"/>
        </w:rPr>
        <w:t>made</w:t>
      </w:r>
      <w:r w:rsidR="0081684F" w:rsidRPr="001C56AB">
        <w:rPr>
          <w:rFonts w:cs="Calibri"/>
        </w:rPr>
        <w:t xml:space="preserve"> </w:t>
      </w:r>
      <w:r>
        <w:rPr>
          <w:rFonts w:cs="Calibri"/>
        </w:rPr>
        <w:t>on 3 May 2022</w:t>
      </w:r>
      <w:r w:rsidR="0081684F">
        <w:rPr>
          <w:rFonts w:cs="Calibri"/>
        </w:rPr>
        <w:t>,</w:t>
      </w:r>
      <w:r w:rsidRPr="001C56AB">
        <w:rPr>
          <w:rFonts w:cs="Calibri"/>
        </w:rPr>
        <w:t xml:space="preserve"> and noted his views concerning the</w:t>
      </w:r>
      <w:r>
        <w:rPr>
          <w:rFonts w:cs="Calibri"/>
        </w:rPr>
        <w:t xml:space="preserve"> declining consumer purchasing power from higher inflation</w:t>
      </w:r>
      <w:r w:rsidRPr="001C56AB">
        <w:rPr>
          <w:rFonts w:cs="Calibri"/>
        </w:rPr>
        <w:t xml:space="preserve">.  </w:t>
      </w:r>
      <w:r>
        <w:rPr>
          <w:rFonts w:cs="Calibri"/>
        </w:rPr>
        <w:t xml:space="preserve">In a tight labour market, an increasing number of firms are paying higher wages to attract and retain staff, especially in an environment where the cost of living is rising. </w:t>
      </w:r>
      <w:r w:rsidR="007B2440">
        <w:rPr>
          <w:rFonts w:cs="Calibri"/>
        </w:rPr>
        <w:t>The Tribunal also continued to be aware of the future compounding effect of not providing an increase to remuneration and</w:t>
      </w:r>
      <w:r w:rsidR="00EB1F62">
        <w:rPr>
          <w:rFonts w:cs="Calibri"/>
        </w:rPr>
        <w:t xml:space="preserve"> agreed</w:t>
      </w:r>
      <w:r w:rsidR="007B2440">
        <w:rPr>
          <w:rFonts w:cs="Calibri"/>
        </w:rPr>
        <w:t xml:space="preserve"> this should be avoided where possible.</w:t>
      </w:r>
    </w:p>
    <w:p w14:paraId="786288EA" w14:textId="706F71BC" w:rsidR="00EA1D9F" w:rsidRDefault="00E70236">
      <w:pPr>
        <w:rPr>
          <w:b/>
          <w:color w:val="000000" w:themeColor="text1"/>
        </w:rPr>
      </w:pPr>
      <w:bookmarkStart w:id="2" w:name="_Hlk109216631"/>
      <w:r>
        <w:rPr>
          <w:color w:val="000000"/>
        </w:rPr>
        <w:t xml:space="preserve">In its 15 June 2022 decision of the Annual Wage Review 2021-22, the Fair Work Commission found that the most significant changes since its previous Review were the sharp rise in the cost of living and the strengthening of the labour market. </w:t>
      </w:r>
      <w:r>
        <w:rPr>
          <w:color w:val="242424"/>
        </w:rPr>
        <w:t>The Fair Work Commission increased the National Minimum Wage by $40 per week (which amounted to an increase of 5.2%). The Decision also increased minimum award rates by 4.6%, with a $40 per week minimum increase applying.</w:t>
      </w:r>
      <w:bookmarkEnd w:id="2"/>
      <w:r w:rsidR="00EA1D9F">
        <w:rPr>
          <w:b/>
          <w:color w:val="000000" w:themeColor="text1"/>
        </w:rPr>
        <w:br w:type="page"/>
      </w:r>
    </w:p>
    <w:p w14:paraId="318E58A4" w14:textId="531C1BC7" w:rsidR="00EA1D9F" w:rsidRPr="009D2938" w:rsidRDefault="00EA1D9F" w:rsidP="00EA1D9F">
      <w:pPr>
        <w:spacing w:before="120" w:after="60"/>
        <w:rPr>
          <w:b/>
          <w:color w:val="000000" w:themeColor="text1"/>
        </w:rPr>
      </w:pPr>
      <w:r w:rsidRPr="009D2938">
        <w:rPr>
          <w:b/>
          <w:color w:val="000000" w:themeColor="text1"/>
        </w:rPr>
        <w:lastRenderedPageBreak/>
        <w:t>Decision</w:t>
      </w:r>
    </w:p>
    <w:p w14:paraId="0032F367" w14:textId="61CBB9FE" w:rsidR="007A1880" w:rsidRDefault="007A1880" w:rsidP="007A1880">
      <w:pPr>
        <w:spacing w:after="120"/>
      </w:pPr>
      <w:bookmarkStart w:id="3" w:name="_Hlk97552719"/>
      <w:r>
        <w:t xml:space="preserve">The Tribunal acknowledges that there continues to be uncertainty due to the ongoing </w:t>
      </w:r>
      <w:r w:rsidR="00A55710">
        <w:t xml:space="preserve">and accelerating </w:t>
      </w:r>
      <w:r>
        <w:t xml:space="preserve">transmission of </w:t>
      </w:r>
      <w:r w:rsidRPr="00B21FF7">
        <w:t>COVID-19</w:t>
      </w:r>
      <w:r>
        <w:t xml:space="preserve">. </w:t>
      </w:r>
      <w:r w:rsidR="004D2BBC">
        <w:t>However</w:t>
      </w:r>
      <w:r w:rsidR="006E7053">
        <w:t>, h</w:t>
      </w:r>
      <w:r>
        <w:t>aving regard to the prevailing economic circumstances</w:t>
      </w:r>
      <w:r w:rsidR="0016790D">
        <w:t>,</w:t>
      </w:r>
      <w:r>
        <w:t xml:space="preserve"> the Tribunal believes that it would be prudent </w:t>
      </w:r>
      <w:r w:rsidR="000B5250">
        <w:t xml:space="preserve">to </w:t>
      </w:r>
      <w:r w:rsidR="0054046D">
        <w:t>increase</w:t>
      </w:r>
      <w:r>
        <w:t xml:space="preserve"> the remuneration of the office-</w:t>
      </w:r>
      <w:r w:rsidRPr="00677D07">
        <w:rPr>
          <w:lang w:val="x-none"/>
        </w:rPr>
        <w:t xml:space="preserve">holders </w:t>
      </w:r>
      <w:r w:rsidRPr="00677D07">
        <w:t>covered by this Determination</w:t>
      </w:r>
      <w:r>
        <w:t>.</w:t>
      </w:r>
    </w:p>
    <w:p w14:paraId="32209BC8" w14:textId="3975E93F" w:rsidR="007A1880" w:rsidRPr="005C4204" w:rsidRDefault="007A1880" w:rsidP="007A1880">
      <w:pPr>
        <w:spacing w:after="120"/>
        <w:rPr>
          <w:color w:val="000000" w:themeColor="text1"/>
        </w:rPr>
      </w:pPr>
      <w:r>
        <w:rPr>
          <w:color w:val="000000" w:themeColor="text1"/>
        </w:rPr>
        <w:t>For</w:t>
      </w:r>
      <w:r w:rsidRPr="005C4204">
        <w:rPr>
          <w:color w:val="000000" w:themeColor="text1"/>
        </w:rPr>
        <w:t xml:space="preserve"> the reasons outlined above, the Tribunal has decided to provide an increase of </w:t>
      </w:r>
      <w:r w:rsidR="00664751">
        <w:rPr>
          <w:color w:val="000000" w:themeColor="text1"/>
        </w:rPr>
        <w:t>3.25</w:t>
      </w:r>
      <w:r>
        <w:rPr>
          <w:color w:val="000000" w:themeColor="text1"/>
        </w:rPr>
        <w:t xml:space="preserve"> </w:t>
      </w:r>
      <w:r w:rsidRPr="005C4204">
        <w:rPr>
          <w:color w:val="000000" w:themeColor="text1"/>
        </w:rPr>
        <w:t xml:space="preserve">per cent to the </w:t>
      </w:r>
      <w:r w:rsidRPr="005C4204">
        <w:rPr>
          <w:color w:val="000000" w:themeColor="text1"/>
          <w:lang w:val="x-none"/>
        </w:rPr>
        <w:t xml:space="preserve">remuneration of </w:t>
      </w:r>
      <w:r>
        <w:rPr>
          <w:color w:val="000000" w:themeColor="text1"/>
        </w:rPr>
        <w:t>office-</w:t>
      </w:r>
      <w:r w:rsidRPr="005C4204">
        <w:rPr>
          <w:color w:val="000000" w:themeColor="text1"/>
          <w:lang w:val="x-none"/>
        </w:rPr>
        <w:t xml:space="preserve">holders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The increase is taken to have commenced on 1 July 202</w:t>
      </w:r>
      <w:r>
        <w:rPr>
          <w:color w:val="000000" w:themeColor="text1"/>
        </w:rPr>
        <w:t>2</w:t>
      </w:r>
      <w:r w:rsidRPr="005C4204">
        <w:rPr>
          <w:color w:val="000000" w:themeColor="text1"/>
        </w:rPr>
        <w:t>.</w:t>
      </w:r>
      <w:r w:rsidRPr="005C4204">
        <w:rPr>
          <w:color w:val="000000" w:themeColor="text1"/>
          <w:lang w:val="x-none"/>
        </w:rPr>
        <w:t xml:space="preserve"> </w:t>
      </w:r>
    </w:p>
    <w:bookmarkEnd w:id="3"/>
    <w:p w14:paraId="777D9F15" w14:textId="0145938B" w:rsidR="00E07F02" w:rsidRPr="006E7416" w:rsidRDefault="00E07F02" w:rsidP="00EA1D9F">
      <w:pPr>
        <w:spacing w:after="120"/>
        <w:rPr>
          <w:iCs/>
          <w:color w:val="000000" w:themeColor="text1"/>
        </w:rPr>
      </w:pPr>
    </w:p>
    <w:p w14:paraId="721C584E" w14:textId="01829DF2" w:rsidR="007D54E4" w:rsidRPr="006E7416" w:rsidRDefault="00664751" w:rsidP="007D54E4">
      <w:pPr>
        <w:tabs>
          <w:tab w:val="left" w:pos="4253"/>
          <w:tab w:val="left" w:leader="dot" w:pos="8222"/>
        </w:tabs>
        <w:jc w:val="right"/>
        <w:rPr>
          <w:color w:val="000000" w:themeColor="text1"/>
        </w:rPr>
      </w:pPr>
      <w:r>
        <w:rPr>
          <w:color w:val="000000" w:themeColor="text1"/>
        </w:rPr>
        <w:t>July</w:t>
      </w:r>
      <w:r w:rsidR="007A1880" w:rsidRPr="006E7416">
        <w:rPr>
          <w:color w:val="000000" w:themeColor="text1"/>
        </w:rPr>
        <w:t xml:space="preserve"> </w:t>
      </w:r>
      <w:r w:rsidR="0054199E" w:rsidRPr="006E7416">
        <w:rPr>
          <w:color w:val="000000" w:themeColor="text1"/>
        </w:rPr>
        <w:t>2022</w:t>
      </w:r>
    </w:p>
    <w:p w14:paraId="11D04A9A" w14:textId="77777777" w:rsidR="00F11BCC" w:rsidRPr="003B1A08" w:rsidRDefault="00F11BCC" w:rsidP="00F11BCC">
      <w:pPr>
        <w:spacing w:before="120"/>
        <w:rPr>
          <w:rFonts w:cs="Arial"/>
        </w:rPr>
        <w:sectPr w:rsidR="00F11BCC" w:rsidRPr="003B1A08" w:rsidSect="00196EA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26"/>
        </w:sectPr>
      </w:pPr>
    </w:p>
    <w:p w14:paraId="7ECAA200" w14:textId="77777777" w:rsidR="00F11BCC" w:rsidRPr="003B1A08" w:rsidRDefault="000C1670" w:rsidP="00F11BCC">
      <w:pPr>
        <w:spacing w:before="120"/>
        <w:rPr>
          <w:rFonts w:cs="Arial"/>
          <w:sz w:val="28"/>
          <w:szCs w:val="28"/>
        </w:rPr>
      </w:pPr>
      <w:r>
        <w:rPr>
          <w:rFonts w:cs="Arial"/>
          <w:noProof/>
          <w:lang w:eastAsia="en-AU"/>
        </w:rPr>
        <w:lastRenderedPageBreak/>
        <w:drawing>
          <wp:inline distT="0" distB="0" distL="0" distR="0" wp14:anchorId="0F2C5593" wp14:editId="32DBAA31">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Pr>
          <w:rFonts w:cs="Arial"/>
          <w:noProof/>
          <w:sz w:val="28"/>
          <w:szCs w:val="28"/>
          <w:lang w:eastAsia="en-AU"/>
        </w:rPr>
        <w:tab/>
        <w:t xml:space="preserve">    </w:t>
      </w:r>
      <w:r w:rsidR="00F11BCC" w:rsidRPr="003B1A08">
        <w:rPr>
          <w:rFonts w:cs="Arial"/>
          <w:sz w:val="28"/>
          <w:szCs w:val="28"/>
        </w:rPr>
        <w:t>Australian Capital Territory Remuneration Tribunal</w:t>
      </w:r>
    </w:p>
    <w:p w14:paraId="3EB5D2B6" w14:textId="7EFD8568" w:rsidR="003665E3" w:rsidRPr="006E7416" w:rsidRDefault="003665E3" w:rsidP="00F00DFB">
      <w:pPr>
        <w:pStyle w:val="Heading1"/>
        <w:spacing w:before="120"/>
        <w:rPr>
          <w:color w:val="000000" w:themeColor="text1"/>
        </w:rPr>
      </w:pPr>
      <w:r w:rsidRPr="006E7416">
        <w:rPr>
          <w:color w:val="000000" w:themeColor="text1"/>
        </w:rPr>
        <w:t xml:space="preserve">Determination </w:t>
      </w:r>
      <w:r w:rsidR="00664751">
        <w:rPr>
          <w:color w:val="000000" w:themeColor="text1"/>
        </w:rPr>
        <w:t>2</w:t>
      </w:r>
      <w:r w:rsidRPr="006E7416">
        <w:rPr>
          <w:color w:val="000000" w:themeColor="text1"/>
        </w:rPr>
        <w:t xml:space="preserve"> of </w:t>
      </w:r>
      <w:r w:rsidR="006442AA" w:rsidRPr="006E7416">
        <w:rPr>
          <w:color w:val="000000" w:themeColor="text1"/>
        </w:rPr>
        <w:t>202</w:t>
      </w:r>
      <w:r w:rsidR="0054199E" w:rsidRPr="006E7416">
        <w:rPr>
          <w:color w:val="000000" w:themeColor="text1"/>
        </w:rPr>
        <w:t>2</w:t>
      </w:r>
    </w:p>
    <w:p w14:paraId="60615B91" w14:textId="77777777" w:rsidR="003665E3" w:rsidRPr="003B1A08" w:rsidRDefault="003665E3" w:rsidP="00F00DFB">
      <w:pPr>
        <w:pStyle w:val="Heading1"/>
        <w:spacing w:before="120"/>
      </w:pPr>
      <w:r>
        <w:t>Head of Service, Directors-General and Executives</w:t>
      </w:r>
    </w:p>
    <w:p w14:paraId="1202C682" w14:textId="77777777" w:rsidR="00F11BCC" w:rsidRPr="003B1A08" w:rsidRDefault="00F11BCC" w:rsidP="00F00DFB">
      <w:pPr>
        <w:pStyle w:val="madeunder"/>
        <w:spacing w:before="120" w:after="120"/>
      </w:pPr>
      <w:r w:rsidRPr="003B1A08">
        <w:t xml:space="preserve">made under the </w:t>
      </w:r>
    </w:p>
    <w:p w14:paraId="2A8E8E75" w14:textId="5A4D8389" w:rsidR="00F11BCC" w:rsidRPr="003B1A08" w:rsidRDefault="00F11BCC" w:rsidP="00F00DFB">
      <w:pPr>
        <w:pStyle w:val="CoverActName"/>
        <w:spacing w:after="120"/>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39FBDBDF" w14:textId="77777777" w:rsidR="00F11BCC" w:rsidRPr="003B469E" w:rsidRDefault="00F11BCC" w:rsidP="00F11BCC">
      <w:pPr>
        <w:pStyle w:val="N-line3"/>
        <w:pBdr>
          <w:top w:val="single" w:sz="12" w:space="1" w:color="auto"/>
          <w:bottom w:val="none" w:sz="0" w:space="0" w:color="auto"/>
        </w:pBdr>
        <w:rPr>
          <w:sz w:val="12"/>
          <w:szCs w:val="12"/>
        </w:rPr>
      </w:pPr>
    </w:p>
    <w:p w14:paraId="0E2ECACA" w14:textId="77777777" w:rsidR="00F11BCC" w:rsidRPr="00366D86" w:rsidRDefault="00F11BCC" w:rsidP="00216A13">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34265384" w14:textId="3B172A77" w:rsidR="00F11BCC" w:rsidRPr="006E7416" w:rsidRDefault="00F11BCC" w:rsidP="00F11BCC">
      <w:pPr>
        <w:numPr>
          <w:ilvl w:val="1"/>
          <w:numId w:val="1"/>
        </w:numPr>
        <w:tabs>
          <w:tab w:val="clear" w:pos="720"/>
        </w:tabs>
        <w:spacing w:before="80" w:after="60"/>
        <w:ind w:left="709" w:hanging="709"/>
        <w:rPr>
          <w:color w:val="000000" w:themeColor="text1"/>
          <w:szCs w:val="24"/>
        </w:rPr>
      </w:pPr>
      <w:r w:rsidRPr="00366D86">
        <w:rPr>
          <w:color w:val="000000" w:themeColor="text1"/>
          <w:szCs w:val="24"/>
        </w:rPr>
        <w:t xml:space="preserve">This </w:t>
      </w:r>
      <w:r w:rsidRPr="006E7416">
        <w:rPr>
          <w:color w:val="000000" w:themeColor="text1"/>
          <w:szCs w:val="24"/>
        </w:rPr>
        <w:t xml:space="preserve">instrument </w:t>
      </w:r>
      <w:r w:rsidR="0054199E" w:rsidRPr="006E7416">
        <w:rPr>
          <w:color w:val="000000" w:themeColor="text1"/>
          <w:szCs w:val="24"/>
        </w:rPr>
        <w:t xml:space="preserve">is taken to have </w:t>
      </w:r>
      <w:r w:rsidRPr="006E7416">
        <w:rPr>
          <w:color w:val="000000" w:themeColor="text1"/>
          <w:szCs w:val="24"/>
        </w:rPr>
        <w:t>commence</w:t>
      </w:r>
      <w:r w:rsidR="00E07F02" w:rsidRPr="006E7416">
        <w:rPr>
          <w:color w:val="000000" w:themeColor="text1"/>
          <w:szCs w:val="24"/>
        </w:rPr>
        <w:t>d</w:t>
      </w:r>
      <w:r w:rsidRPr="006E7416">
        <w:rPr>
          <w:color w:val="000000" w:themeColor="text1"/>
          <w:szCs w:val="24"/>
        </w:rPr>
        <w:t xml:space="preserve"> on </w:t>
      </w:r>
      <w:r w:rsidR="007A1880">
        <w:rPr>
          <w:color w:val="000000" w:themeColor="text1"/>
        </w:rPr>
        <w:t>1 July 2022</w:t>
      </w:r>
      <w:r w:rsidRPr="006E7416">
        <w:rPr>
          <w:color w:val="000000" w:themeColor="text1"/>
          <w:szCs w:val="24"/>
        </w:rPr>
        <w:t>.</w:t>
      </w:r>
    </w:p>
    <w:p w14:paraId="3D5EC845" w14:textId="77777777" w:rsidR="00F11BCC" w:rsidRPr="00366D86" w:rsidRDefault="00F11BCC" w:rsidP="00216A13">
      <w:pPr>
        <w:pStyle w:val="Heading3"/>
        <w:tabs>
          <w:tab w:val="clear" w:pos="720"/>
        </w:tabs>
        <w:spacing w:before="120"/>
        <w:ind w:left="709"/>
        <w:rPr>
          <w:color w:val="000000" w:themeColor="text1"/>
        </w:rPr>
      </w:pPr>
      <w:r w:rsidRPr="00366D86">
        <w:rPr>
          <w:color w:val="000000" w:themeColor="text1"/>
        </w:rPr>
        <w:t>Remuneration</w:t>
      </w:r>
    </w:p>
    <w:p w14:paraId="7835C652" w14:textId="6EF9D8DB" w:rsidR="00F11BCC" w:rsidRPr="00366D86" w:rsidRDefault="00EA22C2" w:rsidP="00C019FF">
      <w:pPr>
        <w:pStyle w:val="ListParagraph"/>
        <w:numPr>
          <w:ilvl w:val="1"/>
          <w:numId w:val="1"/>
        </w:numPr>
        <w:rPr>
          <w:rFonts w:eastAsia="Times New Roman"/>
          <w:color w:val="000000" w:themeColor="text1"/>
          <w:sz w:val="24"/>
          <w:szCs w:val="20"/>
        </w:rPr>
      </w:pPr>
      <w:r w:rsidRPr="00366D86">
        <w:rPr>
          <w:rFonts w:eastAsia="Times New Roman"/>
          <w:color w:val="000000" w:themeColor="text1"/>
          <w:sz w:val="24"/>
          <w:szCs w:val="20"/>
        </w:rPr>
        <w:t xml:space="preserve">The following table sets out the full-time base </w:t>
      </w:r>
      <w:r w:rsidR="00C55E3B" w:rsidRPr="00366D86">
        <w:rPr>
          <w:rFonts w:eastAsia="Times New Roman"/>
          <w:color w:val="000000" w:themeColor="text1"/>
          <w:sz w:val="24"/>
          <w:szCs w:val="20"/>
        </w:rPr>
        <w:t>remuneration</w:t>
      </w:r>
      <w:r w:rsidR="00964983" w:rsidRPr="00366D86">
        <w:rPr>
          <w:rFonts w:eastAsia="Times New Roman"/>
          <w:color w:val="000000" w:themeColor="text1"/>
          <w:sz w:val="24"/>
          <w:szCs w:val="20"/>
        </w:rPr>
        <w:t xml:space="preserve"> </w:t>
      </w:r>
      <w:r w:rsidRPr="00366D86">
        <w:rPr>
          <w:rFonts w:eastAsia="Times New Roman"/>
          <w:color w:val="000000" w:themeColor="text1"/>
          <w:sz w:val="24"/>
          <w:szCs w:val="20"/>
        </w:rPr>
        <w:t xml:space="preserve">per year for a person </w:t>
      </w:r>
      <w:r w:rsidR="00C019FF" w:rsidRPr="00366D86">
        <w:rPr>
          <w:rFonts w:eastAsia="Times New Roman"/>
          <w:color w:val="000000" w:themeColor="text1"/>
          <w:sz w:val="24"/>
          <w:szCs w:val="20"/>
        </w:rPr>
        <w:t xml:space="preserve">engaged at </w:t>
      </w:r>
      <w:r w:rsidRPr="00366D86">
        <w:rPr>
          <w:rFonts w:eastAsia="Times New Roman"/>
          <w:color w:val="000000" w:themeColor="text1"/>
          <w:sz w:val="24"/>
          <w:szCs w:val="20"/>
        </w:rPr>
        <w:t>an</w:t>
      </w:r>
      <w:r w:rsidR="00C019FF" w:rsidRPr="00366D86">
        <w:rPr>
          <w:rFonts w:eastAsia="Times New Roman"/>
          <w:color w:val="000000" w:themeColor="text1"/>
          <w:sz w:val="24"/>
          <w:szCs w:val="20"/>
        </w:rPr>
        <w:t xml:space="preserve"> executive classification </w:t>
      </w:r>
      <w:r w:rsidR="00C019FF" w:rsidRPr="006E7416">
        <w:rPr>
          <w:rFonts w:eastAsia="Times New Roman"/>
          <w:color w:val="000000" w:themeColor="text1"/>
          <w:sz w:val="24"/>
          <w:szCs w:val="20"/>
        </w:rPr>
        <w:t xml:space="preserve">level </w:t>
      </w:r>
      <w:r w:rsidRPr="006E7416">
        <w:rPr>
          <w:rFonts w:eastAsia="Times New Roman"/>
          <w:color w:val="000000" w:themeColor="text1"/>
          <w:sz w:val="24"/>
          <w:szCs w:val="20"/>
        </w:rPr>
        <w:t xml:space="preserve">specified </w:t>
      </w:r>
      <w:r w:rsidR="00C019FF" w:rsidRPr="006E7416">
        <w:rPr>
          <w:rFonts w:eastAsia="Times New Roman"/>
          <w:color w:val="000000" w:themeColor="text1"/>
          <w:sz w:val="24"/>
          <w:szCs w:val="20"/>
        </w:rPr>
        <w:t>in column 1</w:t>
      </w:r>
      <w:r w:rsidR="009B6793" w:rsidRPr="006E7416">
        <w:rPr>
          <w:rFonts w:eastAsia="Times New Roman"/>
          <w:color w:val="000000" w:themeColor="text1"/>
          <w:sz w:val="24"/>
          <w:szCs w:val="24"/>
        </w:rPr>
        <w:t xml:space="preserve">, where an executive does not have an </w:t>
      </w:r>
      <w:r w:rsidR="009B6793" w:rsidRPr="006E7416">
        <w:rPr>
          <w:color w:val="000000" w:themeColor="text1"/>
          <w:sz w:val="24"/>
          <w:szCs w:val="24"/>
        </w:rPr>
        <w:t>employer-provided vehicle</w:t>
      </w:r>
      <w:r w:rsidR="00F11BCC" w:rsidRPr="006E7416">
        <w:rPr>
          <w:color w:val="000000" w:themeColor="text1"/>
        </w:rPr>
        <w:t>.</w:t>
      </w:r>
    </w:p>
    <w:p w14:paraId="42062E07" w14:textId="77777777" w:rsidR="00F11BCC" w:rsidRPr="00335707" w:rsidRDefault="00F11BCC" w:rsidP="00F11BCC">
      <w:pPr>
        <w:spacing w:before="80" w:after="60"/>
        <w:ind w:left="709"/>
        <w:rPr>
          <w:b/>
        </w:rPr>
      </w:pPr>
      <w:r w:rsidRPr="00335707">
        <w:rPr>
          <w:b/>
        </w:rPr>
        <w:t>TABLE 2.1</w:t>
      </w:r>
    </w:p>
    <w:tbl>
      <w:tblPr>
        <w:tblW w:w="66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006"/>
        <w:gridCol w:w="1842"/>
        <w:gridCol w:w="1842"/>
      </w:tblGrid>
      <w:tr w:rsidR="006256BF" w:rsidRPr="00D101F0" w14:paraId="0E73B7A3" w14:textId="08CEFE88" w:rsidTr="006256BF">
        <w:trPr>
          <w:trHeight w:val="374"/>
        </w:trPr>
        <w:tc>
          <w:tcPr>
            <w:tcW w:w="3006" w:type="dxa"/>
          </w:tcPr>
          <w:p w14:paraId="02208E4D" w14:textId="2672BD78" w:rsidR="006256BF" w:rsidRPr="00366D86" w:rsidRDefault="006256BF" w:rsidP="00287A58">
            <w:pPr>
              <w:pStyle w:val="Header"/>
              <w:tabs>
                <w:tab w:val="clear" w:pos="4153"/>
                <w:tab w:val="clear" w:pos="8306"/>
              </w:tabs>
              <w:spacing w:before="60" w:after="60"/>
              <w:rPr>
                <w:color w:val="000000" w:themeColor="text1"/>
                <w:sz w:val="20"/>
              </w:rPr>
            </w:pPr>
            <w:r w:rsidRPr="00366D86">
              <w:rPr>
                <w:color w:val="000000" w:themeColor="text1"/>
                <w:sz w:val="20"/>
              </w:rPr>
              <w:t>Column 1</w:t>
            </w:r>
          </w:p>
          <w:p w14:paraId="35FFC596" w14:textId="6F870C0F" w:rsidR="006256BF" w:rsidRPr="00366D86" w:rsidRDefault="006256BF" w:rsidP="00B51F23">
            <w:pPr>
              <w:pStyle w:val="Header"/>
              <w:tabs>
                <w:tab w:val="clear" w:pos="4153"/>
                <w:tab w:val="clear" w:pos="8306"/>
              </w:tabs>
              <w:spacing w:before="60" w:after="60"/>
              <w:rPr>
                <w:b/>
                <w:color w:val="000000" w:themeColor="text1"/>
              </w:rPr>
            </w:pPr>
            <w:r w:rsidRPr="00366D86">
              <w:rPr>
                <w:b/>
                <w:color w:val="000000" w:themeColor="text1"/>
              </w:rPr>
              <w:t xml:space="preserve">Executive classification level </w:t>
            </w:r>
          </w:p>
        </w:tc>
        <w:tc>
          <w:tcPr>
            <w:tcW w:w="1842" w:type="dxa"/>
            <w:shd w:val="clear" w:color="auto" w:fill="auto"/>
          </w:tcPr>
          <w:p w14:paraId="304BEC61" w14:textId="6ECB19CF" w:rsidR="006256BF" w:rsidRPr="00366D86" w:rsidRDefault="006256BF" w:rsidP="00287A58">
            <w:pPr>
              <w:spacing w:before="60" w:after="60"/>
              <w:rPr>
                <w:color w:val="000000" w:themeColor="text1"/>
                <w:sz w:val="20"/>
              </w:rPr>
            </w:pPr>
            <w:r w:rsidRPr="00366D86">
              <w:rPr>
                <w:color w:val="000000" w:themeColor="text1"/>
                <w:sz w:val="20"/>
              </w:rPr>
              <w:t>Column 2</w:t>
            </w:r>
          </w:p>
          <w:p w14:paraId="6BB80A65" w14:textId="35D1BF7D" w:rsidR="006256BF" w:rsidRPr="00366D86" w:rsidRDefault="006256BF" w:rsidP="00DB024A">
            <w:pPr>
              <w:spacing w:before="60" w:after="60"/>
              <w:rPr>
                <w:color w:val="000000" w:themeColor="text1"/>
              </w:rPr>
            </w:pPr>
            <w:r w:rsidRPr="00366D86">
              <w:rPr>
                <w:b/>
                <w:color w:val="000000" w:themeColor="text1"/>
              </w:rPr>
              <w:t>Remuneration</w:t>
            </w:r>
          </w:p>
        </w:tc>
        <w:tc>
          <w:tcPr>
            <w:tcW w:w="1842" w:type="dxa"/>
          </w:tcPr>
          <w:p w14:paraId="71E961CA" w14:textId="4E19DD05" w:rsidR="006256BF" w:rsidRPr="00366D86" w:rsidRDefault="006256BF" w:rsidP="006256BF">
            <w:pPr>
              <w:spacing w:before="60" w:after="60"/>
              <w:rPr>
                <w:color w:val="000000" w:themeColor="text1"/>
                <w:sz w:val="20"/>
              </w:rPr>
            </w:pPr>
            <w:r w:rsidRPr="00366D86">
              <w:rPr>
                <w:color w:val="000000" w:themeColor="text1"/>
                <w:sz w:val="20"/>
              </w:rPr>
              <w:t xml:space="preserve">Column </w:t>
            </w:r>
            <w:r>
              <w:rPr>
                <w:color w:val="000000" w:themeColor="text1"/>
                <w:sz w:val="20"/>
              </w:rPr>
              <w:t>3</w:t>
            </w:r>
            <w:r>
              <w:rPr>
                <w:rStyle w:val="FootnoteReference"/>
                <w:color w:val="000000" w:themeColor="text1"/>
                <w:sz w:val="20"/>
              </w:rPr>
              <w:footnoteReference w:id="4"/>
            </w:r>
          </w:p>
          <w:p w14:paraId="08076A9F" w14:textId="4BAB65FC" w:rsidR="006256BF" w:rsidRPr="00366D86" w:rsidRDefault="006256BF" w:rsidP="006256BF">
            <w:pPr>
              <w:spacing w:before="60" w:after="60"/>
              <w:rPr>
                <w:color w:val="000000" w:themeColor="text1"/>
                <w:sz w:val="20"/>
              </w:rPr>
            </w:pPr>
            <w:r>
              <w:rPr>
                <w:b/>
                <w:color w:val="000000" w:themeColor="text1"/>
              </w:rPr>
              <w:t xml:space="preserve">Total </w:t>
            </w:r>
            <w:r w:rsidRPr="00366D86">
              <w:rPr>
                <w:b/>
                <w:color w:val="000000" w:themeColor="text1"/>
              </w:rPr>
              <w:t>Remuneration</w:t>
            </w:r>
            <w:r w:rsidRPr="00366D86">
              <w:rPr>
                <w:color w:val="000000" w:themeColor="text1"/>
                <w:sz w:val="20"/>
              </w:rPr>
              <w:t xml:space="preserve"> </w:t>
            </w:r>
          </w:p>
        </w:tc>
      </w:tr>
      <w:tr w:rsidR="006256BF" w:rsidRPr="00D101F0" w14:paraId="5E7A9976" w14:textId="1F92069E" w:rsidTr="006256BF">
        <w:tc>
          <w:tcPr>
            <w:tcW w:w="3006" w:type="dxa"/>
          </w:tcPr>
          <w:p w14:paraId="3CEE5B51" w14:textId="50D3FB3C" w:rsidR="006256BF" w:rsidRPr="003A0EA1" w:rsidRDefault="006256BF" w:rsidP="009B6793">
            <w:pPr>
              <w:rPr>
                <w:color w:val="000000" w:themeColor="text1"/>
              </w:rPr>
            </w:pPr>
            <w:r w:rsidRPr="003A0EA1">
              <w:rPr>
                <w:color w:val="000000" w:themeColor="text1"/>
              </w:rPr>
              <w:t>Level 1.1</w:t>
            </w:r>
          </w:p>
        </w:tc>
        <w:tc>
          <w:tcPr>
            <w:tcW w:w="1842" w:type="dxa"/>
            <w:shd w:val="clear" w:color="auto" w:fill="auto"/>
          </w:tcPr>
          <w:p w14:paraId="1F320F1D" w14:textId="5B17237F" w:rsidR="006256BF" w:rsidRPr="003A0EA1" w:rsidRDefault="00CE1B99" w:rsidP="009B6793">
            <w:pPr>
              <w:rPr>
                <w:color w:val="000000" w:themeColor="text1"/>
                <w:szCs w:val="24"/>
              </w:rPr>
            </w:pPr>
            <w:r>
              <w:rPr>
                <w:color w:val="000000" w:themeColor="text1"/>
                <w:szCs w:val="24"/>
              </w:rPr>
              <w:t>$1</w:t>
            </w:r>
            <w:r w:rsidR="00A50E8B">
              <w:rPr>
                <w:color w:val="000000" w:themeColor="text1"/>
                <w:szCs w:val="24"/>
              </w:rPr>
              <w:t>63,980</w:t>
            </w:r>
          </w:p>
        </w:tc>
        <w:tc>
          <w:tcPr>
            <w:tcW w:w="1842" w:type="dxa"/>
          </w:tcPr>
          <w:p w14:paraId="40149F5C" w14:textId="34BC5E9F" w:rsidR="006256BF" w:rsidRPr="003A0EA1" w:rsidRDefault="0054046D" w:rsidP="009B6793">
            <w:pPr>
              <w:rPr>
                <w:color w:val="000000" w:themeColor="text1"/>
                <w:szCs w:val="24"/>
              </w:rPr>
            </w:pPr>
            <w:r>
              <w:rPr>
                <w:color w:val="000000" w:themeColor="text1"/>
                <w:szCs w:val="24"/>
              </w:rPr>
              <w:t>$</w:t>
            </w:r>
            <w:r w:rsidR="00464754">
              <w:rPr>
                <w:color w:val="000000" w:themeColor="text1"/>
                <w:szCs w:val="24"/>
              </w:rPr>
              <w:t>195,480</w:t>
            </w:r>
          </w:p>
        </w:tc>
      </w:tr>
      <w:tr w:rsidR="006256BF" w:rsidRPr="00D101F0" w14:paraId="50EE145D" w14:textId="72325C98" w:rsidTr="006256BF">
        <w:tc>
          <w:tcPr>
            <w:tcW w:w="3006" w:type="dxa"/>
          </w:tcPr>
          <w:p w14:paraId="0DF1236B" w14:textId="77777777" w:rsidR="006256BF" w:rsidRPr="003A0EA1" w:rsidRDefault="006256BF" w:rsidP="009B6793">
            <w:pPr>
              <w:rPr>
                <w:color w:val="000000" w:themeColor="text1"/>
              </w:rPr>
            </w:pPr>
            <w:r w:rsidRPr="003A0EA1">
              <w:rPr>
                <w:color w:val="000000" w:themeColor="text1"/>
              </w:rPr>
              <w:t>Level 1.2</w:t>
            </w:r>
          </w:p>
        </w:tc>
        <w:tc>
          <w:tcPr>
            <w:tcW w:w="1842" w:type="dxa"/>
            <w:shd w:val="clear" w:color="auto" w:fill="auto"/>
          </w:tcPr>
          <w:p w14:paraId="76E882C7" w14:textId="5D579CA1" w:rsidR="006256BF" w:rsidRPr="003A0EA1" w:rsidRDefault="00CE1B99" w:rsidP="009B6793">
            <w:pPr>
              <w:rPr>
                <w:color w:val="000000" w:themeColor="text1"/>
                <w:szCs w:val="24"/>
              </w:rPr>
            </w:pPr>
            <w:r>
              <w:rPr>
                <w:color w:val="000000" w:themeColor="text1"/>
                <w:szCs w:val="24"/>
              </w:rPr>
              <w:t>$1</w:t>
            </w:r>
            <w:r w:rsidR="00A50E8B">
              <w:rPr>
                <w:color w:val="000000" w:themeColor="text1"/>
                <w:szCs w:val="24"/>
              </w:rPr>
              <w:t>77,847</w:t>
            </w:r>
          </w:p>
        </w:tc>
        <w:tc>
          <w:tcPr>
            <w:tcW w:w="1842" w:type="dxa"/>
          </w:tcPr>
          <w:p w14:paraId="11171AB3" w14:textId="0BED0F0E" w:rsidR="006256BF" w:rsidRPr="003A0EA1" w:rsidRDefault="0054046D" w:rsidP="009B6793">
            <w:pPr>
              <w:rPr>
                <w:color w:val="000000" w:themeColor="text1"/>
                <w:szCs w:val="24"/>
              </w:rPr>
            </w:pPr>
            <w:r>
              <w:rPr>
                <w:color w:val="000000" w:themeColor="text1"/>
                <w:szCs w:val="24"/>
              </w:rPr>
              <w:t>$2</w:t>
            </w:r>
            <w:r w:rsidR="00464754">
              <w:rPr>
                <w:color w:val="000000" w:themeColor="text1"/>
                <w:szCs w:val="24"/>
              </w:rPr>
              <w:t>09,347</w:t>
            </w:r>
          </w:p>
        </w:tc>
      </w:tr>
      <w:tr w:rsidR="006256BF" w:rsidRPr="00D101F0" w14:paraId="2AB740DE" w14:textId="3E67F2A9" w:rsidTr="006256BF">
        <w:tc>
          <w:tcPr>
            <w:tcW w:w="3006" w:type="dxa"/>
          </w:tcPr>
          <w:p w14:paraId="690BF120" w14:textId="77777777" w:rsidR="006256BF" w:rsidRPr="003A0EA1" w:rsidRDefault="006256BF" w:rsidP="009B6793">
            <w:pPr>
              <w:rPr>
                <w:color w:val="000000" w:themeColor="text1"/>
              </w:rPr>
            </w:pPr>
            <w:r w:rsidRPr="003A0EA1">
              <w:rPr>
                <w:color w:val="000000" w:themeColor="text1"/>
              </w:rPr>
              <w:t>Level 1.3</w:t>
            </w:r>
          </w:p>
        </w:tc>
        <w:tc>
          <w:tcPr>
            <w:tcW w:w="1842" w:type="dxa"/>
            <w:shd w:val="clear" w:color="auto" w:fill="auto"/>
          </w:tcPr>
          <w:p w14:paraId="0A2E3BC2" w14:textId="4850929E" w:rsidR="006256BF" w:rsidRPr="003A0EA1" w:rsidRDefault="00CE1B99" w:rsidP="009B6793">
            <w:pPr>
              <w:rPr>
                <w:color w:val="000000" w:themeColor="text1"/>
                <w:szCs w:val="24"/>
              </w:rPr>
            </w:pPr>
            <w:r>
              <w:rPr>
                <w:color w:val="000000" w:themeColor="text1"/>
                <w:szCs w:val="24"/>
              </w:rPr>
              <w:t>$1</w:t>
            </w:r>
            <w:r w:rsidR="00A50E8B">
              <w:rPr>
                <w:color w:val="000000" w:themeColor="text1"/>
                <w:szCs w:val="24"/>
              </w:rPr>
              <w:t>91,705</w:t>
            </w:r>
          </w:p>
        </w:tc>
        <w:tc>
          <w:tcPr>
            <w:tcW w:w="1842" w:type="dxa"/>
          </w:tcPr>
          <w:p w14:paraId="34D508A0" w14:textId="0AECB20D" w:rsidR="006256BF" w:rsidRPr="003A0EA1" w:rsidRDefault="0054046D" w:rsidP="009B6793">
            <w:pPr>
              <w:rPr>
                <w:color w:val="000000" w:themeColor="text1"/>
                <w:szCs w:val="24"/>
              </w:rPr>
            </w:pPr>
            <w:r>
              <w:rPr>
                <w:color w:val="000000" w:themeColor="text1"/>
                <w:szCs w:val="24"/>
              </w:rPr>
              <w:t>$2</w:t>
            </w:r>
            <w:r w:rsidR="00464754">
              <w:rPr>
                <w:color w:val="000000" w:themeColor="text1"/>
                <w:szCs w:val="24"/>
              </w:rPr>
              <w:t>23,205</w:t>
            </w:r>
          </w:p>
        </w:tc>
      </w:tr>
      <w:tr w:rsidR="006256BF" w:rsidRPr="00D101F0" w14:paraId="58692BE4" w14:textId="6BB8A3AF" w:rsidTr="006256BF">
        <w:tc>
          <w:tcPr>
            <w:tcW w:w="3006" w:type="dxa"/>
            <w:tcBorders>
              <w:bottom w:val="single" w:sz="12" w:space="0" w:color="auto"/>
            </w:tcBorders>
          </w:tcPr>
          <w:p w14:paraId="13BD4524" w14:textId="77777777" w:rsidR="006256BF" w:rsidRPr="003A0EA1" w:rsidRDefault="006256BF" w:rsidP="009B6793">
            <w:pPr>
              <w:rPr>
                <w:color w:val="000000" w:themeColor="text1"/>
              </w:rPr>
            </w:pPr>
            <w:r w:rsidRPr="003A0EA1">
              <w:rPr>
                <w:color w:val="000000" w:themeColor="text1"/>
              </w:rPr>
              <w:t>Level 1.4</w:t>
            </w:r>
          </w:p>
        </w:tc>
        <w:tc>
          <w:tcPr>
            <w:tcW w:w="1842" w:type="dxa"/>
            <w:tcBorders>
              <w:bottom w:val="single" w:sz="12" w:space="0" w:color="auto"/>
            </w:tcBorders>
            <w:shd w:val="clear" w:color="auto" w:fill="auto"/>
          </w:tcPr>
          <w:p w14:paraId="5F123431" w14:textId="416B98CF" w:rsidR="006256BF" w:rsidRPr="003A0EA1" w:rsidRDefault="00CE1B99" w:rsidP="009B6793">
            <w:pPr>
              <w:rPr>
                <w:color w:val="000000" w:themeColor="text1"/>
                <w:szCs w:val="24"/>
              </w:rPr>
            </w:pPr>
            <w:r>
              <w:rPr>
                <w:color w:val="000000" w:themeColor="text1"/>
                <w:szCs w:val="24"/>
              </w:rPr>
              <w:t>$2</w:t>
            </w:r>
            <w:r w:rsidR="00A50E8B">
              <w:rPr>
                <w:color w:val="000000" w:themeColor="text1"/>
                <w:szCs w:val="24"/>
              </w:rPr>
              <w:t>05,508</w:t>
            </w:r>
          </w:p>
        </w:tc>
        <w:tc>
          <w:tcPr>
            <w:tcW w:w="1842" w:type="dxa"/>
            <w:tcBorders>
              <w:bottom w:val="single" w:sz="12" w:space="0" w:color="auto"/>
            </w:tcBorders>
          </w:tcPr>
          <w:p w14:paraId="256C6E4E" w14:textId="60457B0F" w:rsidR="006256BF" w:rsidRPr="003A0EA1" w:rsidRDefault="0054046D" w:rsidP="009B6793">
            <w:pPr>
              <w:rPr>
                <w:color w:val="000000" w:themeColor="text1"/>
                <w:szCs w:val="24"/>
              </w:rPr>
            </w:pPr>
            <w:r>
              <w:rPr>
                <w:color w:val="000000" w:themeColor="text1"/>
                <w:szCs w:val="24"/>
              </w:rPr>
              <w:t>$2</w:t>
            </w:r>
            <w:r w:rsidR="00464754">
              <w:rPr>
                <w:color w:val="000000" w:themeColor="text1"/>
                <w:szCs w:val="24"/>
              </w:rPr>
              <w:t>37,008</w:t>
            </w:r>
          </w:p>
        </w:tc>
      </w:tr>
      <w:tr w:rsidR="006256BF" w:rsidRPr="00D101F0" w14:paraId="06E7336A" w14:textId="4BD07862" w:rsidTr="006256BF">
        <w:tc>
          <w:tcPr>
            <w:tcW w:w="3006" w:type="dxa"/>
            <w:tcBorders>
              <w:top w:val="single" w:sz="12" w:space="0" w:color="auto"/>
            </w:tcBorders>
          </w:tcPr>
          <w:p w14:paraId="45B2F5F7" w14:textId="77777777" w:rsidR="006256BF" w:rsidRPr="003A0EA1" w:rsidRDefault="006256BF" w:rsidP="009B6793">
            <w:pPr>
              <w:rPr>
                <w:color w:val="000000" w:themeColor="text1"/>
              </w:rPr>
            </w:pPr>
            <w:r w:rsidRPr="003A0EA1">
              <w:rPr>
                <w:color w:val="000000" w:themeColor="text1"/>
              </w:rPr>
              <w:t>Level 2.1</w:t>
            </w:r>
          </w:p>
        </w:tc>
        <w:tc>
          <w:tcPr>
            <w:tcW w:w="1842" w:type="dxa"/>
            <w:tcBorders>
              <w:top w:val="single" w:sz="12" w:space="0" w:color="auto"/>
            </w:tcBorders>
            <w:shd w:val="clear" w:color="auto" w:fill="auto"/>
          </w:tcPr>
          <w:p w14:paraId="7D92E1A3" w14:textId="20D28274" w:rsidR="006256BF" w:rsidRPr="003A0EA1" w:rsidRDefault="00CE1B99" w:rsidP="009B6793">
            <w:pPr>
              <w:rPr>
                <w:color w:val="000000" w:themeColor="text1"/>
                <w:szCs w:val="24"/>
              </w:rPr>
            </w:pPr>
            <w:r>
              <w:rPr>
                <w:color w:val="000000" w:themeColor="text1"/>
                <w:szCs w:val="24"/>
              </w:rPr>
              <w:t>$2</w:t>
            </w:r>
            <w:r w:rsidR="00A50E8B">
              <w:rPr>
                <w:color w:val="000000" w:themeColor="text1"/>
                <w:szCs w:val="24"/>
              </w:rPr>
              <w:t>19,434</w:t>
            </w:r>
          </w:p>
        </w:tc>
        <w:tc>
          <w:tcPr>
            <w:tcW w:w="1842" w:type="dxa"/>
            <w:tcBorders>
              <w:top w:val="single" w:sz="12" w:space="0" w:color="auto"/>
            </w:tcBorders>
          </w:tcPr>
          <w:p w14:paraId="17A71D79" w14:textId="5B7010CF" w:rsidR="006256BF" w:rsidRPr="003A0EA1" w:rsidRDefault="0054046D" w:rsidP="009B6793">
            <w:pPr>
              <w:rPr>
                <w:color w:val="000000" w:themeColor="text1"/>
                <w:szCs w:val="24"/>
              </w:rPr>
            </w:pPr>
            <w:r>
              <w:rPr>
                <w:color w:val="000000" w:themeColor="text1"/>
                <w:szCs w:val="24"/>
              </w:rPr>
              <w:t>$25</w:t>
            </w:r>
            <w:r w:rsidR="00464754">
              <w:rPr>
                <w:color w:val="000000" w:themeColor="text1"/>
                <w:szCs w:val="24"/>
              </w:rPr>
              <w:t>1,434</w:t>
            </w:r>
          </w:p>
        </w:tc>
      </w:tr>
      <w:tr w:rsidR="006256BF" w:rsidRPr="00D101F0" w14:paraId="176A8C60" w14:textId="01226495" w:rsidTr="006256BF">
        <w:tc>
          <w:tcPr>
            <w:tcW w:w="3006" w:type="dxa"/>
          </w:tcPr>
          <w:p w14:paraId="4C9A7992" w14:textId="77777777" w:rsidR="006256BF" w:rsidRPr="003A0EA1" w:rsidRDefault="006256BF" w:rsidP="009B6793">
            <w:pPr>
              <w:rPr>
                <w:color w:val="000000" w:themeColor="text1"/>
              </w:rPr>
            </w:pPr>
            <w:r w:rsidRPr="003A0EA1">
              <w:rPr>
                <w:color w:val="000000" w:themeColor="text1"/>
              </w:rPr>
              <w:t>Level 2.2</w:t>
            </w:r>
          </w:p>
        </w:tc>
        <w:tc>
          <w:tcPr>
            <w:tcW w:w="1842" w:type="dxa"/>
            <w:shd w:val="clear" w:color="auto" w:fill="auto"/>
          </w:tcPr>
          <w:p w14:paraId="5D36B92B" w14:textId="730D2E0E" w:rsidR="006256BF" w:rsidRPr="003A0EA1" w:rsidRDefault="00CE1B99" w:rsidP="009B6793">
            <w:pPr>
              <w:rPr>
                <w:color w:val="000000" w:themeColor="text1"/>
                <w:szCs w:val="24"/>
              </w:rPr>
            </w:pPr>
            <w:r>
              <w:rPr>
                <w:color w:val="000000" w:themeColor="text1"/>
                <w:szCs w:val="24"/>
              </w:rPr>
              <w:t>$2</w:t>
            </w:r>
            <w:r w:rsidR="00A50E8B">
              <w:rPr>
                <w:color w:val="000000" w:themeColor="text1"/>
                <w:szCs w:val="24"/>
              </w:rPr>
              <w:t>38,765</w:t>
            </w:r>
          </w:p>
        </w:tc>
        <w:tc>
          <w:tcPr>
            <w:tcW w:w="1842" w:type="dxa"/>
          </w:tcPr>
          <w:p w14:paraId="1F794F65" w14:textId="38D915D1" w:rsidR="006256BF" w:rsidRPr="003A0EA1" w:rsidRDefault="0054046D" w:rsidP="009B6793">
            <w:pPr>
              <w:rPr>
                <w:color w:val="000000" w:themeColor="text1"/>
                <w:szCs w:val="24"/>
              </w:rPr>
            </w:pPr>
            <w:r>
              <w:rPr>
                <w:color w:val="000000" w:themeColor="text1"/>
                <w:szCs w:val="24"/>
              </w:rPr>
              <w:t>$27</w:t>
            </w:r>
            <w:r w:rsidR="00464754">
              <w:rPr>
                <w:color w:val="000000" w:themeColor="text1"/>
                <w:szCs w:val="24"/>
              </w:rPr>
              <w:t>0,765</w:t>
            </w:r>
          </w:p>
        </w:tc>
      </w:tr>
      <w:tr w:rsidR="006256BF" w:rsidRPr="00D101F0" w14:paraId="23141617" w14:textId="0BE79011" w:rsidTr="006256BF">
        <w:tc>
          <w:tcPr>
            <w:tcW w:w="3006" w:type="dxa"/>
          </w:tcPr>
          <w:p w14:paraId="0F9C6CC8" w14:textId="77777777" w:rsidR="006256BF" w:rsidRPr="003A0EA1" w:rsidRDefault="006256BF" w:rsidP="009B6793">
            <w:pPr>
              <w:rPr>
                <w:color w:val="000000" w:themeColor="text1"/>
              </w:rPr>
            </w:pPr>
            <w:r w:rsidRPr="003A0EA1">
              <w:rPr>
                <w:color w:val="000000" w:themeColor="text1"/>
              </w:rPr>
              <w:t>Level 2.3</w:t>
            </w:r>
          </w:p>
        </w:tc>
        <w:tc>
          <w:tcPr>
            <w:tcW w:w="1842" w:type="dxa"/>
            <w:shd w:val="clear" w:color="auto" w:fill="auto"/>
          </w:tcPr>
          <w:p w14:paraId="7F05F850" w14:textId="58B7E11A" w:rsidR="006256BF" w:rsidRPr="003A0EA1" w:rsidRDefault="00CE1B99" w:rsidP="009B6793">
            <w:pPr>
              <w:rPr>
                <w:color w:val="000000" w:themeColor="text1"/>
                <w:szCs w:val="24"/>
              </w:rPr>
            </w:pPr>
            <w:r>
              <w:rPr>
                <w:color w:val="000000" w:themeColor="text1"/>
                <w:szCs w:val="24"/>
              </w:rPr>
              <w:t>$2</w:t>
            </w:r>
            <w:r w:rsidR="00A50E8B">
              <w:rPr>
                <w:color w:val="000000" w:themeColor="text1"/>
                <w:szCs w:val="24"/>
              </w:rPr>
              <w:t>58,087</w:t>
            </w:r>
          </w:p>
        </w:tc>
        <w:tc>
          <w:tcPr>
            <w:tcW w:w="1842" w:type="dxa"/>
          </w:tcPr>
          <w:p w14:paraId="4D8E87E5" w14:textId="457A9B62" w:rsidR="006256BF" w:rsidRPr="003A0EA1" w:rsidRDefault="0054046D" w:rsidP="009B6793">
            <w:pPr>
              <w:rPr>
                <w:color w:val="000000" w:themeColor="text1"/>
                <w:szCs w:val="24"/>
              </w:rPr>
            </w:pPr>
            <w:r>
              <w:rPr>
                <w:color w:val="000000" w:themeColor="text1"/>
                <w:szCs w:val="24"/>
              </w:rPr>
              <w:t>$29</w:t>
            </w:r>
            <w:r w:rsidR="00464754">
              <w:rPr>
                <w:color w:val="000000" w:themeColor="text1"/>
                <w:szCs w:val="24"/>
              </w:rPr>
              <w:t>0,087</w:t>
            </w:r>
          </w:p>
        </w:tc>
      </w:tr>
      <w:tr w:rsidR="006256BF" w:rsidRPr="00D101F0" w14:paraId="274FCF9A" w14:textId="700048B9" w:rsidTr="006256BF">
        <w:tc>
          <w:tcPr>
            <w:tcW w:w="3006" w:type="dxa"/>
            <w:tcBorders>
              <w:bottom w:val="single" w:sz="12" w:space="0" w:color="auto"/>
            </w:tcBorders>
          </w:tcPr>
          <w:p w14:paraId="54318AFC" w14:textId="77777777" w:rsidR="006256BF" w:rsidRPr="003A0EA1" w:rsidRDefault="006256BF" w:rsidP="009B6793">
            <w:pPr>
              <w:rPr>
                <w:color w:val="000000" w:themeColor="text1"/>
              </w:rPr>
            </w:pPr>
            <w:r w:rsidRPr="003A0EA1">
              <w:rPr>
                <w:color w:val="000000" w:themeColor="text1"/>
              </w:rPr>
              <w:t>Level 2.4</w:t>
            </w:r>
          </w:p>
        </w:tc>
        <w:tc>
          <w:tcPr>
            <w:tcW w:w="1842" w:type="dxa"/>
            <w:tcBorders>
              <w:bottom w:val="single" w:sz="12" w:space="0" w:color="auto"/>
            </w:tcBorders>
            <w:shd w:val="clear" w:color="auto" w:fill="auto"/>
          </w:tcPr>
          <w:p w14:paraId="0BADD84E" w14:textId="1EC8B83B" w:rsidR="006256BF" w:rsidRPr="003A0EA1" w:rsidRDefault="00CE1B99" w:rsidP="009B6793">
            <w:pPr>
              <w:rPr>
                <w:color w:val="000000" w:themeColor="text1"/>
                <w:szCs w:val="24"/>
              </w:rPr>
            </w:pPr>
            <w:r>
              <w:rPr>
                <w:color w:val="000000" w:themeColor="text1"/>
                <w:szCs w:val="24"/>
              </w:rPr>
              <w:t>$2</w:t>
            </w:r>
            <w:r w:rsidR="00464754">
              <w:rPr>
                <w:color w:val="000000" w:themeColor="text1"/>
                <w:szCs w:val="24"/>
              </w:rPr>
              <w:t>77,493</w:t>
            </w:r>
          </w:p>
        </w:tc>
        <w:tc>
          <w:tcPr>
            <w:tcW w:w="1842" w:type="dxa"/>
            <w:tcBorders>
              <w:bottom w:val="single" w:sz="12" w:space="0" w:color="auto"/>
            </w:tcBorders>
          </w:tcPr>
          <w:p w14:paraId="55F2D259" w14:textId="1DBC48AE" w:rsidR="006256BF" w:rsidRPr="003A0EA1" w:rsidRDefault="0054046D" w:rsidP="009B6793">
            <w:pPr>
              <w:rPr>
                <w:color w:val="000000" w:themeColor="text1"/>
                <w:szCs w:val="24"/>
              </w:rPr>
            </w:pPr>
            <w:r>
              <w:rPr>
                <w:color w:val="000000" w:themeColor="text1"/>
                <w:szCs w:val="24"/>
              </w:rPr>
              <w:t>$3</w:t>
            </w:r>
            <w:r w:rsidR="007E68F7">
              <w:rPr>
                <w:color w:val="000000" w:themeColor="text1"/>
                <w:szCs w:val="24"/>
              </w:rPr>
              <w:t>09,493</w:t>
            </w:r>
          </w:p>
        </w:tc>
      </w:tr>
      <w:tr w:rsidR="006256BF" w:rsidRPr="00D101F0" w14:paraId="7D849EAD" w14:textId="5F7C84F6" w:rsidTr="006256BF">
        <w:tc>
          <w:tcPr>
            <w:tcW w:w="3006" w:type="dxa"/>
            <w:tcBorders>
              <w:top w:val="single" w:sz="12" w:space="0" w:color="auto"/>
            </w:tcBorders>
          </w:tcPr>
          <w:p w14:paraId="038E525F" w14:textId="77777777" w:rsidR="006256BF" w:rsidRPr="003A0EA1" w:rsidRDefault="006256BF" w:rsidP="009B6793">
            <w:pPr>
              <w:rPr>
                <w:color w:val="000000" w:themeColor="text1"/>
              </w:rPr>
            </w:pPr>
            <w:r w:rsidRPr="003A0EA1">
              <w:rPr>
                <w:color w:val="000000" w:themeColor="text1"/>
              </w:rPr>
              <w:t>Level 3.1</w:t>
            </w:r>
          </w:p>
        </w:tc>
        <w:tc>
          <w:tcPr>
            <w:tcW w:w="1842" w:type="dxa"/>
            <w:tcBorders>
              <w:top w:val="single" w:sz="12" w:space="0" w:color="auto"/>
            </w:tcBorders>
            <w:shd w:val="clear" w:color="auto" w:fill="auto"/>
          </w:tcPr>
          <w:p w14:paraId="05FAB1D3" w14:textId="377AAE14" w:rsidR="006256BF" w:rsidRPr="003A0EA1" w:rsidRDefault="00CE1B99" w:rsidP="009B6793">
            <w:pPr>
              <w:rPr>
                <w:color w:val="000000" w:themeColor="text1"/>
                <w:szCs w:val="24"/>
              </w:rPr>
            </w:pPr>
            <w:r>
              <w:rPr>
                <w:color w:val="000000" w:themeColor="text1"/>
                <w:szCs w:val="24"/>
              </w:rPr>
              <w:t>$</w:t>
            </w:r>
            <w:r w:rsidR="00464754">
              <w:rPr>
                <w:color w:val="000000" w:themeColor="text1"/>
                <w:szCs w:val="24"/>
              </w:rPr>
              <w:t>296,907</w:t>
            </w:r>
          </w:p>
        </w:tc>
        <w:tc>
          <w:tcPr>
            <w:tcW w:w="1842" w:type="dxa"/>
            <w:tcBorders>
              <w:top w:val="single" w:sz="12" w:space="0" w:color="auto"/>
            </w:tcBorders>
          </w:tcPr>
          <w:p w14:paraId="4705A908" w14:textId="0DA76175" w:rsidR="006256BF" w:rsidRPr="003A0EA1" w:rsidRDefault="0054046D" w:rsidP="009B6793">
            <w:pPr>
              <w:rPr>
                <w:color w:val="000000" w:themeColor="text1"/>
                <w:szCs w:val="24"/>
              </w:rPr>
            </w:pPr>
            <w:r>
              <w:rPr>
                <w:color w:val="000000" w:themeColor="text1"/>
                <w:szCs w:val="24"/>
              </w:rPr>
              <w:t>$3</w:t>
            </w:r>
            <w:r w:rsidR="007E68F7">
              <w:rPr>
                <w:color w:val="000000" w:themeColor="text1"/>
                <w:szCs w:val="24"/>
              </w:rPr>
              <w:t>29,407</w:t>
            </w:r>
          </w:p>
        </w:tc>
      </w:tr>
      <w:tr w:rsidR="006256BF" w:rsidRPr="00D101F0" w14:paraId="44B9E18B" w14:textId="3F3285AD" w:rsidTr="006256BF">
        <w:tc>
          <w:tcPr>
            <w:tcW w:w="3006" w:type="dxa"/>
          </w:tcPr>
          <w:p w14:paraId="5A7B736D" w14:textId="77777777" w:rsidR="006256BF" w:rsidRPr="003A0EA1" w:rsidRDefault="006256BF" w:rsidP="009B6793">
            <w:pPr>
              <w:rPr>
                <w:color w:val="000000" w:themeColor="text1"/>
              </w:rPr>
            </w:pPr>
            <w:r w:rsidRPr="003A0EA1">
              <w:rPr>
                <w:color w:val="000000" w:themeColor="text1"/>
              </w:rPr>
              <w:t>Level 3.2</w:t>
            </w:r>
          </w:p>
        </w:tc>
        <w:tc>
          <w:tcPr>
            <w:tcW w:w="1842" w:type="dxa"/>
            <w:shd w:val="clear" w:color="auto" w:fill="auto"/>
          </w:tcPr>
          <w:p w14:paraId="4D07F11E" w14:textId="13591423" w:rsidR="006256BF" w:rsidRPr="003A0EA1" w:rsidRDefault="00CE1B99" w:rsidP="009B6793">
            <w:pPr>
              <w:rPr>
                <w:color w:val="000000" w:themeColor="text1"/>
                <w:szCs w:val="24"/>
              </w:rPr>
            </w:pPr>
            <w:r>
              <w:rPr>
                <w:color w:val="000000" w:themeColor="text1"/>
                <w:szCs w:val="24"/>
              </w:rPr>
              <w:t>$3</w:t>
            </w:r>
            <w:r w:rsidR="00464754">
              <w:rPr>
                <w:color w:val="000000" w:themeColor="text1"/>
                <w:szCs w:val="24"/>
              </w:rPr>
              <w:t>08,819</w:t>
            </w:r>
          </w:p>
        </w:tc>
        <w:tc>
          <w:tcPr>
            <w:tcW w:w="1842" w:type="dxa"/>
          </w:tcPr>
          <w:p w14:paraId="103F1BA9" w14:textId="55038BB4" w:rsidR="006256BF" w:rsidRPr="003A0EA1" w:rsidRDefault="0054046D" w:rsidP="009B6793">
            <w:pPr>
              <w:rPr>
                <w:color w:val="000000" w:themeColor="text1"/>
                <w:szCs w:val="24"/>
              </w:rPr>
            </w:pPr>
            <w:r>
              <w:rPr>
                <w:color w:val="000000" w:themeColor="text1"/>
                <w:szCs w:val="24"/>
              </w:rPr>
              <w:t>$34</w:t>
            </w:r>
            <w:r w:rsidR="007E68F7">
              <w:rPr>
                <w:color w:val="000000" w:themeColor="text1"/>
                <w:szCs w:val="24"/>
              </w:rPr>
              <w:t>1,319</w:t>
            </w:r>
          </w:p>
        </w:tc>
      </w:tr>
      <w:tr w:rsidR="006256BF" w:rsidRPr="00D101F0" w14:paraId="774AFF0D" w14:textId="6014E5C1" w:rsidTr="006256BF">
        <w:tc>
          <w:tcPr>
            <w:tcW w:w="3006" w:type="dxa"/>
          </w:tcPr>
          <w:p w14:paraId="6278CC55" w14:textId="77777777" w:rsidR="006256BF" w:rsidRPr="003A0EA1" w:rsidRDefault="006256BF" w:rsidP="009B6793">
            <w:pPr>
              <w:rPr>
                <w:color w:val="000000" w:themeColor="text1"/>
              </w:rPr>
            </w:pPr>
            <w:r w:rsidRPr="003A0EA1">
              <w:rPr>
                <w:color w:val="000000" w:themeColor="text1"/>
              </w:rPr>
              <w:t>Level 3.3</w:t>
            </w:r>
          </w:p>
        </w:tc>
        <w:tc>
          <w:tcPr>
            <w:tcW w:w="1842" w:type="dxa"/>
            <w:shd w:val="clear" w:color="auto" w:fill="auto"/>
          </w:tcPr>
          <w:p w14:paraId="4F43CE37" w14:textId="293D7370" w:rsidR="006256BF" w:rsidRPr="003A0EA1" w:rsidRDefault="00CE1B99" w:rsidP="009B6793">
            <w:pPr>
              <w:rPr>
                <w:color w:val="000000" w:themeColor="text1"/>
                <w:szCs w:val="24"/>
              </w:rPr>
            </w:pPr>
            <w:r>
              <w:rPr>
                <w:color w:val="000000" w:themeColor="text1"/>
                <w:szCs w:val="24"/>
              </w:rPr>
              <w:t>$32</w:t>
            </w:r>
            <w:r w:rsidR="00464754">
              <w:rPr>
                <w:color w:val="000000" w:themeColor="text1"/>
                <w:szCs w:val="24"/>
              </w:rPr>
              <w:t>1,077</w:t>
            </w:r>
          </w:p>
        </w:tc>
        <w:tc>
          <w:tcPr>
            <w:tcW w:w="1842" w:type="dxa"/>
          </w:tcPr>
          <w:p w14:paraId="1CBF0245" w14:textId="7A28F0AD" w:rsidR="006256BF" w:rsidRPr="003A0EA1" w:rsidRDefault="0054046D" w:rsidP="009B6793">
            <w:pPr>
              <w:rPr>
                <w:color w:val="000000" w:themeColor="text1"/>
                <w:szCs w:val="24"/>
              </w:rPr>
            </w:pPr>
            <w:r>
              <w:rPr>
                <w:color w:val="000000" w:themeColor="text1"/>
                <w:szCs w:val="24"/>
              </w:rPr>
              <w:t>$3</w:t>
            </w:r>
            <w:r w:rsidR="007E68F7">
              <w:rPr>
                <w:color w:val="000000" w:themeColor="text1"/>
                <w:szCs w:val="24"/>
              </w:rPr>
              <w:t>53,577</w:t>
            </w:r>
          </w:p>
        </w:tc>
      </w:tr>
      <w:tr w:rsidR="006256BF" w:rsidRPr="00D101F0" w14:paraId="0AAA5937" w14:textId="66C6CCC8" w:rsidTr="006256BF">
        <w:tc>
          <w:tcPr>
            <w:tcW w:w="3006" w:type="dxa"/>
            <w:tcBorders>
              <w:bottom w:val="single" w:sz="12" w:space="0" w:color="auto"/>
            </w:tcBorders>
          </w:tcPr>
          <w:p w14:paraId="71F17429" w14:textId="77777777" w:rsidR="006256BF" w:rsidRPr="003A0EA1" w:rsidRDefault="006256BF" w:rsidP="009B6793">
            <w:pPr>
              <w:rPr>
                <w:color w:val="000000" w:themeColor="text1"/>
              </w:rPr>
            </w:pPr>
            <w:r w:rsidRPr="003A0EA1">
              <w:rPr>
                <w:color w:val="000000" w:themeColor="text1"/>
              </w:rPr>
              <w:t>Level 3.4</w:t>
            </w:r>
          </w:p>
        </w:tc>
        <w:tc>
          <w:tcPr>
            <w:tcW w:w="1842" w:type="dxa"/>
            <w:tcBorders>
              <w:bottom w:val="single" w:sz="12" w:space="0" w:color="auto"/>
            </w:tcBorders>
            <w:shd w:val="clear" w:color="auto" w:fill="auto"/>
          </w:tcPr>
          <w:p w14:paraId="570234A4" w14:textId="0E650581" w:rsidR="006256BF" w:rsidRPr="003A0EA1" w:rsidRDefault="00CE1B99" w:rsidP="009B6793">
            <w:pPr>
              <w:rPr>
                <w:color w:val="000000" w:themeColor="text1"/>
                <w:szCs w:val="24"/>
              </w:rPr>
            </w:pPr>
            <w:r>
              <w:rPr>
                <w:color w:val="000000" w:themeColor="text1"/>
                <w:szCs w:val="24"/>
              </w:rPr>
              <w:t>$3</w:t>
            </w:r>
            <w:r w:rsidR="00464754">
              <w:rPr>
                <w:color w:val="000000" w:themeColor="text1"/>
                <w:szCs w:val="24"/>
              </w:rPr>
              <w:t>33,150</w:t>
            </w:r>
          </w:p>
        </w:tc>
        <w:tc>
          <w:tcPr>
            <w:tcW w:w="1842" w:type="dxa"/>
            <w:tcBorders>
              <w:bottom w:val="single" w:sz="12" w:space="0" w:color="auto"/>
            </w:tcBorders>
          </w:tcPr>
          <w:p w14:paraId="73AB0BF0" w14:textId="58D5C34F" w:rsidR="006256BF" w:rsidRPr="003A0EA1" w:rsidRDefault="0054046D" w:rsidP="009B6793">
            <w:pPr>
              <w:rPr>
                <w:color w:val="000000" w:themeColor="text1"/>
                <w:szCs w:val="24"/>
              </w:rPr>
            </w:pPr>
            <w:r>
              <w:rPr>
                <w:color w:val="000000" w:themeColor="text1"/>
                <w:szCs w:val="24"/>
              </w:rPr>
              <w:t>$3</w:t>
            </w:r>
            <w:r w:rsidR="007E68F7">
              <w:rPr>
                <w:color w:val="000000" w:themeColor="text1"/>
                <w:szCs w:val="24"/>
              </w:rPr>
              <w:t>65,650</w:t>
            </w:r>
          </w:p>
        </w:tc>
      </w:tr>
      <w:tr w:rsidR="006256BF" w:rsidRPr="00D101F0" w14:paraId="29A0FBE9" w14:textId="03F5FCFD" w:rsidTr="006256BF">
        <w:tc>
          <w:tcPr>
            <w:tcW w:w="3006" w:type="dxa"/>
            <w:tcBorders>
              <w:top w:val="single" w:sz="12" w:space="0" w:color="auto"/>
            </w:tcBorders>
          </w:tcPr>
          <w:p w14:paraId="785A526D" w14:textId="77777777" w:rsidR="006256BF" w:rsidRPr="003A0EA1" w:rsidRDefault="006256BF" w:rsidP="009B6793">
            <w:pPr>
              <w:rPr>
                <w:color w:val="000000" w:themeColor="text1"/>
              </w:rPr>
            </w:pPr>
            <w:r w:rsidRPr="003A0EA1">
              <w:rPr>
                <w:color w:val="000000" w:themeColor="text1"/>
              </w:rPr>
              <w:t>Level 4.1</w:t>
            </w:r>
          </w:p>
        </w:tc>
        <w:tc>
          <w:tcPr>
            <w:tcW w:w="1842" w:type="dxa"/>
            <w:tcBorders>
              <w:top w:val="single" w:sz="12" w:space="0" w:color="auto"/>
            </w:tcBorders>
            <w:shd w:val="clear" w:color="auto" w:fill="auto"/>
          </w:tcPr>
          <w:p w14:paraId="3C191755" w14:textId="3D5F5568" w:rsidR="006256BF" w:rsidRPr="003A0EA1" w:rsidRDefault="00CE1B99" w:rsidP="009B6793">
            <w:pPr>
              <w:rPr>
                <w:color w:val="000000" w:themeColor="text1"/>
                <w:szCs w:val="24"/>
              </w:rPr>
            </w:pPr>
            <w:r>
              <w:rPr>
                <w:color w:val="000000" w:themeColor="text1"/>
                <w:szCs w:val="24"/>
              </w:rPr>
              <w:t>$3</w:t>
            </w:r>
            <w:r w:rsidR="00464754">
              <w:rPr>
                <w:color w:val="000000" w:themeColor="text1"/>
                <w:szCs w:val="24"/>
              </w:rPr>
              <w:t>45,121</w:t>
            </w:r>
          </w:p>
        </w:tc>
        <w:tc>
          <w:tcPr>
            <w:tcW w:w="1842" w:type="dxa"/>
            <w:tcBorders>
              <w:top w:val="single" w:sz="12" w:space="0" w:color="auto"/>
            </w:tcBorders>
          </w:tcPr>
          <w:p w14:paraId="0EF720B3" w14:textId="2BFE5FB1" w:rsidR="006256BF" w:rsidRPr="003A0EA1" w:rsidRDefault="0054046D" w:rsidP="009B6793">
            <w:pPr>
              <w:rPr>
                <w:color w:val="000000" w:themeColor="text1"/>
                <w:szCs w:val="24"/>
              </w:rPr>
            </w:pPr>
            <w:r>
              <w:rPr>
                <w:color w:val="000000" w:themeColor="text1"/>
                <w:szCs w:val="24"/>
              </w:rPr>
              <w:t>$3</w:t>
            </w:r>
            <w:r w:rsidR="007E68F7">
              <w:rPr>
                <w:color w:val="000000" w:themeColor="text1"/>
                <w:szCs w:val="24"/>
              </w:rPr>
              <w:t>78,121</w:t>
            </w:r>
          </w:p>
        </w:tc>
      </w:tr>
      <w:tr w:rsidR="006256BF" w:rsidRPr="00D101F0" w14:paraId="18911818" w14:textId="39AE1BA4" w:rsidTr="006256BF">
        <w:tc>
          <w:tcPr>
            <w:tcW w:w="3006" w:type="dxa"/>
          </w:tcPr>
          <w:p w14:paraId="366D181A" w14:textId="77777777" w:rsidR="006256BF" w:rsidRPr="003A0EA1" w:rsidRDefault="006256BF" w:rsidP="009B6793">
            <w:pPr>
              <w:rPr>
                <w:color w:val="000000" w:themeColor="text1"/>
              </w:rPr>
            </w:pPr>
            <w:r w:rsidRPr="003A0EA1">
              <w:rPr>
                <w:color w:val="000000" w:themeColor="text1"/>
              </w:rPr>
              <w:t>Level 4.2</w:t>
            </w:r>
          </w:p>
        </w:tc>
        <w:tc>
          <w:tcPr>
            <w:tcW w:w="1842" w:type="dxa"/>
            <w:shd w:val="clear" w:color="auto" w:fill="auto"/>
          </w:tcPr>
          <w:p w14:paraId="124267B4" w14:textId="6D3D4C1E" w:rsidR="006256BF" w:rsidRPr="003A0EA1" w:rsidRDefault="00CE1B99" w:rsidP="009B6793">
            <w:pPr>
              <w:rPr>
                <w:color w:val="000000" w:themeColor="text1"/>
                <w:szCs w:val="24"/>
              </w:rPr>
            </w:pPr>
            <w:r>
              <w:rPr>
                <w:color w:val="000000" w:themeColor="text1"/>
                <w:szCs w:val="24"/>
              </w:rPr>
              <w:t>$3</w:t>
            </w:r>
            <w:r w:rsidR="00464754">
              <w:rPr>
                <w:color w:val="000000" w:themeColor="text1"/>
                <w:szCs w:val="24"/>
              </w:rPr>
              <w:t>55,099</w:t>
            </w:r>
          </w:p>
        </w:tc>
        <w:tc>
          <w:tcPr>
            <w:tcW w:w="1842" w:type="dxa"/>
          </w:tcPr>
          <w:p w14:paraId="67672749" w14:textId="69BB86CC" w:rsidR="006256BF" w:rsidRPr="003A0EA1" w:rsidRDefault="0054046D" w:rsidP="009B6793">
            <w:pPr>
              <w:rPr>
                <w:color w:val="000000" w:themeColor="text1"/>
                <w:szCs w:val="24"/>
              </w:rPr>
            </w:pPr>
            <w:r>
              <w:rPr>
                <w:color w:val="000000" w:themeColor="text1"/>
                <w:szCs w:val="24"/>
              </w:rPr>
              <w:t>$3</w:t>
            </w:r>
            <w:r w:rsidR="007E68F7">
              <w:rPr>
                <w:color w:val="000000" w:themeColor="text1"/>
                <w:szCs w:val="24"/>
              </w:rPr>
              <w:t>88,099</w:t>
            </w:r>
          </w:p>
        </w:tc>
      </w:tr>
      <w:tr w:rsidR="006256BF" w:rsidRPr="00D101F0" w14:paraId="34F6FD64" w14:textId="7B5B0B02" w:rsidTr="006256BF">
        <w:tc>
          <w:tcPr>
            <w:tcW w:w="3006" w:type="dxa"/>
            <w:tcBorders>
              <w:bottom w:val="single" w:sz="12" w:space="0" w:color="auto"/>
            </w:tcBorders>
          </w:tcPr>
          <w:p w14:paraId="5E05A30C" w14:textId="77777777" w:rsidR="006256BF" w:rsidRPr="003A0EA1" w:rsidRDefault="006256BF" w:rsidP="009B6793">
            <w:pPr>
              <w:rPr>
                <w:color w:val="000000" w:themeColor="text1"/>
              </w:rPr>
            </w:pPr>
            <w:r w:rsidRPr="003A0EA1">
              <w:rPr>
                <w:color w:val="000000" w:themeColor="text1"/>
              </w:rPr>
              <w:t>Level 4.3</w:t>
            </w:r>
          </w:p>
        </w:tc>
        <w:tc>
          <w:tcPr>
            <w:tcW w:w="1842" w:type="dxa"/>
            <w:tcBorders>
              <w:bottom w:val="single" w:sz="12" w:space="0" w:color="auto"/>
            </w:tcBorders>
            <w:shd w:val="clear" w:color="auto" w:fill="auto"/>
          </w:tcPr>
          <w:p w14:paraId="194CDE40" w14:textId="5BCC55EC" w:rsidR="006256BF" w:rsidRPr="003A0EA1" w:rsidRDefault="00CE1B99" w:rsidP="009B6793">
            <w:pPr>
              <w:rPr>
                <w:color w:val="000000" w:themeColor="text1"/>
                <w:szCs w:val="24"/>
              </w:rPr>
            </w:pPr>
            <w:r>
              <w:rPr>
                <w:color w:val="000000" w:themeColor="text1"/>
                <w:szCs w:val="24"/>
              </w:rPr>
              <w:t>$3</w:t>
            </w:r>
            <w:r w:rsidR="00464754">
              <w:rPr>
                <w:color w:val="000000" w:themeColor="text1"/>
                <w:szCs w:val="24"/>
              </w:rPr>
              <w:t>67,906</w:t>
            </w:r>
          </w:p>
        </w:tc>
        <w:tc>
          <w:tcPr>
            <w:tcW w:w="1842" w:type="dxa"/>
            <w:tcBorders>
              <w:bottom w:val="single" w:sz="12" w:space="0" w:color="auto"/>
            </w:tcBorders>
          </w:tcPr>
          <w:p w14:paraId="6EC256B7" w14:textId="34B50351" w:rsidR="006256BF" w:rsidRPr="003A0EA1" w:rsidRDefault="0054046D" w:rsidP="009B6793">
            <w:pPr>
              <w:rPr>
                <w:color w:val="000000" w:themeColor="text1"/>
                <w:szCs w:val="24"/>
              </w:rPr>
            </w:pPr>
            <w:r>
              <w:rPr>
                <w:color w:val="000000" w:themeColor="text1"/>
                <w:szCs w:val="24"/>
              </w:rPr>
              <w:t>$40</w:t>
            </w:r>
            <w:r w:rsidR="007E68F7">
              <w:rPr>
                <w:color w:val="000000" w:themeColor="text1"/>
                <w:szCs w:val="24"/>
              </w:rPr>
              <w:t>0,906</w:t>
            </w:r>
          </w:p>
        </w:tc>
      </w:tr>
      <w:tr w:rsidR="006256BF" w:rsidRPr="00D101F0" w14:paraId="792D129D" w14:textId="3085A896" w:rsidTr="006256BF">
        <w:tc>
          <w:tcPr>
            <w:tcW w:w="3006" w:type="dxa"/>
            <w:tcBorders>
              <w:top w:val="single" w:sz="12" w:space="0" w:color="auto"/>
            </w:tcBorders>
          </w:tcPr>
          <w:p w14:paraId="6EB60146" w14:textId="77777777" w:rsidR="006256BF" w:rsidRPr="003A0EA1" w:rsidRDefault="006256BF" w:rsidP="009B6793">
            <w:pPr>
              <w:rPr>
                <w:color w:val="000000" w:themeColor="text1"/>
              </w:rPr>
            </w:pPr>
            <w:r w:rsidRPr="003A0EA1">
              <w:rPr>
                <w:color w:val="000000" w:themeColor="text1"/>
              </w:rPr>
              <w:lastRenderedPageBreak/>
              <w:t xml:space="preserve">Level 4.4 </w:t>
            </w:r>
            <w:r w:rsidRPr="003A0EA1">
              <w:rPr>
                <w:color w:val="000000" w:themeColor="text1"/>
              </w:rPr>
              <w:br/>
            </w:r>
            <w:r w:rsidRPr="003A0EA1">
              <w:rPr>
                <w:color w:val="000000" w:themeColor="text1"/>
                <w:sz w:val="20"/>
              </w:rPr>
              <w:t>(Head of Service)</w:t>
            </w:r>
          </w:p>
        </w:tc>
        <w:tc>
          <w:tcPr>
            <w:tcW w:w="1842" w:type="dxa"/>
            <w:tcBorders>
              <w:top w:val="single" w:sz="12" w:space="0" w:color="auto"/>
            </w:tcBorders>
            <w:shd w:val="clear" w:color="auto" w:fill="auto"/>
            <w:vAlign w:val="bottom"/>
          </w:tcPr>
          <w:p w14:paraId="575BD5FC" w14:textId="2B3F401A" w:rsidR="006256BF" w:rsidRPr="003A0EA1" w:rsidRDefault="00CE1B99" w:rsidP="007E68F7">
            <w:pPr>
              <w:jc w:val="both"/>
              <w:rPr>
                <w:color w:val="000000" w:themeColor="text1"/>
                <w:szCs w:val="24"/>
              </w:rPr>
            </w:pPr>
            <w:r>
              <w:rPr>
                <w:color w:val="000000" w:themeColor="text1"/>
                <w:szCs w:val="24"/>
              </w:rPr>
              <w:t>$40</w:t>
            </w:r>
            <w:r w:rsidR="00464754">
              <w:rPr>
                <w:color w:val="000000" w:themeColor="text1"/>
                <w:szCs w:val="24"/>
              </w:rPr>
              <w:t>1,014</w:t>
            </w:r>
          </w:p>
        </w:tc>
        <w:tc>
          <w:tcPr>
            <w:tcW w:w="1842" w:type="dxa"/>
            <w:tcBorders>
              <w:top w:val="single" w:sz="12" w:space="0" w:color="auto"/>
            </w:tcBorders>
          </w:tcPr>
          <w:p w14:paraId="7215E4EE" w14:textId="77777777" w:rsidR="007E68F7" w:rsidRDefault="007E68F7" w:rsidP="007E68F7">
            <w:pPr>
              <w:jc w:val="both"/>
              <w:rPr>
                <w:color w:val="000000" w:themeColor="text1"/>
                <w:szCs w:val="24"/>
              </w:rPr>
            </w:pPr>
          </w:p>
          <w:p w14:paraId="12A150F2" w14:textId="603F2907" w:rsidR="006256BF" w:rsidRPr="003A0EA1" w:rsidRDefault="0054046D" w:rsidP="007E68F7">
            <w:pPr>
              <w:jc w:val="both"/>
              <w:rPr>
                <w:color w:val="000000" w:themeColor="text1"/>
                <w:szCs w:val="24"/>
              </w:rPr>
            </w:pPr>
            <w:r>
              <w:rPr>
                <w:color w:val="000000" w:themeColor="text1"/>
                <w:szCs w:val="24"/>
              </w:rPr>
              <w:t>$4</w:t>
            </w:r>
            <w:r w:rsidR="007E68F7">
              <w:rPr>
                <w:color w:val="000000" w:themeColor="text1"/>
                <w:szCs w:val="24"/>
              </w:rPr>
              <w:t>34,014</w:t>
            </w:r>
          </w:p>
        </w:tc>
      </w:tr>
    </w:tbl>
    <w:p w14:paraId="2776F887" w14:textId="09E9199F" w:rsidR="009B6793" w:rsidRPr="006E7416" w:rsidRDefault="009B6793" w:rsidP="009B6793">
      <w:pPr>
        <w:numPr>
          <w:ilvl w:val="1"/>
          <w:numId w:val="1"/>
        </w:numPr>
        <w:spacing w:before="80" w:after="60"/>
        <w:rPr>
          <w:color w:val="000000" w:themeColor="text1"/>
        </w:rPr>
      </w:pPr>
      <w:r w:rsidRPr="006E7416">
        <w:rPr>
          <w:color w:val="000000" w:themeColor="text1"/>
        </w:rPr>
        <w:t>If an executive has an employer-provided vehicle, Determination 2 of 2021 continues to apply</w:t>
      </w:r>
      <w:r w:rsidR="001B3A29" w:rsidRPr="006E7416">
        <w:rPr>
          <w:color w:val="000000" w:themeColor="text1"/>
        </w:rPr>
        <w:t xml:space="preserve"> until such time as the lease of the vehicle </w:t>
      </w:r>
      <w:r w:rsidR="00EA238C" w:rsidRPr="006E7416">
        <w:rPr>
          <w:color w:val="000000" w:themeColor="text1"/>
        </w:rPr>
        <w:t>ends</w:t>
      </w:r>
      <w:r w:rsidRPr="006E7416">
        <w:rPr>
          <w:color w:val="000000" w:themeColor="text1"/>
        </w:rPr>
        <w:t>.</w:t>
      </w:r>
    </w:p>
    <w:p w14:paraId="54955FD6" w14:textId="5CF45149" w:rsidR="00F11BCC" w:rsidRDefault="00F11BCC" w:rsidP="00F11BCC">
      <w:pPr>
        <w:numPr>
          <w:ilvl w:val="1"/>
          <w:numId w:val="1"/>
        </w:numPr>
        <w:tabs>
          <w:tab w:val="clear" w:pos="720"/>
          <w:tab w:val="num" w:pos="0"/>
        </w:tabs>
        <w:spacing w:before="80" w:after="60"/>
        <w:ind w:left="709" w:hanging="709"/>
      </w:pPr>
      <w:r w:rsidRPr="00335707">
        <w:t>If a person engaged at a level listed i</w:t>
      </w:r>
      <w:r w:rsidRPr="00F87F1D">
        <w:rPr>
          <w:color w:val="000000" w:themeColor="text1"/>
        </w:rPr>
        <w:t xml:space="preserve">n column </w:t>
      </w:r>
      <w:r w:rsidR="00915F3A" w:rsidRPr="00F87F1D">
        <w:rPr>
          <w:color w:val="000000" w:themeColor="text1"/>
        </w:rPr>
        <w:t>1</w:t>
      </w:r>
      <w:r w:rsidR="00F00DFB" w:rsidRPr="00F87F1D">
        <w:rPr>
          <w:color w:val="000000" w:themeColor="text1"/>
        </w:rPr>
        <w:t xml:space="preserve"> </w:t>
      </w:r>
      <w:r w:rsidRPr="00335707">
        <w:t xml:space="preserve">of Table 2.1 is also engaged in or appointed to another </w:t>
      </w:r>
      <w:r w:rsidRPr="00D21F9B">
        <w:rPr>
          <w:color w:val="000000" w:themeColor="text1"/>
        </w:rPr>
        <w:t>office</w:t>
      </w:r>
      <w:r w:rsidR="00F87F1D" w:rsidRPr="00D21F9B">
        <w:rPr>
          <w:color w:val="000000" w:themeColor="text1"/>
        </w:rPr>
        <w:t xml:space="preserve"> under ACT legislation, </w:t>
      </w:r>
      <w:r w:rsidRPr="00D21F9B">
        <w:rPr>
          <w:color w:val="000000" w:themeColor="text1"/>
        </w:rPr>
        <w:t>the person must only receive remuneration for the office that has the highest remuneration</w:t>
      </w:r>
      <w:r w:rsidRPr="00335707">
        <w:t>.</w:t>
      </w:r>
    </w:p>
    <w:p w14:paraId="4C8F6D3A" w14:textId="32070CC1" w:rsidR="00932D00" w:rsidRPr="00F87F1D" w:rsidRDefault="00932D00" w:rsidP="00932D00">
      <w:pPr>
        <w:numPr>
          <w:ilvl w:val="1"/>
          <w:numId w:val="1"/>
        </w:numPr>
        <w:spacing w:before="80" w:after="60"/>
        <w:rPr>
          <w:color w:val="000000" w:themeColor="text1"/>
        </w:rPr>
      </w:pPr>
      <w:r w:rsidRPr="00F87F1D">
        <w:rPr>
          <w:color w:val="000000" w:themeColor="text1"/>
        </w:rPr>
        <w:t xml:space="preserve">The person engaged as the Head of Service is to be paid additional remuneration of $10,000 per annum above the remuneration of an executive level 4.4 specified in column </w:t>
      </w:r>
      <w:r w:rsidR="0054046D">
        <w:rPr>
          <w:color w:val="000000" w:themeColor="text1"/>
        </w:rPr>
        <w:t>3</w:t>
      </w:r>
      <w:r w:rsidRPr="00F87F1D">
        <w:rPr>
          <w:color w:val="000000" w:themeColor="text1"/>
        </w:rPr>
        <w:t xml:space="preserve"> of Table 2.1. This additional remuneration is included as base remuneration and is recognised as salary for superannuation purposes.</w:t>
      </w:r>
    </w:p>
    <w:p w14:paraId="3A13F585" w14:textId="77777777" w:rsidR="00F11BCC" w:rsidRPr="00F87F1D" w:rsidRDefault="00F11BCC" w:rsidP="00F11BCC">
      <w:pPr>
        <w:pStyle w:val="Heading3"/>
        <w:tabs>
          <w:tab w:val="clear" w:pos="720"/>
        </w:tabs>
        <w:ind w:left="709"/>
        <w:rPr>
          <w:color w:val="000000" w:themeColor="text1"/>
        </w:rPr>
      </w:pPr>
      <w:r w:rsidRPr="00F87F1D">
        <w:rPr>
          <w:color w:val="000000" w:themeColor="text1"/>
        </w:rPr>
        <w:t>Salary packaging</w:t>
      </w:r>
    </w:p>
    <w:p w14:paraId="2ABED080" w14:textId="65DDB02C" w:rsidR="00F11BCC" w:rsidRDefault="00F11BCC" w:rsidP="00F11BCC">
      <w:pPr>
        <w:numPr>
          <w:ilvl w:val="1"/>
          <w:numId w:val="1"/>
        </w:numPr>
        <w:tabs>
          <w:tab w:val="clear" w:pos="720"/>
          <w:tab w:val="num" w:pos="0"/>
        </w:tabs>
        <w:spacing w:before="80" w:after="60"/>
        <w:ind w:left="709" w:hanging="709"/>
      </w:pPr>
      <w:r w:rsidRPr="00F87F1D">
        <w:rPr>
          <w:color w:val="000000" w:themeColor="text1"/>
        </w:rPr>
        <w:t xml:space="preserve">An executive may elect to take the remuneration mentioned in column </w:t>
      </w:r>
      <w:r w:rsidR="00915F3A" w:rsidRPr="00F87F1D">
        <w:rPr>
          <w:color w:val="000000" w:themeColor="text1"/>
        </w:rPr>
        <w:t>2</w:t>
      </w:r>
      <w:r w:rsidR="00F00DFB" w:rsidRPr="00F87F1D">
        <w:rPr>
          <w:color w:val="000000" w:themeColor="text1"/>
        </w:rPr>
        <w:t xml:space="preserve"> </w:t>
      </w:r>
      <w:r w:rsidRPr="00F87F1D">
        <w:rPr>
          <w:color w:val="000000" w:themeColor="text1"/>
        </w:rPr>
        <w:t xml:space="preserve">of Table 2.1 </w:t>
      </w:r>
      <w:r w:rsidRPr="00BF6FC8">
        <w:t>as</w:t>
      </w:r>
      <w:r>
        <w:t>:</w:t>
      </w:r>
    </w:p>
    <w:p w14:paraId="755193FE" w14:textId="77777777" w:rsidR="00F11BCC" w:rsidRDefault="00F11BCC" w:rsidP="00F11BCC">
      <w:pPr>
        <w:numPr>
          <w:ilvl w:val="2"/>
          <w:numId w:val="1"/>
        </w:numPr>
        <w:tabs>
          <w:tab w:val="clear" w:pos="720"/>
        </w:tabs>
        <w:spacing w:after="60"/>
        <w:ind w:left="1134" w:hanging="436"/>
      </w:pPr>
      <w:r w:rsidRPr="00BF6FC8">
        <w:t>salary</w:t>
      </w:r>
      <w:r>
        <w:t>;</w:t>
      </w:r>
      <w:r w:rsidRPr="00BF6FC8">
        <w:t xml:space="preserve"> or </w:t>
      </w:r>
    </w:p>
    <w:p w14:paraId="55A75AC7" w14:textId="77777777" w:rsidR="00F11BCC" w:rsidRPr="00BF6FC8" w:rsidRDefault="00F11BCC" w:rsidP="00F11BCC">
      <w:pPr>
        <w:numPr>
          <w:ilvl w:val="2"/>
          <w:numId w:val="1"/>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0526687" w14:textId="77777777" w:rsidR="00F11BCC" w:rsidRDefault="00F11BCC" w:rsidP="00F11BCC">
      <w:pPr>
        <w:keepNext/>
        <w:keepLines/>
        <w:numPr>
          <w:ilvl w:val="1"/>
          <w:numId w:val="1"/>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4434018A" w14:textId="77777777" w:rsidR="00F11BCC" w:rsidRDefault="00F11BCC" w:rsidP="00F11BCC">
      <w:pPr>
        <w:numPr>
          <w:ilvl w:val="2"/>
          <w:numId w:val="1"/>
        </w:numPr>
        <w:tabs>
          <w:tab w:val="clear" w:pos="720"/>
        </w:tabs>
        <w:spacing w:after="60"/>
        <w:ind w:left="1134" w:hanging="436"/>
      </w:pPr>
      <w:r w:rsidRPr="00BF6FC8">
        <w:t>taxation laws and guidelines issued by</w:t>
      </w:r>
      <w:r>
        <w:t xml:space="preserve"> the Australian Taxation Office; and</w:t>
      </w:r>
    </w:p>
    <w:p w14:paraId="1A2BE353" w14:textId="77777777" w:rsidR="00F11BCC" w:rsidRPr="005C2122" w:rsidRDefault="00501D02" w:rsidP="00F11BCC">
      <w:pPr>
        <w:numPr>
          <w:ilvl w:val="2"/>
          <w:numId w:val="1"/>
        </w:numPr>
        <w:tabs>
          <w:tab w:val="clear" w:pos="720"/>
        </w:tabs>
        <w:spacing w:after="60"/>
        <w:ind w:left="1134" w:hanging="436"/>
      </w:pPr>
      <w:r w:rsidRPr="00501D02">
        <w:t>any salary packaging policy and/or procedures issued for the ACT Public Service</w:t>
      </w:r>
      <w:r w:rsidR="00F11BCC" w:rsidRPr="005C2122">
        <w:t>, with up to 100% of the remuneration a</w:t>
      </w:r>
      <w:r w:rsidR="00F11BCC">
        <w:t>b</w:t>
      </w:r>
      <w:r w:rsidR="00F11BCC" w:rsidRPr="005C2122">
        <w:t xml:space="preserve">le to be taken as benefits and related costs </w:t>
      </w:r>
      <w:r w:rsidR="00F11BCC">
        <w:t>such as</w:t>
      </w:r>
      <w:r w:rsidR="00F11BCC" w:rsidRPr="005C2122">
        <w:t xml:space="preserve"> </w:t>
      </w:r>
      <w:r w:rsidR="00F11BCC">
        <w:t>f</w:t>
      </w:r>
      <w:r w:rsidR="00F11BCC" w:rsidRPr="005C2122">
        <w:t xml:space="preserve">ringe </w:t>
      </w:r>
      <w:r w:rsidR="00F11BCC">
        <w:t>b</w:t>
      </w:r>
      <w:r w:rsidR="00F11BCC" w:rsidRPr="005C2122">
        <w:t xml:space="preserve">enefits </w:t>
      </w:r>
      <w:r w:rsidR="00F11BCC">
        <w:t>t</w:t>
      </w:r>
      <w:r w:rsidR="00F11BCC" w:rsidRPr="005C2122">
        <w:t xml:space="preserve">ax. </w:t>
      </w:r>
    </w:p>
    <w:p w14:paraId="20BCB8FA" w14:textId="77777777" w:rsidR="00F11BCC" w:rsidRDefault="00F11BCC" w:rsidP="00F11BCC">
      <w:pPr>
        <w:numPr>
          <w:ilvl w:val="1"/>
          <w:numId w:val="1"/>
        </w:numPr>
        <w:tabs>
          <w:tab w:val="clear" w:pos="720"/>
          <w:tab w:val="num" w:pos="0"/>
        </w:tabs>
        <w:spacing w:before="80" w:after="60"/>
        <w:ind w:left="709" w:hanging="709"/>
      </w:pPr>
      <w:r>
        <w:t xml:space="preserve">If an executive is </w:t>
      </w:r>
      <w:r w:rsidRPr="00E83359">
        <w:t>working fo</w:t>
      </w:r>
      <w:r>
        <w:t xml:space="preserve">r </w:t>
      </w:r>
      <w:r w:rsidRPr="00947B6F">
        <w:t>a Public Benevolent Institution,</w:t>
      </w:r>
      <w:r w:rsidRPr="00E83359">
        <w:t xml:space="preserve"> the benefit items that normally incur </w:t>
      </w:r>
      <w:r w:rsidRPr="006368F6">
        <w:t>fringe benefits tax</w:t>
      </w:r>
      <w:r w:rsidRPr="00E83359">
        <w:t xml:space="preserve"> must not incur more than $17,000 grossed up taxable value per </w:t>
      </w:r>
      <w:r w:rsidRPr="006368F6">
        <w:t>fringe benefits tax</w:t>
      </w:r>
      <w:r w:rsidRPr="00E83359">
        <w:t xml:space="preserve"> year, </w:t>
      </w:r>
      <w:r>
        <w:t>without</w:t>
      </w:r>
      <w:r w:rsidRPr="00E83359">
        <w:t xml:space="preserve"> prior approval from</w:t>
      </w:r>
      <w:r w:rsidR="00A7162F">
        <w:t>:</w:t>
      </w:r>
    </w:p>
    <w:p w14:paraId="03110FCA" w14:textId="1DE18F17" w:rsidR="00F11BCC" w:rsidRDefault="00F11BCC" w:rsidP="00F11BCC">
      <w:pPr>
        <w:numPr>
          <w:ilvl w:val="2"/>
          <w:numId w:val="1"/>
        </w:numPr>
        <w:tabs>
          <w:tab w:val="clear" w:pos="720"/>
        </w:tabs>
        <w:spacing w:after="60"/>
        <w:ind w:left="1134" w:hanging="436"/>
      </w:pPr>
      <w:r w:rsidRPr="00500382">
        <w:t>for directors-general</w:t>
      </w:r>
      <w:r w:rsidRPr="00335707">
        <w:rPr>
          <w:rFonts w:eastAsia="Calibri"/>
          <w:szCs w:val="24"/>
        </w:rPr>
        <w:t>—</w:t>
      </w:r>
      <w:r w:rsidRPr="00E83359">
        <w:t xml:space="preserve">the </w:t>
      </w:r>
      <w:r w:rsidR="004D6306">
        <w:t>head of service</w:t>
      </w:r>
      <w:r>
        <w:t xml:space="preserve">; and </w:t>
      </w:r>
    </w:p>
    <w:p w14:paraId="40975801" w14:textId="77777777" w:rsidR="00F11BCC" w:rsidRPr="00E83359" w:rsidRDefault="00F11BCC" w:rsidP="00F11BCC">
      <w:pPr>
        <w:numPr>
          <w:ilvl w:val="2"/>
          <w:numId w:val="1"/>
        </w:numPr>
        <w:tabs>
          <w:tab w:val="clear" w:pos="720"/>
        </w:tabs>
        <w:spacing w:after="60"/>
        <w:ind w:left="1134" w:hanging="436"/>
      </w:pPr>
      <w:r w:rsidRPr="00500382">
        <w:t>for executives</w:t>
      </w:r>
      <w:r w:rsidRPr="00335707">
        <w:rPr>
          <w:rFonts w:eastAsia="Calibri"/>
          <w:szCs w:val="24"/>
        </w:rPr>
        <w:t>—the relevant</w:t>
      </w:r>
      <w:r w:rsidRPr="00E83359">
        <w:t xml:space="preserve"> </w:t>
      </w:r>
      <w:r>
        <w:t>director-general</w:t>
      </w:r>
      <w:r w:rsidRPr="00E83359">
        <w:t>.</w:t>
      </w:r>
    </w:p>
    <w:p w14:paraId="0917EADF" w14:textId="77777777" w:rsidR="00F11BCC" w:rsidRPr="00BF6FC8" w:rsidRDefault="00F11BCC" w:rsidP="00F11BCC">
      <w:pPr>
        <w:numPr>
          <w:ilvl w:val="1"/>
          <w:numId w:val="1"/>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59A2295" w14:textId="77777777" w:rsidR="00F11BCC" w:rsidRDefault="00F11BCC" w:rsidP="00F11BCC">
      <w:pPr>
        <w:numPr>
          <w:ilvl w:val="1"/>
          <w:numId w:val="1"/>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352DA976" w14:textId="77777777" w:rsidR="00F11BCC" w:rsidRPr="00C85627" w:rsidRDefault="00F11BCC" w:rsidP="00F11BCC">
      <w:pPr>
        <w:pStyle w:val="Heading3"/>
        <w:tabs>
          <w:tab w:val="clear" w:pos="720"/>
        </w:tabs>
        <w:ind w:left="709"/>
      </w:pPr>
      <w:r w:rsidRPr="00C85627">
        <w:t>Employer provided benefits</w:t>
      </w:r>
    </w:p>
    <w:p w14:paraId="5B19ADB4" w14:textId="22BCCA1B" w:rsidR="00A052D8" w:rsidRPr="00B656CC" w:rsidRDefault="00F11BCC" w:rsidP="006442AA">
      <w:pPr>
        <w:numPr>
          <w:ilvl w:val="1"/>
          <w:numId w:val="1"/>
        </w:numPr>
        <w:spacing w:before="80" w:after="60"/>
        <w:rPr>
          <w:szCs w:val="24"/>
        </w:rPr>
      </w:pPr>
      <w:r w:rsidRPr="00335707">
        <w:rPr>
          <w:szCs w:val="24"/>
        </w:rPr>
        <w:t xml:space="preserve">An executive </w:t>
      </w:r>
      <w:r w:rsidRPr="00A05757">
        <w:rPr>
          <w:szCs w:val="24"/>
        </w:rPr>
        <w:t xml:space="preserve">is entitled to either the employer provided benefits mentioned </w:t>
      </w:r>
      <w:r w:rsidR="00942F3C">
        <w:rPr>
          <w:szCs w:val="24"/>
        </w:rPr>
        <w:t>below</w:t>
      </w:r>
      <w:r w:rsidRPr="00A05757">
        <w:rPr>
          <w:szCs w:val="24"/>
        </w:rPr>
        <w:t xml:space="preserve"> </w:t>
      </w:r>
      <w:r w:rsidRPr="00B656CC">
        <w:rPr>
          <w:szCs w:val="24"/>
        </w:rPr>
        <w:t xml:space="preserve">or the relevant cash payment in lieu of the benefit mentioned </w:t>
      </w:r>
      <w:r w:rsidR="00942F3C" w:rsidRPr="00B656CC">
        <w:rPr>
          <w:szCs w:val="24"/>
        </w:rPr>
        <w:t>below</w:t>
      </w:r>
      <w:r w:rsidRPr="00B656CC">
        <w:rPr>
          <w:szCs w:val="24"/>
        </w:rPr>
        <w:t>.</w:t>
      </w:r>
    </w:p>
    <w:p w14:paraId="01F3F49C" w14:textId="7AA69C70" w:rsidR="00A6753C" w:rsidRPr="00B656CC" w:rsidRDefault="00A6753C" w:rsidP="00A6753C">
      <w:pPr>
        <w:numPr>
          <w:ilvl w:val="1"/>
          <w:numId w:val="1"/>
        </w:numPr>
        <w:spacing w:before="80" w:after="60"/>
        <w:rPr>
          <w:szCs w:val="24"/>
        </w:rPr>
      </w:pPr>
      <w:r w:rsidRPr="00B656CC">
        <w:rPr>
          <w:szCs w:val="24"/>
        </w:rPr>
        <w:t>An employer-provided benefit, or cash payment in lieu of an employer-provided benefit, is in addition to the remuneration specified in clause 2 of this determination, and does not affect salary for superannuation purposes.</w:t>
      </w:r>
    </w:p>
    <w:p w14:paraId="6B2E8F26" w14:textId="4EC1D85D" w:rsidR="00F11BCC" w:rsidRPr="00B656CC" w:rsidRDefault="00A6753C" w:rsidP="00B656CC">
      <w:pPr>
        <w:numPr>
          <w:ilvl w:val="1"/>
          <w:numId w:val="1"/>
        </w:numPr>
        <w:spacing w:before="80" w:after="60"/>
      </w:pPr>
      <w:r w:rsidRPr="00B656CC">
        <w:rPr>
          <w:szCs w:val="24"/>
        </w:rPr>
        <w:t>For</w:t>
      </w:r>
      <w:r w:rsidRPr="00B656CC">
        <w:t xml:space="preserve"> the avoidance of doubt, the value of an allowance or entitlement set out in this Determination is fixed and cannot be transferred to any other component of the total remuneration package.</w:t>
      </w:r>
    </w:p>
    <w:p w14:paraId="74368310" w14:textId="77777777" w:rsidR="00F11BCC" w:rsidRDefault="00F11BCC" w:rsidP="00FE029D">
      <w:pPr>
        <w:keepNext/>
        <w:autoSpaceDE w:val="0"/>
        <w:autoSpaceDN w:val="0"/>
        <w:adjustRightInd w:val="0"/>
        <w:spacing w:before="80" w:after="60"/>
        <w:ind w:left="1276" w:hanging="567"/>
        <w:rPr>
          <w:sz w:val="20"/>
        </w:rPr>
      </w:pPr>
      <w:r w:rsidRPr="00FE029D">
        <w:rPr>
          <w:sz w:val="20"/>
          <w:lang w:val="en-US"/>
        </w:rPr>
        <w:lastRenderedPageBreak/>
        <w:t>Note:</w:t>
      </w:r>
      <w:r w:rsidRPr="00FE029D">
        <w:rPr>
          <w:sz w:val="20"/>
          <w:lang w:val="en-US"/>
        </w:rPr>
        <w:tab/>
        <w:t xml:space="preserve">travel entitlements are provided under the </w:t>
      </w:r>
      <w:r w:rsidRPr="00AD0936">
        <w:rPr>
          <w:i/>
          <w:sz w:val="20"/>
        </w:rPr>
        <w:t>Public Sector Management Standards 2006</w:t>
      </w:r>
      <w:r w:rsidR="00942F3C">
        <w:rPr>
          <w:i/>
          <w:sz w:val="20"/>
        </w:rPr>
        <w:t xml:space="preserve"> (repealed)</w:t>
      </w:r>
      <w:r w:rsidRPr="00FE029D">
        <w:rPr>
          <w:sz w:val="20"/>
        </w:rPr>
        <w:t>.</w:t>
      </w:r>
    </w:p>
    <w:p w14:paraId="6A4EEA21" w14:textId="00D550B6" w:rsidR="00942F3C" w:rsidRPr="006E7416" w:rsidRDefault="00942F3C" w:rsidP="00942F3C">
      <w:pPr>
        <w:pStyle w:val="Heading2"/>
        <w:spacing w:before="120"/>
        <w:ind w:left="709"/>
        <w:jc w:val="left"/>
        <w:rPr>
          <w:color w:val="000000" w:themeColor="text1"/>
          <w:szCs w:val="24"/>
        </w:rPr>
      </w:pPr>
      <w:r w:rsidRPr="006E7416">
        <w:rPr>
          <w:color w:val="000000" w:themeColor="text1"/>
          <w:szCs w:val="24"/>
        </w:rPr>
        <w:t xml:space="preserve">Vehicle </w:t>
      </w:r>
      <w:r w:rsidR="001B3A29" w:rsidRPr="006E7416">
        <w:rPr>
          <w:color w:val="000000" w:themeColor="text1"/>
          <w:szCs w:val="24"/>
        </w:rPr>
        <w:t>parking space</w:t>
      </w:r>
    </w:p>
    <w:p w14:paraId="7078F4CA" w14:textId="7115357B" w:rsidR="00942F3C" w:rsidRPr="00A05757" w:rsidRDefault="00942F3C" w:rsidP="00942F3C">
      <w:pPr>
        <w:numPr>
          <w:ilvl w:val="1"/>
          <w:numId w:val="1"/>
        </w:numPr>
        <w:tabs>
          <w:tab w:val="clear" w:pos="720"/>
        </w:tabs>
        <w:spacing w:before="80" w:after="60"/>
        <w:ind w:left="709" w:hanging="709"/>
        <w:rPr>
          <w:szCs w:val="24"/>
          <w:lang w:val="en-US"/>
        </w:rPr>
      </w:pPr>
      <w:r>
        <w:rPr>
          <w:szCs w:val="24"/>
        </w:rPr>
        <w:t xml:space="preserve">An executive </w:t>
      </w:r>
      <w:r w:rsidR="00E102AE">
        <w:rPr>
          <w:szCs w:val="24"/>
        </w:rPr>
        <w:t xml:space="preserve">is entitled to a </w:t>
      </w:r>
      <w:r>
        <w:rPr>
          <w:szCs w:val="24"/>
        </w:rPr>
        <w:t xml:space="preserve">parking space in accordance with the </w:t>
      </w:r>
      <w:r w:rsidRPr="00942F3C">
        <w:rPr>
          <w:i/>
          <w:szCs w:val="24"/>
        </w:rPr>
        <w:t>Public Sector Management Standards 2016</w:t>
      </w:r>
      <w:r>
        <w:rPr>
          <w:szCs w:val="24"/>
        </w:rPr>
        <w:t>.</w:t>
      </w:r>
    </w:p>
    <w:p w14:paraId="6B53CC70" w14:textId="77777777" w:rsidR="00F11BCC" w:rsidRPr="00A05757" w:rsidRDefault="00F11BCC" w:rsidP="00F11BCC">
      <w:pPr>
        <w:pStyle w:val="Heading2"/>
        <w:spacing w:before="120"/>
        <w:ind w:left="709"/>
        <w:jc w:val="left"/>
        <w:rPr>
          <w:szCs w:val="24"/>
        </w:rPr>
      </w:pPr>
      <w:r w:rsidRPr="00A05757">
        <w:rPr>
          <w:szCs w:val="24"/>
        </w:rPr>
        <w:t>Employer’s superannuation contribution</w:t>
      </w:r>
    </w:p>
    <w:p w14:paraId="08D6C3A0" w14:textId="77777777" w:rsidR="00F11BCC" w:rsidRDefault="00F11BCC" w:rsidP="00F11BCC">
      <w:pPr>
        <w:numPr>
          <w:ilvl w:val="1"/>
          <w:numId w:val="1"/>
        </w:numPr>
        <w:tabs>
          <w:tab w:val="clear" w:pos="720"/>
        </w:tabs>
        <w:spacing w:before="80" w:after="60"/>
        <w:ind w:left="709" w:hanging="709"/>
        <w:rPr>
          <w:szCs w:val="24"/>
          <w:lang w:val="en-US"/>
        </w:rPr>
      </w:pPr>
      <w:r w:rsidRPr="00A05757">
        <w:rPr>
          <w:szCs w:val="24"/>
        </w:rPr>
        <w:t>A</w:t>
      </w:r>
      <w:r>
        <w:rPr>
          <w:szCs w:val="24"/>
        </w:rPr>
        <w:t xml:space="preserve">n executive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40B3B135" w14:textId="3E910FF1" w:rsidR="00F11BCC" w:rsidRPr="0075183B" w:rsidRDefault="00F11BCC" w:rsidP="00F11BCC">
      <w:pPr>
        <w:numPr>
          <w:ilvl w:val="1"/>
          <w:numId w:val="1"/>
        </w:numPr>
        <w:tabs>
          <w:tab w:val="clear" w:pos="720"/>
          <w:tab w:val="num" w:pos="0"/>
        </w:tabs>
        <w:spacing w:before="80" w:after="60"/>
        <w:ind w:left="709" w:hanging="709"/>
      </w:pPr>
      <w:r>
        <w:t xml:space="preserve">An executive </w:t>
      </w:r>
      <w:r w:rsidRPr="0075183B">
        <w:t xml:space="preserve">who is a member of </w:t>
      </w:r>
      <w:r>
        <w:t xml:space="preserve">the </w:t>
      </w:r>
      <w:r w:rsidR="00737A85">
        <w:t>Commonwealth Superannuation Scheme (</w:t>
      </w:r>
      <w:r w:rsidR="00737A85" w:rsidRPr="007B3690">
        <w:t>CSS</w:t>
      </w:r>
      <w:r w:rsidR="00737A85">
        <w:t>)</w:t>
      </w:r>
      <w:r w:rsidR="00737A85" w:rsidRPr="007B3690">
        <w:t xml:space="preserve"> or </w:t>
      </w:r>
      <w:r w:rsidR="00737A85">
        <w:t>Public Sector Superannuation (</w:t>
      </w:r>
      <w:r w:rsidR="00737A85" w:rsidRPr="007B3690">
        <w:t>PSS</w:t>
      </w:r>
      <w:r w:rsidR="00737A85">
        <w:t>) Scheme:</w:t>
      </w:r>
    </w:p>
    <w:p w14:paraId="48A218FE" w14:textId="481073A8" w:rsidR="00F11BCC" w:rsidRDefault="00737A85" w:rsidP="00F11BCC">
      <w:pPr>
        <w:numPr>
          <w:ilvl w:val="2"/>
          <w:numId w:val="1"/>
        </w:numPr>
        <w:tabs>
          <w:tab w:val="clear" w:pos="720"/>
        </w:tabs>
        <w:spacing w:after="60"/>
        <w:ind w:left="1134" w:hanging="436"/>
      </w:pPr>
      <w:r>
        <w:t>the person’s annual rate of remuneration for the purpose of the scheme is the base remuneration as provided in clause 2.1 of this Determination</w:t>
      </w:r>
      <w:r w:rsidR="00F11BCC">
        <w:t>; and</w:t>
      </w:r>
    </w:p>
    <w:p w14:paraId="0DA5A0D8" w14:textId="1B511B01" w:rsidR="00F11BCC" w:rsidRDefault="00737A85" w:rsidP="00F11BCC">
      <w:pPr>
        <w:numPr>
          <w:ilvl w:val="2"/>
          <w:numId w:val="1"/>
        </w:numPr>
        <w:tabs>
          <w:tab w:val="clear" w:pos="720"/>
        </w:tabs>
        <w:spacing w:after="60"/>
        <w:ind w:left="1134" w:hanging="436"/>
      </w:pPr>
      <w:r>
        <w:t>the value attributed to the employer’s superannuation contribution is taken to be a notional 16% of the person’s base remuneration</w:t>
      </w:r>
      <w:r w:rsidR="00F11BCC">
        <w:t>.</w:t>
      </w:r>
    </w:p>
    <w:p w14:paraId="26182668" w14:textId="61406FA7" w:rsidR="00F11BCC" w:rsidRDefault="00E102AE" w:rsidP="00F11BCC">
      <w:pPr>
        <w:keepNext/>
        <w:keepLines/>
        <w:numPr>
          <w:ilvl w:val="1"/>
          <w:numId w:val="1"/>
        </w:numPr>
        <w:tabs>
          <w:tab w:val="clear" w:pos="720"/>
          <w:tab w:val="num" w:pos="0"/>
        </w:tabs>
        <w:spacing w:before="80" w:after="60"/>
        <w:ind w:left="709" w:hanging="709"/>
      </w:pPr>
      <w:r>
        <w:t>For</w:t>
      </w:r>
      <w:r w:rsidR="00F11BCC">
        <w:t xml:space="preserve"> </w:t>
      </w:r>
      <w:r w:rsidR="00F11BCC" w:rsidRPr="00BF6FC8">
        <w:t>a</w:t>
      </w:r>
      <w:r w:rsidR="00F11BCC">
        <w:t xml:space="preserve">n executive who is not </w:t>
      </w:r>
      <w:r w:rsidR="00737A85">
        <w:t xml:space="preserve">currently </w:t>
      </w:r>
      <w:r w:rsidR="00F11BCC">
        <w:t xml:space="preserve">a member of the CSS or PSS </w:t>
      </w:r>
      <w:r w:rsidR="00737A85">
        <w:t xml:space="preserve">but </w:t>
      </w:r>
      <w:r w:rsidR="00F11BCC">
        <w:t xml:space="preserve">was </w:t>
      </w:r>
      <w:r w:rsidR="00737A85">
        <w:t>a member of the PSS Accumulation Plan (PSSap) until it closed to the Territory on 30 June 2006</w:t>
      </w:r>
      <w:r>
        <w:t>,</w:t>
      </w:r>
      <w:r w:rsidR="00737A85">
        <w:t xml:space="preserve"> </w:t>
      </w:r>
      <w:r w:rsidR="00F11BCC">
        <w:t xml:space="preserve">and </w:t>
      </w:r>
      <w:r w:rsidR="00737A85">
        <w:t xml:space="preserve">has </w:t>
      </w:r>
      <w:r w:rsidR="00F11BCC">
        <w:t>maintained continuous employment with the Territory</w:t>
      </w:r>
      <w:r>
        <w:rPr>
          <w:rFonts w:eastAsia="Calibri"/>
          <w:szCs w:val="24"/>
        </w:rPr>
        <w:t>:</w:t>
      </w:r>
    </w:p>
    <w:p w14:paraId="07863681" w14:textId="00083250" w:rsidR="00F11BCC" w:rsidRDefault="00F11BCC" w:rsidP="00F11BCC">
      <w:pPr>
        <w:numPr>
          <w:ilvl w:val="2"/>
          <w:numId w:val="1"/>
        </w:numPr>
        <w:tabs>
          <w:tab w:val="clear" w:pos="720"/>
        </w:tabs>
        <w:spacing w:after="60"/>
        <w:ind w:left="1134" w:hanging="436"/>
      </w:pPr>
      <w:r>
        <w:t>the value of the employer’s superannuation contribution is</w:t>
      </w:r>
      <w:r w:rsidR="00737A85">
        <w:t xml:space="preserve"> a notional</w:t>
      </w:r>
      <w:r>
        <w:t xml:space="preserve"> 16% of the </w:t>
      </w:r>
      <w:r w:rsidR="00737A85">
        <w:t xml:space="preserve">base </w:t>
      </w:r>
      <w:r>
        <w:t xml:space="preserve">remuneration </w:t>
      </w:r>
      <w:r w:rsidR="00737A85">
        <w:t>as provided in clause 2.1 of this Determination</w:t>
      </w:r>
      <w:r>
        <w:t>; and</w:t>
      </w:r>
    </w:p>
    <w:p w14:paraId="42E5BAB8" w14:textId="7DE359B1" w:rsidR="00F11BCC" w:rsidRDefault="00F11BCC" w:rsidP="00F11BCC">
      <w:pPr>
        <w:numPr>
          <w:ilvl w:val="2"/>
          <w:numId w:val="1"/>
        </w:numPr>
        <w:tabs>
          <w:tab w:val="clear" w:pos="720"/>
        </w:tabs>
        <w:spacing w:after="60"/>
        <w:ind w:left="1134" w:hanging="436"/>
      </w:pPr>
      <w:r>
        <w:t xml:space="preserve">the employer will contribute </w:t>
      </w:r>
      <w:r w:rsidR="00737A85">
        <w:t xml:space="preserve">that </w:t>
      </w:r>
      <w:r>
        <w:t>amount to an agreed superannuation fund nominated by the executive.</w:t>
      </w:r>
    </w:p>
    <w:p w14:paraId="0239061B" w14:textId="5ADE3D14" w:rsidR="00737A85" w:rsidRDefault="00737A85" w:rsidP="00737A85">
      <w:pPr>
        <w:numPr>
          <w:ilvl w:val="1"/>
          <w:numId w:val="1"/>
        </w:numPr>
        <w:tabs>
          <w:tab w:val="clear" w:pos="720"/>
          <w:tab w:val="num" w:pos="0"/>
        </w:tabs>
        <w:spacing w:before="120" w:after="60"/>
        <w:ind w:left="709" w:hanging="709"/>
      </w:pPr>
      <w:r>
        <w:t xml:space="preserve">For an executive </w:t>
      </w:r>
      <w:r w:rsidRPr="00C03BCF">
        <w:t xml:space="preserve">who is a member of any other superannuation fund, the employer’s superannuation contribution is to be made at a rate </w:t>
      </w:r>
      <w:r w:rsidR="00B656CC">
        <w:t>equivalent to</w:t>
      </w:r>
      <w:r w:rsidRPr="00C03BCF">
        <w:t xml:space="preserve"> the Employer Superannuation Guarantee Charge Percentage as provided by the </w:t>
      </w:r>
      <w:r w:rsidRPr="00C03BCF">
        <w:rPr>
          <w:i/>
        </w:rPr>
        <w:t>Superannuation Guarantee (Administration) Act 1992</w:t>
      </w:r>
      <w:r w:rsidR="006E7416">
        <w:rPr>
          <w:i/>
        </w:rPr>
        <w:t>.</w:t>
      </w:r>
    </w:p>
    <w:p w14:paraId="7220CC5B" w14:textId="18BEC4D2" w:rsidR="00B05D84" w:rsidRPr="006E7416" w:rsidRDefault="00B05D84" w:rsidP="00B05D84">
      <w:pPr>
        <w:pStyle w:val="ColorfulList-Accent11"/>
        <w:tabs>
          <w:tab w:val="left" w:pos="426"/>
        </w:tabs>
        <w:spacing w:before="120" w:after="60"/>
        <w:ind w:left="709"/>
        <w:rPr>
          <w:color w:val="000000" w:themeColor="text1"/>
          <w:sz w:val="20"/>
        </w:rPr>
      </w:pPr>
      <w:r w:rsidRPr="006E7416">
        <w:rPr>
          <w:color w:val="000000" w:themeColor="text1"/>
          <w:sz w:val="20"/>
        </w:rPr>
        <w:t>Note: at the commencement of this Determination, the Employer Superannuation Guarantee Charge Percentage is 10.5%</w:t>
      </w:r>
      <w:r w:rsidR="00664751">
        <w:rPr>
          <w:color w:val="000000" w:themeColor="text1"/>
          <w:sz w:val="20"/>
        </w:rPr>
        <w:t>.</w:t>
      </w:r>
      <w:r w:rsidRPr="006E7416">
        <w:rPr>
          <w:color w:val="000000" w:themeColor="text1"/>
          <w:sz w:val="20"/>
        </w:rPr>
        <w:t xml:space="preserve"> </w:t>
      </w:r>
    </w:p>
    <w:p w14:paraId="6069CB3A" w14:textId="6CF36A0B" w:rsidR="00BE1775" w:rsidRPr="006E7416" w:rsidRDefault="00BE1775" w:rsidP="00007CCC">
      <w:pPr>
        <w:numPr>
          <w:ilvl w:val="1"/>
          <w:numId w:val="1"/>
        </w:numPr>
        <w:tabs>
          <w:tab w:val="clear" w:pos="720"/>
          <w:tab w:val="num" w:pos="0"/>
        </w:tabs>
        <w:spacing w:before="120" w:after="60"/>
        <w:ind w:left="709" w:hanging="709"/>
        <w:rPr>
          <w:color w:val="000000" w:themeColor="text1"/>
        </w:rPr>
      </w:pPr>
      <w:bookmarkStart w:id="4" w:name="_Hlk23231287"/>
      <w:r w:rsidRPr="006E7416">
        <w:rPr>
          <w:color w:val="000000" w:themeColor="text1"/>
        </w:rPr>
        <w:t xml:space="preserve">The employer provides an additional employer superannuation contribution. The additional employer superannuation contribution is the same rate provided under clause D7 </w:t>
      </w:r>
      <w:r w:rsidR="00B05D84" w:rsidRPr="006E7416">
        <w:rPr>
          <w:color w:val="000000" w:themeColor="text1"/>
        </w:rPr>
        <w:t xml:space="preserve">in the </w:t>
      </w:r>
      <w:r w:rsidR="0054199E" w:rsidRPr="006E7416">
        <w:rPr>
          <w:i/>
          <w:color w:val="000000" w:themeColor="text1"/>
        </w:rPr>
        <w:t>ACT Public Sector Administrative and Related Classifications Enterprise Agreement 2021-2022</w:t>
      </w:r>
      <w:r w:rsidR="0054199E" w:rsidRPr="006E7416">
        <w:rPr>
          <w:iCs/>
          <w:color w:val="000000" w:themeColor="text1"/>
        </w:rPr>
        <w:t>.</w:t>
      </w:r>
      <w:r w:rsidR="00B05D84" w:rsidRPr="006E7416">
        <w:rPr>
          <w:color w:val="000000" w:themeColor="text1"/>
        </w:rPr>
        <w:t xml:space="preserve"> </w:t>
      </w:r>
    </w:p>
    <w:bookmarkEnd w:id="4"/>
    <w:p w14:paraId="3D67AA74" w14:textId="77777777" w:rsidR="00737A85" w:rsidRDefault="00737A85" w:rsidP="00737A85">
      <w:pPr>
        <w:numPr>
          <w:ilvl w:val="1"/>
          <w:numId w:val="1"/>
        </w:numPr>
        <w:tabs>
          <w:tab w:val="clear" w:pos="720"/>
          <w:tab w:val="num" w:pos="0"/>
        </w:tabs>
        <w:spacing w:before="120" w:after="60"/>
        <w:ind w:left="709" w:hanging="709"/>
      </w:pPr>
      <w:r>
        <w:t xml:space="preserve">Section 53 of the </w:t>
      </w:r>
      <w:r w:rsidRPr="005C3EF4">
        <w:rPr>
          <w:i/>
        </w:rPr>
        <w:t>Public Sector Management Standards 20</w:t>
      </w:r>
      <w:r>
        <w:rPr>
          <w:i/>
        </w:rPr>
        <w:t>16</w:t>
      </w:r>
      <w:r>
        <w:t>, or this section’s replacement, applies to persons who are not current CSS or PSS members or appointed to or engaged by the Territory before 30 June 2006 and maintained continuous employment with the Territory.</w:t>
      </w:r>
    </w:p>
    <w:p w14:paraId="085A6666" w14:textId="77777777" w:rsidR="00F11BCC" w:rsidRPr="009C10E9" w:rsidRDefault="00F11BCC" w:rsidP="00F11BCC">
      <w:pPr>
        <w:numPr>
          <w:ilvl w:val="1"/>
          <w:numId w:val="1"/>
        </w:numPr>
        <w:tabs>
          <w:tab w:val="clear" w:pos="720"/>
          <w:tab w:val="num" w:pos="0"/>
        </w:tabs>
        <w:spacing w:before="80" w:after="60"/>
        <w:ind w:left="709" w:hanging="709"/>
        <w:rPr>
          <w:color w:val="000000" w:themeColor="text1"/>
        </w:rPr>
      </w:pPr>
      <w:r w:rsidRPr="009C10E9">
        <w:rPr>
          <w:color w:val="000000" w:themeColor="text1"/>
        </w:rPr>
        <w:t>The</w:t>
      </w:r>
      <w:r w:rsidRPr="009C10E9">
        <w:rPr>
          <w:color w:val="000000" w:themeColor="text1"/>
          <w:lang w:val="en-US"/>
        </w:rPr>
        <w:t xml:space="preserve"> </w:t>
      </w:r>
      <w:r w:rsidRPr="009C10E9">
        <w:rPr>
          <w:color w:val="000000" w:themeColor="text1"/>
        </w:rPr>
        <w:t>value of the employer’s superannuation contribution must not be paid in cash to an executive.</w:t>
      </w:r>
    </w:p>
    <w:p w14:paraId="5D56887C" w14:textId="77777777" w:rsidR="00F11BCC" w:rsidRDefault="00F11BCC" w:rsidP="00F11BCC">
      <w:pPr>
        <w:pStyle w:val="Heading3"/>
        <w:tabs>
          <w:tab w:val="clear" w:pos="720"/>
        </w:tabs>
        <w:ind w:left="709"/>
      </w:pPr>
      <w:r w:rsidRPr="00313D79">
        <w:lastRenderedPageBreak/>
        <w:t>Relocation</w:t>
      </w:r>
      <w:r w:rsidRPr="00E320F8">
        <w:t xml:space="preserve"> </w:t>
      </w:r>
      <w:r>
        <w:t>a</w:t>
      </w:r>
      <w:r w:rsidRPr="00E320F8">
        <w:t>llowance</w:t>
      </w:r>
    </w:p>
    <w:p w14:paraId="14935C6A" w14:textId="77777777" w:rsidR="009D2938" w:rsidRPr="009D2938" w:rsidRDefault="009D2938" w:rsidP="009D2938">
      <w:pPr>
        <w:keepNext/>
        <w:keepLines/>
        <w:numPr>
          <w:ilvl w:val="1"/>
          <w:numId w:val="1"/>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744D0DF8" w14:textId="3ECD25FA"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Relocation allowance is provided to assist an individual with the costs to relocate from their home location to the ACT in order to take up the engagement as a</w:t>
      </w:r>
      <w:r w:rsidR="000C63D5">
        <w:rPr>
          <w:szCs w:val="24"/>
        </w:rPr>
        <w:t>n executive</w:t>
      </w:r>
      <w:r w:rsidRPr="009D2938">
        <w:rPr>
          <w:szCs w:val="24"/>
        </w:rPr>
        <w:t xml:space="preserve">.  </w:t>
      </w:r>
    </w:p>
    <w:p w14:paraId="4B1DDD8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executive may be reimbursed an amount of up to $55,000, for receipted, reasonable costs of the following:</w:t>
      </w:r>
    </w:p>
    <w:p w14:paraId="53C8566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packing personal effects and furniture belonging to the person and their family;</w:t>
      </w:r>
    </w:p>
    <w:p w14:paraId="47A705B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necessary storage of personal effects and furniture;</w:t>
      </w:r>
    </w:p>
    <w:p w14:paraId="6D92C040"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removal costs and associated insurance of personal effects and furniture;</w:t>
      </w:r>
    </w:p>
    <w:p w14:paraId="31E64CB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unpacking of personal effects and furniture;</w:t>
      </w:r>
    </w:p>
    <w:p w14:paraId="6B1AC14E"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costs of travel, accommodation and meals between the former location and the ACT;</w:t>
      </w:r>
    </w:p>
    <w:p w14:paraId="7C76B49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
    <w:p w14:paraId="70FAC404"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costs of disconnection and reconnection of utilities;</w:t>
      </w:r>
    </w:p>
    <w:p w14:paraId="5F3ED27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ACT; </w:t>
      </w:r>
    </w:p>
    <w:p w14:paraId="081C6F8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5EE66A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65E4F6B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there are unusual or exceptional circumstances; and</w:t>
      </w:r>
    </w:p>
    <w:p w14:paraId="1BDAF4A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39E94AEB"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If an executive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45EBEA72"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unusual or exceptional circumstances; and</w:t>
      </w:r>
    </w:p>
    <w:p w14:paraId="068DDF6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relocation; and</w:t>
      </w:r>
    </w:p>
    <w:p w14:paraId="0BC0FB1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expenses incurred by the executive; and</w:t>
      </w:r>
    </w:p>
    <w:p w14:paraId="056C83E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expected total relocation expenses of the executive; and</w:t>
      </w:r>
    </w:p>
    <w:p w14:paraId="2F0E299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level of assistance the executive considers should be provided; and</w:t>
      </w:r>
    </w:p>
    <w:p w14:paraId="4D5F31F1" w14:textId="77777777" w:rsidR="009D2938" w:rsidRPr="00366D86" w:rsidRDefault="009D2938" w:rsidP="009D2938">
      <w:pPr>
        <w:numPr>
          <w:ilvl w:val="2"/>
          <w:numId w:val="1"/>
        </w:numPr>
        <w:tabs>
          <w:tab w:val="clear" w:pos="720"/>
        </w:tabs>
        <w:spacing w:after="60"/>
        <w:ind w:left="1134" w:hanging="436"/>
        <w:rPr>
          <w:color w:val="000000" w:themeColor="text1"/>
          <w:szCs w:val="24"/>
        </w:rPr>
      </w:pPr>
      <w:r w:rsidRPr="00366D86">
        <w:rPr>
          <w:color w:val="000000" w:themeColor="text1"/>
          <w:szCs w:val="24"/>
        </w:rPr>
        <w:t>any other relevant information.</w:t>
      </w:r>
    </w:p>
    <w:p w14:paraId="580BD672" w14:textId="51BD20F3" w:rsidR="009D2938" w:rsidRPr="00366D86" w:rsidRDefault="009D2938" w:rsidP="009D2938">
      <w:pPr>
        <w:numPr>
          <w:ilvl w:val="1"/>
          <w:numId w:val="1"/>
        </w:numPr>
        <w:tabs>
          <w:tab w:val="clear" w:pos="720"/>
          <w:tab w:val="num" w:pos="0"/>
        </w:tabs>
        <w:spacing w:before="80" w:after="60"/>
        <w:ind w:left="709" w:hanging="709"/>
        <w:rPr>
          <w:color w:val="000000" w:themeColor="text1"/>
          <w:szCs w:val="24"/>
        </w:rPr>
      </w:pPr>
      <w:r w:rsidRPr="00366D86">
        <w:rPr>
          <w:color w:val="000000" w:themeColor="text1"/>
          <w:szCs w:val="24"/>
        </w:rPr>
        <w:t xml:space="preserve">If the executive terminates their employment with the </w:t>
      </w:r>
      <w:r w:rsidR="000C63D5" w:rsidRPr="00366D86">
        <w:rPr>
          <w:color w:val="000000" w:themeColor="text1"/>
          <w:szCs w:val="24"/>
        </w:rPr>
        <w:t>Territory</w:t>
      </w:r>
      <w:r w:rsidRPr="00366D86">
        <w:rPr>
          <w:color w:val="000000" w:themeColor="text1"/>
          <w:szCs w:val="24"/>
        </w:rPr>
        <w:t xml:space="preserve"> as a</w:t>
      </w:r>
      <w:r w:rsidR="000C63D5" w:rsidRPr="00366D86">
        <w:rPr>
          <w:color w:val="000000" w:themeColor="text1"/>
          <w:szCs w:val="24"/>
        </w:rPr>
        <w:t xml:space="preserve">n executive </w:t>
      </w:r>
      <w:r w:rsidRPr="00366D86">
        <w:rPr>
          <w:color w:val="000000" w:themeColor="text1"/>
          <w:szCs w:val="24"/>
        </w:rPr>
        <w:t xml:space="preserve">within twelve months of the date of their engagement, the </w:t>
      </w:r>
      <w:r w:rsidR="004066A4" w:rsidRPr="00366D86">
        <w:rPr>
          <w:color w:val="000000" w:themeColor="text1"/>
          <w:szCs w:val="24"/>
        </w:rPr>
        <w:t>executive</w:t>
      </w:r>
      <w:r w:rsidRPr="00366D86">
        <w:rPr>
          <w:color w:val="000000" w:themeColor="text1"/>
          <w:szCs w:val="24"/>
        </w:rPr>
        <w:t xml:space="preserve"> may be required by the Head of Service to repay the following amount:</w:t>
      </w:r>
    </w:p>
    <w:p w14:paraId="592EC2D5" w14:textId="77777777"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within six months from the date of their engagement—100% of the amount reimbursed under section 5.3; </w:t>
      </w:r>
    </w:p>
    <w:p w14:paraId="71F54309" w14:textId="77777777"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lastRenderedPageBreak/>
        <w:t>If the executive terminates employment more than six months and less than twelve months from the date of their engagement—50% of the amount reimbursed under section 5.3.</w:t>
      </w:r>
    </w:p>
    <w:p w14:paraId="6919B26B" w14:textId="0F09CD3A" w:rsidR="009D2938" w:rsidRPr="00366D86" w:rsidRDefault="009D2938" w:rsidP="009453AF">
      <w:pPr>
        <w:spacing w:before="80" w:after="60"/>
        <w:ind w:left="709"/>
        <w:rPr>
          <w:color w:val="000000" w:themeColor="text1"/>
          <w:szCs w:val="24"/>
        </w:rPr>
      </w:pPr>
      <w:r w:rsidRPr="00366D86">
        <w:rPr>
          <w:color w:val="000000" w:themeColor="text1"/>
          <w:szCs w:val="24"/>
        </w:rPr>
        <w:t>Note: Relocation allowance does not apply to any expenses incurred at the conclusion of employment with the Territory.</w:t>
      </w:r>
    </w:p>
    <w:p w14:paraId="0C4E51CE" w14:textId="77777777" w:rsidR="00793C81" w:rsidRPr="00366D86" w:rsidRDefault="00793C81" w:rsidP="00793C81">
      <w:pPr>
        <w:pStyle w:val="Heading3"/>
        <w:keepLines w:val="0"/>
        <w:ind w:left="709" w:hanging="709"/>
        <w:rPr>
          <w:rFonts w:cs="Arial"/>
          <w:color w:val="000000" w:themeColor="text1"/>
          <w:szCs w:val="26"/>
        </w:rPr>
      </w:pPr>
      <w:r w:rsidRPr="00366D86">
        <w:rPr>
          <w:rFonts w:cs="Arial"/>
          <w:color w:val="000000" w:themeColor="text1"/>
          <w:szCs w:val="26"/>
        </w:rPr>
        <w:t>Other entitlements</w:t>
      </w:r>
    </w:p>
    <w:p w14:paraId="33A50382" w14:textId="77777777" w:rsidR="00793C81" w:rsidRPr="00746C96" w:rsidRDefault="00793C81" w:rsidP="00793C81">
      <w:pPr>
        <w:numPr>
          <w:ilvl w:val="1"/>
          <w:numId w:val="1"/>
        </w:numPr>
        <w:tabs>
          <w:tab w:val="clear" w:pos="720"/>
        </w:tabs>
        <w:spacing w:before="80" w:after="60"/>
        <w:ind w:left="709" w:hanging="709"/>
        <w:rPr>
          <w:szCs w:val="24"/>
          <w:lang w:val="en-US"/>
        </w:rPr>
      </w:pPr>
      <w:r w:rsidRPr="00366D86">
        <w:rPr>
          <w:color w:val="000000" w:themeColor="text1"/>
          <w:szCs w:val="24"/>
        </w:rPr>
        <w:t xml:space="preserve">For the avoidance of doubt, under section </w:t>
      </w:r>
      <w:r w:rsidR="00223BC3" w:rsidRPr="00366D86">
        <w:rPr>
          <w:color w:val="000000" w:themeColor="text1"/>
          <w:szCs w:val="24"/>
        </w:rPr>
        <w:t xml:space="preserve">113 and </w:t>
      </w:r>
      <w:r w:rsidRPr="00366D86">
        <w:rPr>
          <w:color w:val="000000" w:themeColor="text1"/>
          <w:szCs w:val="24"/>
        </w:rPr>
        <w:t xml:space="preserve">115 of the </w:t>
      </w:r>
      <w:r w:rsidRPr="00366D86">
        <w:rPr>
          <w:i/>
          <w:color w:val="000000" w:themeColor="text1"/>
          <w:szCs w:val="24"/>
        </w:rPr>
        <w:t>Public Sector Management Standards 2016</w:t>
      </w:r>
      <w:r w:rsidRPr="00366D86">
        <w:rPr>
          <w:color w:val="000000" w:themeColor="text1"/>
          <w:szCs w:val="24"/>
        </w:rPr>
        <w:t xml:space="preserve">, the </w:t>
      </w:r>
      <w:r>
        <w:rPr>
          <w:szCs w:val="24"/>
        </w:rPr>
        <w:t xml:space="preserve">following provisions of the </w:t>
      </w:r>
      <w:r w:rsidRPr="00746C96">
        <w:rPr>
          <w:i/>
          <w:szCs w:val="24"/>
        </w:rPr>
        <w:t>Public Sector Management Standards 2006 (repealed)</w:t>
      </w:r>
      <w:r>
        <w:rPr>
          <w:szCs w:val="24"/>
        </w:rPr>
        <w:t xml:space="preserve"> continue to apply to executives:</w:t>
      </w:r>
    </w:p>
    <w:p w14:paraId="5C846A7E" w14:textId="77777777" w:rsidR="00793C81" w:rsidRPr="001F472A" w:rsidRDefault="00793C81" w:rsidP="00793C81">
      <w:pPr>
        <w:numPr>
          <w:ilvl w:val="2"/>
          <w:numId w:val="1"/>
        </w:numPr>
        <w:tabs>
          <w:tab w:val="clear" w:pos="720"/>
        </w:tabs>
        <w:spacing w:after="60"/>
        <w:ind w:left="1134" w:hanging="436"/>
      </w:pPr>
      <w:r>
        <w:t>part 3.6 (recognition of prior service on appointment or engagement);</w:t>
      </w:r>
    </w:p>
    <w:p w14:paraId="5EF63C90" w14:textId="77777777" w:rsidR="00793C81" w:rsidRPr="001F472A" w:rsidRDefault="00793C81" w:rsidP="00793C81">
      <w:pPr>
        <w:numPr>
          <w:ilvl w:val="2"/>
          <w:numId w:val="1"/>
        </w:numPr>
        <w:tabs>
          <w:tab w:val="clear" w:pos="720"/>
        </w:tabs>
        <w:spacing w:after="60"/>
        <w:ind w:left="1134" w:hanging="436"/>
      </w:pPr>
      <w:r>
        <w:t>part 4.1 (continuity of service);</w:t>
      </w:r>
    </w:p>
    <w:p w14:paraId="277E4385" w14:textId="77777777" w:rsidR="00793C81" w:rsidRPr="001F472A" w:rsidRDefault="00793C81" w:rsidP="00793C81">
      <w:pPr>
        <w:numPr>
          <w:ilvl w:val="2"/>
          <w:numId w:val="1"/>
        </w:numPr>
        <w:tabs>
          <w:tab w:val="clear" w:pos="720"/>
        </w:tabs>
        <w:spacing w:after="60"/>
        <w:ind w:left="1134" w:hanging="436"/>
      </w:pPr>
      <w:r>
        <w:t>part 5.5 (payment in lieu of entitlements on cessation of employment or death);</w:t>
      </w:r>
    </w:p>
    <w:p w14:paraId="31F10BAD" w14:textId="77777777" w:rsidR="00793C81" w:rsidRDefault="00793C81" w:rsidP="00793C81">
      <w:pPr>
        <w:numPr>
          <w:ilvl w:val="2"/>
          <w:numId w:val="1"/>
        </w:numPr>
        <w:tabs>
          <w:tab w:val="clear" w:pos="720"/>
        </w:tabs>
        <w:spacing w:after="60"/>
        <w:ind w:left="1134" w:hanging="436"/>
      </w:pPr>
      <w:r>
        <w:t>part 9.6 (executive employee and statutory office-holder leave and other entitlements).</w:t>
      </w:r>
    </w:p>
    <w:p w14:paraId="3A0ED6EA" w14:textId="51F72484" w:rsidR="004D4B51" w:rsidRPr="001F472A" w:rsidRDefault="004D4B51" w:rsidP="004D4B51">
      <w:pPr>
        <w:numPr>
          <w:ilvl w:val="1"/>
          <w:numId w:val="1"/>
        </w:numPr>
        <w:tabs>
          <w:tab w:val="clear" w:pos="720"/>
        </w:tabs>
        <w:spacing w:before="80" w:after="60"/>
        <w:ind w:left="709" w:hanging="709"/>
      </w:pPr>
      <w:r>
        <w:t xml:space="preserve">Leave entitlements, salary sacrifice arrangements and vacation childcare subsidy are provided to executives under Division 5.6 of the </w:t>
      </w:r>
      <w:r w:rsidRPr="002C31BF">
        <w:rPr>
          <w:i/>
          <w:iCs/>
        </w:rPr>
        <w:t>Public Sector Management Standards 2016</w:t>
      </w:r>
      <w:r>
        <w:t>, as amended from time to time.</w:t>
      </w:r>
    </w:p>
    <w:p w14:paraId="0759B4D5" w14:textId="77777777" w:rsidR="00F11BCC" w:rsidRPr="00E320F8" w:rsidRDefault="00F11BCC" w:rsidP="00F11BCC">
      <w:pPr>
        <w:pStyle w:val="Heading3"/>
        <w:tabs>
          <w:tab w:val="clear" w:pos="720"/>
        </w:tabs>
        <w:ind w:left="709"/>
      </w:pPr>
      <w:r w:rsidRPr="00E320F8">
        <w:t>Definitions</w:t>
      </w:r>
    </w:p>
    <w:p w14:paraId="177AFFB6" w14:textId="77777777" w:rsidR="00F11BCC" w:rsidRDefault="00F11BCC" w:rsidP="00F11BCC">
      <w:pPr>
        <w:numPr>
          <w:ilvl w:val="1"/>
          <w:numId w:val="1"/>
        </w:numPr>
        <w:tabs>
          <w:tab w:val="clear" w:pos="720"/>
          <w:tab w:val="num" w:pos="0"/>
        </w:tabs>
        <w:spacing w:before="80" w:after="60"/>
        <w:ind w:left="709" w:hanging="709"/>
      </w:pPr>
      <w:r w:rsidRPr="003C55D8">
        <w:t xml:space="preserve">In this </w:t>
      </w:r>
      <w:r>
        <w:t>Determination</w:t>
      </w:r>
      <w:r w:rsidRPr="003C55D8">
        <w:t>:</w:t>
      </w:r>
    </w:p>
    <w:p w14:paraId="64B0A2A9" w14:textId="77777777" w:rsidR="00F11BCC" w:rsidRPr="00335707" w:rsidRDefault="00F11BCC" w:rsidP="00F11BCC">
      <w:pPr>
        <w:spacing w:before="80"/>
        <w:ind w:left="709"/>
        <w:jc w:val="both"/>
      </w:pPr>
      <w:r w:rsidRPr="00335707">
        <w:rPr>
          <w:b/>
          <w:bCs/>
          <w:i/>
          <w:iCs/>
        </w:rPr>
        <w:t>agreed superannuation fund</w:t>
      </w:r>
      <w:r w:rsidRPr="00335707">
        <w:t xml:space="preserve"> means a fund complying with the requirements of:</w:t>
      </w:r>
    </w:p>
    <w:p w14:paraId="675D1A6A" w14:textId="77777777" w:rsidR="00F11BCC" w:rsidRPr="00335707" w:rsidRDefault="00F11BCC" w:rsidP="00F11BCC">
      <w:pPr>
        <w:pStyle w:val="MediumGrid1-Accent21"/>
        <w:numPr>
          <w:ilvl w:val="0"/>
          <w:numId w:val="3"/>
        </w:numPr>
        <w:spacing w:after="60"/>
        <w:jc w:val="both"/>
      </w:pPr>
      <w:r w:rsidRPr="00335707">
        <w:t xml:space="preserve">the </w:t>
      </w:r>
      <w:r w:rsidRPr="00335707">
        <w:rPr>
          <w:i/>
        </w:rPr>
        <w:t>Income Tax Assessment Act 1936</w:t>
      </w:r>
      <w:r w:rsidRPr="00335707">
        <w:t xml:space="preserve"> (Cth); and</w:t>
      </w:r>
    </w:p>
    <w:p w14:paraId="79CB395C" w14:textId="77777777" w:rsidR="00F11BCC" w:rsidRPr="00335707" w:rsidRDefault="00F11BCC" w:rsidP="00F11BCC">
      <w:pPr>
        <w:pStyle w:val="MediumGrid1-Accent21"/>
        <w:numPr>
          <w:ilvl w:val="0"/>
          <w:numId w:val="3"/>
        </w:numPr>
        <w:spacing w:before="80"/>
        <w:jc w:val="both"/>
      </w:pPr>
      <w:r w:rsidRPr="00335707">
        <w:t xml:space="preserve">the </w:t>
      </w:r>
      <w:r w:rsidRPr="00335707">
        <w:rPr>
          <w:i/>
        </w:rPr>
        <w:t>Superannuation Industry (Supervision) Act 1993</w:t>
      </w:r>
      <w:r w:rsidRPr="00335707">
        <w:t xml:space="preserve"> (Cth).</w:t>
      </w:r>
    </w:p>
    <w:p w14:paraId="04646AFF" w14:textId="77777777" w:rsidR="00F11BCC" w:rsidRDefault="00F11BCC" w:rsidP="00F11BCC">
      <w:pPr>
        <w:spacing w:before="80"/>
        <w:ind w:left="709"/>
        <w:jc w:val="both"/>
      </w:pPr>
      <w:r>
        <w:rPr>
          <w:b/>
          <w:i/>
        </w:rPr>
        <w:t xml:space="preserve">CSS </w:t>
      </w:r>
      <w:r>
        <w:t xml:space="preserve">means the </w:t>
      </w:r>
      <w:r w:rsidRPr="0075183B">
        <w:t>Comm</w:t>
      </w:r>
      <w:r>
        <w:t>onwealth Superannuation Scheme.</w:t>
      </w:r>
    </w:p>
    <w:p w14:paraId="1B6973C2" w14:textId="77777777" w:rsidR="00F11BCC" w:rsidRPr="00335707" w:rsidRDefault="00F11BCC" w:rsidP="00F11BCC">
      <w:pPr>
        <w:spacing w:before="80"/>
        <w:ind w:left="709"/>
        <w:jc w:val="both"/>
      </w:pPr>
      <w:r w:rsidRPr="00335707">
        <w:rPr>
          <w:b/>
          <w:bCs/>
          <w:i/>
        </w:rPr>
        <w:t>employer</w:t>
      </w:r>
      <w:r w:rsidRPr="00335707">
        <w:t xml:space="preserve"> means the Australian Capital Territory and includes any person authorised to act on behalf of the Australian Capital Territory.</w:t>
      </w:r>
    </w:p>
    <w:p w14:paraId="378A9904" w14:textId="77777777" w:rsidR="00F11BCC" w:rsidRPr="00335707" w:rsidRDefault="00F11BCC" w:rsidP="00F11BCC">
      <w:pPr>
        <w:spacing w:before="80"/>
        <w:ind w:left="709"/>
        <w:jc w:val="both"/>
        <w:rPr>
          <w:bCs/>
          <w:iCs/>
        </w:rPr>
      </w:pPr>
      <w:r w:rsidRPr="00335707">
        <w:rPr>
          <w:b/>
          <w:bCs/>
          <w:i/>
          <w:iCs/>
        </w:rPr>
        <w:t xml:space="preserve">executive </w:t>
      </w:r>
      <w:r w:rsidRPr="00335707">
        <w:rPr>
          <w:bCs/>
          <w:iCs/>
        </w:rPr>
        <w:t xml:space="preserve">means </w:t>
      </w:r>
      <w:r w:rsidR="006B0526">
        <w:rPr>
          <w:bCs/>
          <w:iCs/>
        </w:rPr>
        <w:t xml:space="preserve">the Head of Service, a Director-General or </w:t>
      </w:r>
      <w:r w:rsidRPr="00335707">
        <w:rPr>
          <w:bCs/>
          <w:iCs/>
        </w:rPr>
        <w:t xml:space="preserve">an </w:t>
      </w:r>
      <w:r w:rsidR="006B0526">
        <w:rPr>
          <w:bCs/>
          <w:iCs/>
        </w:rPr>
        <w:t>ACTPS E</w:t>
      </w:r>
      <w:r w:rsidRPr="00335707">
        <w:rPr>
          <w:bCs/>
          <w:iCs/>
        </w:rPr>
        <w:t>xecutive.</w:t>
      </w:r>
    </w:p>
    <w:p w14:paraId="5B1D097D" w14:textId="77777777" w:rsidR="00F11BCC" w:rsidRPr="00335707" w:rsidRDefault="00F11BCC" w:rsidP="00F11BCC">
      <w:pPr>
        <w:spacing w:before="80"/>
        <w:ind w:left="709"/>
        <w:jc w:val="both"/>
      </w:pPr>
      <w:r w:rsidRPr="00335707">
        <w:rPr>
          <w:b/>
          <w:bCs/>
          <w:i/>
          <w:iCs/>
        </w:rPr>
        <w:t>fringe</w:t>
      </w:r>
      <w:r w:rsidRPr="00335707">
        <w:rPr>
          <w:b/>
          <w:bCs/>
          <w:i/>
        </w:rPr>
        <w:t xml:space="preserve"> benefits tax</w:t>
      </w:r>
      <w:r w:rsidRPr="00335707">
        <w:t xml:space="preserve"> means the tax assessed under the </w:t>
      </w:r>
      <w:r w:rsidRPr="00335707">
        <w:rPr>
          <w:i/>
        </w:rPr>
        <w:t>Fringe Benefits Tax Assessment Act 1986</w:t>
      </w:r>
      <w:r w:rsidRPr="00335707">
        <w:t>.</w:t>
      </w:r>
    </w:p>
    <w:p w14:paraId="0401F4DA" w14:textId="77777777" w:rsidR="00F11BCC" w:rsidRDefault="00F11BCC" w:rsidP="00F11BCC">
      <w:pPr>
        <w:spacing w:before="80"/>
        <w:ind w:left="709"/>
        <w:jc w:val="both"/>
      </w:pPr>
      <w:r>
        <w:rPr>
          <w:b/>
          <w:i/>
        </w:rPr>
        <w:t xml:space="preserve">PSS </w:t>
      </w:r>
      <w:r>
        <w:t xml:space="preserve">means the </w:t>
      </w:r>
      <w:r w:rsidRPr="0075183B">
        <w:t>Publi</w:t>
      </w:r>
      <w:r>
        <w:t>c Sector Superannuation Scheme.</w:t>
      </w:r>
    </w:p>
    <w:p w14:paraId="5ACF004F" w14:textId="77777777" w:rsidR="00F11BCC" w:rsidRPr="00366D86" w:rsidRDefault="00F11BCC" w:rsidP="00F11BCC">
      <w:pPr>
        <w:pStyle w:val="Heading3"/>
        <w:tabs>
          <w:tab w:val="clear" w:pos="720"/>
        </w:tabs>
        <w:ind w:left="709"/>
        <w:rPr>
          <w:color w:val="000000" w:themeColor="text1"/>
        </w:rPr>
      </w:pPr>
      <w:r w:rsidRPr="00366D86">
        <w:rPr>
          <w:color w:val="000000" w:themeColor="text1"/>
        </w:rPr>
        <w:t>Revocation of previous Determination</w:t>
      </w:r>
    </w:p>
    <w:p w14:paraId="056DD224" w14:textId="74C3E8D0" w:rsidR="007C241C" w:rsidRDefault="00F11BCC" w:rsidP="007C241C">
      <w:pPr>
        <w:numPr>
          <w:ilvl w:val="1"/>
          <w:numId w:val="1"/>
        </w:numPr>
        <w:tabs>
          <w:tab w:val="clear" w:pos="720"/>
        </w:tabs>
        <w:spacing w:before="80" w:after="60"/>
        <w:ind w:left="709" w:hanging="709"/>
        <w:rPr>
          <w:color w:val="000000" w:themeColor="text1"/>
        </w:rPr>
      </w:pPr>
      <w:r w:rsidRPr="006E7416">
        <w:rPr>
          <w:color w:val="000000" w:themeColor="text1"/>
        </w:rPr>
        <w:t xml:space="preserve">Determination </w:t>
      </w:r>
      <w:r w:rsidR="007A1880">
        <w:rPr>
          <w:color w:val="000000" w:themeColor="text1"/>
        </w:rPr>
        <w:t>1</w:t>
      </w:r>
      <w:r w:rsidR="00482097" w:rsidRPr="006E7416">
        <w:rPr>
          <w:color w:val="000000" w:themeColor="text1"/>
        </w:rPr>
        <w:t xml:space="preserve"> of </w:t>
      </w:r>
      <w:r w:rsidR="006442AA" w:rsidRPr="006E7416">
        <w:rPr>
          <w:color w:val="000000" w:themeColor="text1"/>
        </w:rPr>
        <w:t>20</w:t>
      </w:r>
      <w:r w:rsidR="001B3A29" w:rsidRPr="006E7416">
        <w:rPr>
          <w:color w:val="000000" w:themeColor="text1"/>
        </w:rPr>
        <w:t>2</w:t>
      </w:r>
      <w:r w:rsidR="007A1880">
        <w:rPr>
          <w:color w:val="000000" w:themeColor="text1"/>
        </w:rPr>
        <w:t>2</w:t>
      </w:r>
      <w:r w:rsidR="006442AA" w:rsidRPr="006E7416">
        <w:rPr>
          <w:color w:val="000000" w:themeColor="text1"/>
        </w:rPr>
        <w:t xml:space="preserve"> </w:t>
      </w:r>
      <w:r w:rsidRPr="006E7416">
        <w:rPr>
          <w:color w:val="000000" w:themeColor="text1"/>
        </w:rPr>
        <w:t>is revoked</w:t>
      </w:r>
      <w:r w:rsidRPr="00366D86">
        <w:rPr>
          <w:color w:val="000000" w:themeColor="text1"/>
        </w:rPr>
        <w:t>.</w:t>
      </w:r>
      <w:bookmarkEnd w:id="0"/>
    </w:p>
    <w:p w14:paraId="090E038F" w14:textId="01303533" w:rsidR="006E7416" w:rsidRDefault="006E7416">
      <w:pPr>
        <w:rPr>
          <w:color w:val="000000" w:themeColor="text1"/>
        </w:rPr>
      </w:pPr>
      <w:r>
        <w:rPr>
          <w:color w:val="000000" w:themeColor="text1"/>
        </w:rPr>
        <w:br w:type="page"/>
      </w:r>
    </w:p>
    <w:tbl>
      <w:tblPr>
        <w:tblW w:w="13505" w:type="dxa"/>
        <w:tblLook w:val="04A0" w:firstRow="1" w:lastRow="0" w:firstColumn="1" w:lastColumn="0" w:noHBand="0" w:noVBand="1"/>
      </w:tblPr>
      <w:tblGrid>
        <w:gridCol w:w="4529"/>
        <w:gridCol w:w="4488"/>
        <w:gridCol w:w="41"/>
        <w:gridCol w:w="4447"/>
      </w:tblGrid>
      <w:tr w:rsidR="007A1880" w:rsidRPr="006A51E8" w14:paraId="46365CB2" w14:textId="77777777" w:rsidTr="007A1880">
        <w:tc>
          <w:tcPr>
            <w:tcW w:w="4529" w:type="dxa"/>
          </w:tcPr>
          <w:p w14:paraId="5FA93711" w14:textId="77777777" w:rsidR="007A1880" w:rsidRPr="000F41B0" w:rsidRDefault="007A1880" w:rsidP="007A1880">
            <w:pPr>
              <w:tabs>
                <w:tab w:val="left" w:pos="4253"/>
                <w:tab w:val="left" w:leader="dot" w:pos="8222"/>
              </w:tabs>
              <w:rPr>
                <w:szCs w:val="24"/>
              </w:rPr>
            </w:pPr>
          </w:p>
          <w:p w14:paraId="79B26535" w14:textId="77777777" w:rsidR="007A1880" w:rsidRPr="000F41B0" w:rsidRDefault="007A1880" w:rsidP="007A1880">
            <w:pPr>
              <w:tabs>
                <w:tab w:val="left" w:pos="4253"/>
                <w:tab w:val="left" w:pos="7230"/>
                <w:tab w:val="left" w:leader="dot" w:pos="8222"/>
              </w:tabs>
              <w:rPr>
                <w:szCs w:val="24"/>
              </w:rPr>
            </w:pPr>
            <w:r>
              <w:rPr>
                <w:szCs w:val="24"/>
              </w:rPr>
              <w:t>Ms Sandra Lambert AM</w:t>
            </w:r>
            <w:r w:rsidRPr="000F41B0">
              <w:rPr>
                <w:szCs w:val="24"/>
              </w:rPr>
              <w:tab/>
            </w:r>
          </w:p>
          <w:p w14:paraId="4BE1A0E2" w14:textId="77777777" w:rsidR="007A1880" w:rsidRPr="000F41B0" w:rsidRDefault="007A1880" w:rsidP="007A1880">
            <w:pPr>
              <w:tabs>
                <w:tab w:val="left" w:pos="7230"/>
              </w:tabs>
              <w:rPr>
                <w:szCs w:val="24"/>
              </w:rPr>
            </w:pPr>
            <w:r w:rsidRPr="000F41B0">
              <w:rPr>
                <w:szCs w:val="24"/>
              </w:rPr>
              <w:t>Chair</w:t>
            </w:r>
          </w:p>
          <w:p w14:paraId="086CC79A" w14:textId="77777777" w:rsidR="007A1880" w:rsidRPr="000F41B0" w:rsidRDefault="007A1880" w:rsidP="007A1880">
            <w:pPr>
              <w:tabs>
                <w:tab w:val="left" w:pos="4253"/>
                <w:tab w:val="left" w:leader="dot" w:pos="8222"/>
              </w:tabs>
              <w:spacing w:after="120"/>
              <w:rPr>
                <w:szCs w:val="24"/>
              </w:rPr>
            </w:pPr>
          </w:p>
        </w:tc>
        <w:tc>
          <w:tcPr>
            <w:tcW w:w="4488" w:type="dxa"/>
          </w:tcPr>
          <w:p w14:paraId="4705D372" w14:textId="6406E6F7" w:rsidR="007A1880" w:rsidRDefault="001217EA" w:rsidP="007A1880">
            <w:pPr>
              <w:tabs>
                <w:tab w:val="left" w:pos="3059"/>
                <w:tab w:val="left" w:pos="7230"/>
              </w:tabs>
            </w:pPr>
            <w:r>
              <w:rPr>
                <w:noProof/>
              </w:rPr>
              <w:drawing>
                <wp:inline distT="0" distB="0" distL="0" distR="0" wp14:anchorId="77D77C33" wp14:editId="20C4B501">
                  <wp:extent cx="2011680" cy="938221"/>
                  <wp:effectExtent l="0" t="0" r="762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6"/>
                          <a:stretch>
                            <a:fillRect/>
                          </a:stretch>
                        </pic:blipFill>
                        <pic:spPr>
                          <a:xfrm>
                            <a:off x="0" y="0"/>
                            <a:ext cx="2042161" cy="952437"/>
                          </a:xfrm>
                          <a:prstGeom prst="rect">
                            <a:avLst/>
                          </a:prstGeom>
                        </pic:spPr>
                      </pic:pic>
                    </a:graphicData>
                  </a:graphic>
                </wp:inline>
              </w:drawing>
            </w:r>
          </w:p>
          <w:p w14:paraId="15796CBB" w14:textId="0476CC0F" w:rsidR="007A1880" w:rsidRPr="006A51E8" w:rsidRDefault="007A1880" w:rsidP="007A1880">
            <w:pPr>
              <w:tabs>
                <w:tab w:val="left" w:pos="3059"/>
                <w:tab w:val="left" w:pos="7230"/>
              </w:tabs>
              <w:spacing w:before="120"/>
            </w:pPr>
            <w:r>
              <w:t xml:space="preserve"> </w:t>
            </w:r>
            <w:r>
              <w:br/>
              <w:t xml:space="preserve"> </w:t>
            </w:r>
          </w:p>
        </w:tc>
        <w:tc>
          <w:tcPr>
            <w:tcW w:w="4488" w:type="dxa"/>
            <w:gridSpan w:val="2"/>
          </w:tcPr>
          <w:p w14:paraId="2EF348A3" w14:textId="26689719" w:rsidR="007A1880" w:rsidRPr="006A51E8" w:rsidRDefault="007A1880" w:rsidP="007A1880">
            <w:pPr>
              <w:tabs>
                <w:tab w:val="left" w:pos="3059"/>
                <w:tab w:val="left" w:pos="7230"/>
              </w:tabs>
              <w:spacing w:before="120"/>
            </w:pPr>
          </w:p>
        </w:tc>
      </w:tr>
      <w:tr w:rsidR="007A1880" w:rsidRPr="006A51E8" w14:paraId="57AC1D65" w14:textId="6E4D02D2" w:rsidTr="007A1880">
        <w:trPr>
          <w:gridAfter w:val="1"/>
          <w:wAfter w:w="4447" w:type="dxa"/>
        </w:trPr>
        <w:tc>
          <w:tcPr>
            <w:tcW w:w="4529" w:type="dxa"/>
          </w:tcPr>
          <w:p w14:paraId="72032221" w14:textId="77777777" w:rsidR="007A1880" w:rsidRPr="000F41B0" w:rsidRDefault="007A1880" w:rsidP="007A1880">
            <w:pPr>
              <w:tabs>
                <w:tab w:val="left" w:pos="4253"/>
                <w:tab w:val="left" w:leader="dot" w:pos="8222"/>
              </w:tabs>
              <w:rPr>
                <w:szCs w:val="24"/>
              </w:rPr>
            </w:pPr>
            <w:r>
              <w:rPr>
                <w:szCs w:val="24"/>
              </w:rPr>
              <w:t>Dr James Popple</w:t>
            </w:r>
            <w:r w:rsidRPr="000F41B0">
              <w:rPr>
                <w:szCs w:val="24"/>
              </w:rPr>
              <w:tab/>
            </w:r>
          </w:p>
          <w:p w14:paraId="3E9DBDA7" w14:textId="7D413D20" w:rsidR="007A1880" w:rsidRPr="000F41B0" w:rsidRDefault="007A1880" w:rsidP="007A1880">
            <w:pPr>
              <w:tabs>
                <w:tab w:val="left" w:pos="4253"/>
                <w:tab w:val="left" w:leader="dot" w:pos="8222"/>
              </w:tabs>
              <w:rPr>
                <w:szCs w:val="24"/>
              </w:rPr>
            </w:pPr>
            <w:r w:rsidRPr="000F41B0">
              <w:rPr>
                <w:szCs w:val="24"/>
              </w:rPr>
              <w:t>Member</w:t>
            </w:r>
          </w:p>
        </w:tc>
        <w:tc>
          <w:tcPr>
            <w:tcW w:w="4529" w:type="dxa"/>
            <w:gridSpan w:val="2"/>
          </w:tcPr>
          <w:p w14:paraId="656ADA88" w14:textId="7E738CA5" w:rsidR="007A1880" w:rsidRDefault="007A1880" w:rsidP="007A1880">
            <w:pPr>
              <w:tabs>
                <w:tab w:val="left" w:pos="3059"/>
                <w:tab w:val="left" w:pos="7230"/>
              </w:tabs>
            </w:pPr>
            <w:r w:rsidRPr="006A51E8">
              <w:t xml:space="preserve"> </w:t>
            </w:r>
            <w:r w:rsidR="001217EA">
              <w:rPr>
                <w:noProof/>
              </w:rPr>
              <w:drawing>
                <wp:inline distT="0" distB="0" distL="0" distR="0" wp14:anchorId="31E78A4E" wp14:editId="2F414EAE">
                  <wp:extent cx="191095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stretch>
                            <a:fillRect/>
                          </a:stretch>
                        </pic:blipFill>
                        <pic:spPr>
                          <a:xfrm>
                            <a:off x="0" y="0"/>
                            <a:ext cx="1972251" cy="589833"/>
                          </a:xfrm>
                          <a:prstGeom prst="rect">
                            <a:avLst/>
                          </a:prstGeom>
                        </pic:spPr>
                      </pic:pic>
                    </a:graphicData>
                  </a:graphic>
                </wp:inline>
              </w:drawing>
            </w:r>
          </w:p>
          <w:p w14:paraId="4F4E7D0E" w14:textId="77777777" w:rsidR="007A1880" w:rsidRDefault="007A1880" w:rsidP="007A1880">
            <w:pPr>
              <w:tabs>
                <w:tab w:val="left" w:pos="3059"/>
                <w:tab w:val="left" w:pos="7230"/>
              </w:tabs>
            </w:pPr>
          </w:p>
          <w:p w14:paraId="11206046" w14:textId="3E18D034" w:rsidR="007A1880" w:rsidRDefault="007A1880" w:rsidP="007A1880">
            <w:pPr>
              <w:tabs>
                <w:tab w:val="left" w:pos="3059"/>
                <w:tab w:val="left" w:pos="7230"/>
              </w:tabs>
            </w:pPr>
            <w:r>
              <w:t xml:space="preserve">  </w:t>
            </w:r>
          </w:p>
          <w:p w14:paraId="1B7217AB" w14:textId="77777777" w:rsidR="007A1880" w:rsidRDefault="007A1880" w:rsidP="007A1880">
            <w:pPr>
              <w:tabs>
                <w:tab w:val="left" w:pos="4253"/>
                <w:tab w:val="left" w:leader="dot" w:pos="8222"/>
              </w:tabs>
              <w:rPr>
                <w:szCs w:val="24"/>
              </w:rPr>
            </w:pPr>
          </w:p>
        </w:tc>
      </w:tr>
      <w:tr w:rsidR="007A1880" w:rsidRPr="006A51E8" w14:paraId="476FECDA" w14:textId="0302CBD3" w:rsidTr="007A1880">
        <w:trPr>
          <w:gridAfter w:val="1"/>
          <w:wAfter w:w="4447" w:type="dxa"/>
        </w:trPr>
        <w:tc>
          <w:tcPr>
            <w:tcW w:w="4529" w:type="dxa"/>
          </w:tcPr>
          <w:p w14:paraId="078F8A1A" w14:textId="77777777" w:rsidR="007A1880" w:rsidRPr="000F41B0" w:rsidRDefault="007A1880" w:rsidP="007A1880">
            <w:pPr>
              <w:tabs>
                <w:tab w:val="left" w:pos="4253"/>
                <w:tab w:val="left" w:pos="7230"/>
                <w:tab w:val="left" w:leader="dot" w:pos="8222"/>
              </w:tabs>
              <w:rPr>
                <w:szCs w:val="24"/>
              </w:rPr>
            </w:pPr>
          </w:p>
          <w:p w14:paraId="28B1B3E1" w14:textId="77777777" w:rsidR="007A1880" w:rsidRDefault="007A1880" w:rsidP="007A1880">
            <w:pPr>
              <w:tabs>
                <w:tab w:val="left" w:pos="4253"/>
                <w:tab w:val="left" w:pos="7230"/>
                <w:tab w:val="left" w:leader="dot" w:pos="8222"/>
              </w:tabs>
              <w:rPr>
                <w:szCs w:val="24"/>
              </w:rPr>
            </w:pPr>
          </w:p>
          <w:p w14:paraId="444E8D90" w14:textId="77777777" w:rsidR="007A1880" w:rsidRPr="000F41B0" w:rsidRDefault="007A1880" w:rsidP="007A1880">
            <w:pPr>
              <w:tabs>
                <w:tab w:val="left" w:pos="4253"/>
                <w:tab w:val="left" w:leader="dot" w:pos="8222"/>
              </w:tabs>
              <w:rPr>
                <w:szCs w:val="24"/>
              </w:rPr>
            </w:pPr>
            <w:r>
              <w:rPr>
                <w:szCs w:val="24"/>
              </w:rPr>
              <w:t>Mr Dale Boucher PSM</w:t>
            </w:r>
            <w:r w:rsidRPr="000F41B0">
              <w:rPr>
                <w:szCs w:val="24"/>
              </w:rPr>
              <w:tab/>
            </w:r>
          </w:p>
          <w:p w14:paraId="34560325" w14:textId="1499AA74" w:rsidR="007A1880" w:rsidRPr="000F41B0" w:rsidRDefault="007A1880" w:rsidP="007A1880">
            <w:pPr>
              <w:tabs>
                <w:tab w:val="left" w:pos="4253"/>
                <w:tab w:val="left" w:leader="dot" w:pos="8222"/>
              </w:tabs>
              <w:rPr>
                <w:szCs w:val="24"/>
              </w:rPr>
            </w:pPr>
            <w:r w:rsidRPr="000F41B0">
              <w:rPr>
                <w:szCs w:val="24"/>
              </w:rPr>
              <w:t xml:space="preserve">Member </w:t>
            </w:r>
          </w:p>
        </w:tc>
        <w:tc>
          <w:tcPr>
            <w:tcW w:w="4529" w:type="dxa"/>
            <w:gridSpan w:val="2"/>
          </w:tcPr>
          <w:p w14:paraId="1D5202D2" w14:textId="045590EA" w:rsidR="007A1880" w:rsidRPr="00E96CB7" w:rsidRDefault="001217EA" w:rsidP="00E96CB7">
            <w:pPr>
              <w:tabs>
                <w:tab w:val="left" w:pos="4026"/>
                <w:tab w:val="left" w:pos="7230"/>
              </w:tabs>
            </w:pPr>
            <w:r>
              <w:rPr>
                <w:noProof/>
              </w:rPr>
              <w:drawing>
                <wp:inline distT="0" distB="0" distL="0" distR="0" wp14:anchorId="0C8D626B" wp14:editId="7A756F89">
                  <wp:extent cx="1948815" cy="812006"/>
                  <wp:effectExtent l="0" t="0" r="0" b="762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8"/>
                          <a:stretch>
                            <a:fillRect/>
                          </a:stretch>
                        </pic:blipFill>
                        <pic:spPr>
                          <a:xfrm>
                            <a:off x="0" y="0"/>
                            <a:ext cx="1950136" cy="812556"/>
                          </a:xfrm>
                          <a:prstGeom prst="rect">
                            <a:avLst/>
                          </a:prstGeom>
                        </pic:spPr>
                      </pic:pic>
                    </a:graphicData>
                  </a:graphic>
                </wp:inline>
              </w:drawing>
            </w:r>
          </w:p>
        </w:tc>
      </w:tr>
      <w:tr w:rsidR="007A1880" w:rsidRPr="006A51E8" w14:paraId="5ADD0EEF" w14:textId="6E42E95C" w:rsidTr="007A1880">
        <w:trPr>
          <w:gridAfter w:val="1"/>
          <w:wAfter w:w="4447" w:type="dxa"/>
        </w:trPr>
        <w:tc>
          <w:tcPr>
            <w:tcW w:w="4529" w:type="dxa"/>
          </w:tcPr>
          <w:p w14:paraId="341DF29A" w14:textId="77777777" w:rsidR="007A1880" w:rsidRDefault="007A1880" w:rsidP="007A1880">
            <w:pPr>
              <w:tabs>
                <w:tab w:val="left" w:pos="4253"/>
                <w:tab w:val="left" w:pos="7230"/>
                <w:tab w:val="left" w:leader="dot" w:pos="8222"/>
              </w:tabs>
              <w:rPr>
                <w:szCs w:val="24"/>
              </w:rPr>
            </w:pPr>
          </w:p>
          <w:p w14:paraId="7756E005" w14:textId="6D92CF0C" w:rsidR="007A1880" w:rsidRPr="000F41B0" w:rsidRDefault="007A1880" w:rsidP="007A1880">
            <w:pPr>
              <w:tabs>
                <w:tab w:val="left" w:pos="4253"/>
                <w:tab w:val="left" w:pos="7230"/>
                <w:tab w:val="left" w:leader="dot" w:pos="8222"/>
              </w:tabs>
              <w:rPr>
                <w:szCs w:val="24"/>
              </w:rPr>
            </w:pPr>
          </w:p>
        </w:tc>
        <w:tc>
          <w:tcPr>
            <w:tcW w:w="4529" w:type="dxa"/>
            <w:gridSpan w:val="2"/>
          </w:tcPr>
          <w:p w14:paraId="17FF72AC" w14:textId="77777777" w:rsidR="007A1880" w:rsidRDefault="007A1880" w:rsidP="007A1880">
            <w:pPr>
              <w:tabs>
                <w:tab w:val="left" w:pos="4253"/>
                <w:tab w:val="left" w:pos="7230"/>
                <w:tab w:val="left" w:leader="dot" w:pos="8222"/>
              </w:tabs>
              <w:rPr>
                <w:szCs w:val="24"/>
              </w:rPr>
            </w:pPr>
          </w:p>
        </w:tc>
      </w:tr>
    </w:tbl>
    <w:p w14:paraId="2BDE3B57" w14:textId="53B88981" w:rsidR="0027602A" w:rsidRDefault="001A347A" w:rsidP="0027602A">
      <w:pPr>
        <w:tabs>
          <w:tab w:val="left" w:pos="4320"/>
        </w:tabs>
        <w:jc w:val="right"/>
      </w:pPr>
      <w:r>
        <w:t>July</w:t>
      </w:r>
      <w:r w:rsidR="007A1880">
        <w:t xml:space="preserve"> </w:t>
      </w:r>
      <w:r w:rsidR="0054199E">
        <w:t>2022</w:t>
      </w:r>
    </w:p>
    <w:p w14:paraId="4AFB7AA9" w14:textId="77777777" w:rsidR="00644334" w:rsidRPr="00887EC4" w:rsidRDefault="00644334" w:rsidP="00887EC4">
      <w:pPr>
        <w:spacing w:before="80" w:after="60"/>
        <w:rPr>
          <w:color w:val="000000" w:themeColor="text1"/>
        </w:rPr>
      </w:pPr>
    </w:p>
    <w:sectPr w:rsidR="00644334" w:rsidRPr="00887EC4" w:rsidSect="005B556E">
      <w:headerReference w:type="even" r:id="rId19"/>
      <w:headerReference w:type="default" r:id="rId20"/>
      <w:footerReference w:type="even" r:id="rId21"/>
      <w:footerReference w:type="default" r:id="rId22"/>
      <w:headerReference w:type="first" r:id="rId23"/>
      <w:footerReference w:type="first" r:id="rId24"/>
      <w:pgSz w:w="11907" w:h="16840" w:code="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B0B" w14:textId="77777777" w:rsidR="00E53A1A" w:rsidRDefault="00E53A1A" w:rsidP="00182539">
      <w:r>
        <w:separator/>
      </w:r>
    </w:p>
  </w:endnote>
  <w:endnote w:type="continuationSeparator" w:id="0">
    <w:p w14:paraId="01C5AABF" w14:textId="77777777" w:rsidR="00E53A1A" w:rsidRDefault="00E53A1A" w:rsidP="001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1EE4" w14:textId="77777777" w:rsidR="00895EC0" w:rsidRDefault="00895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7F62" w14:textId="77777777" w:rsidR="00895EC0" w:rsidRPr="005E4817" w:rsidRDefault="00895EC0">
    <w:pPr>
      <w:pStyle w:val="Footer"/>
      <w:jc w:val="right"/>
      <w:rPr>
        <w:rFonts w:asciiTheme="minorHAnsi" w:hAnsiTheme="minorHAnsi"/>
      </w:rPr>
    </w:pPr>
    <w:r w:rsidRPr="005E4817">
      <w:rPr>
        <w:rFonts w:asciiTheme="minorHAnsi" w:hAnsiTheme="minorHAnsi"/>
      </w:rPr>
      <w:fldChar w:fldCharType="begin"/>
    </w:r>
    <w:r w:rsidRPr="005E4817">
      <w:rPr>
        <w:rFonts w:asciiTheme="minorHAnsi" w:hAnsiTheme="minorHAnsi"/>
      </w:rPr>
      <w:instrText xml:space="preserve"> PAGE   \* MERGEFORMAT </w:instrText>
    </w:r>
    <w:r w:rsidRPr="005E4817">
      <w:rPr>
        <w:rFonts w:asciiTheme="minorHAnsi" w:hAnsiTheme="minorHAnsi"/>
      </w:rPr>
      <w:fldChar w:fldCharType="separate"/>
    </w:r>
    <w:r w:rsidR="00B05D84">
      <w:rPr>
        <w:rFonts w:asciiTheme="minorHAnsi" w:hAnsiTheme="minorHAnsi"/>
        <w:noProof/>
      </w:rPr>
      <w:t>2</w:t>
    </w:r>
    <w:r w:rsidRPr="005E4817">
      <w:rPr>
        <w:rFonts w:asciiTheme="minorHAnsi" w:hAnsiTheme="minorHAnsi"/>
        <w:noProof/>
      </w:rPr>
      <w:fldChar w:fldCharType="end"/>
    </w:r>
  </w:p>
  <w:p w14:paraId="0C6D8C73" w14:textId="77777777" w:rsidR="00895EC0" w:rsidRDefault="00895EC0" w:rsidP="00891BAE">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B38F" w14:textId="77777777" w:rsidR="00895EC0" w:rsidRDefault="00895E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92B7" w14:textId="77777777" w:rsidR="00895EC0" w:rsidRDefault="00895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A5D21" w14:textId="77777777" w:rsidR="00895EC0" w:rsidRDefault="00895EC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E28F" w14:textId="77777777" w:rsidR="00895EC0" w:rsidRPr="006E0090" w:rsidRDefault="00895EC0">
    <w:pPr>
      <w:pStyle w:val="Footer"/>
      <w:framePr w:wrap="around" w:vAnchor="text" w:hAnchor="margin" w:xAlign="right" w:y="1"/>
      <w:rPr>
        <w:rStyle w:val="PageNumber"/>
      </w:rPr>
    </w:pPr>
  </w:p>
  <w:p w14:paraId="24906FE0" w14:textId="3C4BC9F6" w:rsidR="00895EC0" w:rsidRPr="005E4817" w:rsidRDefault="00895EC0" w:rsidP="00453A0F">
    <w:pPr>
      <w:pStyle w:val="Footer"/>
      <w:jc w:val="right"/>
      <w:rPr>
        <w:rFonts w:ascii="Calibri" w:hAnsi="Calibri"/>
      </w:rPr>
    </w:pPr>
    <w:r w:rsidRPr="005E4817">
      <w:rPr>
        <w:rFonts w:ascii="Calibri" w:hAnsi="Calibri"/>
      </w:rPr>
      <w:fldChar w:fldCharType="begin"/>
    </w:r>
    <w:r w:rsidRPr="005E4817">
      <w:rPr>
        <w:rFonts w:ascii="Calibri" w:hAnsi="Calibri"/>
      </w:rPr>
      <w:instrText xml:space="preserve"> PAGE   \* MERGEFORMAT </w:instrText>
    </w:r>
    <w:r w:rsidRPr="005E4817">
      <w:rPr>
        <w:rFonts w:ascii="Calibri" w:hAnsi="Calibri"/>
      </w:rPr>
      <w:fldChar w:fldCharType="separate"/>
    </w:r>
    <w:r w:rsidR="00B05D84">
      <w:rPr>
        <w:rFonts w:ascii="Calibri" w:hAnsi="Calibri"/>
        <w:noProof/>
      </w:rPr>
      <w:t>6</w:t>
    </w:r>
    <w:r w:rsidRPr="005E4817">
      <w:rPr>
        <w:rFonts w:ascii="Calibri" w:hAnsi="Calibri"/>
        <w:noProof/>
      </w:rPr>
      <w:fldChar w:fldCharType="end"/>
    </w:r>
  </w:p>
  <w:p w14:paraId="5420BBD1" w14:textId="77777777" w:rsidR="00895EC0" w:rsidRPr="00453A0F" w:rsidRDefault="00895EC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CECB" w14:textId="77777777" w:rsidR="00895EC0" w:rsidRDefault="0089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696E" w14:textId="77777777" w:rsidR="00E53A1A" w:rsidRDefault="00E53A1A" w:rsidP="00182539">
      <w:r>
        <w:separator/>
      </w:r>
    </w:p>
  </w:footnote>
  <w:footnote w:type="continuationSeparator" w:id="0">
    <w:p w14:paraId="1F341106" w14:textId="77777777" w:rsidR="00E53A1A" w:rsidRDefault="00E53A1A" w:rsidP="00182539">
      <w:r>
        <w:continuationSeparator/>
      </w:r>
    </w:p>
  </w:footnote>
  <w:footnote w:id="1">
    <w:p w14:paraId="555A1BC9" w14:textId="77777777" w:rsidR="007A1880" w:rsidRPr="00ED4564" w:rsidRDefault="007A1880" w:rsidP="007A1880">
      <w:pPr>
        <w:pStyle w:val="FootnoteText"/>
        <w:rPr>
          <w:rFonts w:cs="Calibri"/>
          <w:szCs w:val="18"/>
        </w:rPr>
      </w:pPr>
      <w:r w:rsidRPr="001C56AB">
        <w:rPr>
          <w:rStyle w:val="FootnoteReference"/>
          <w:rFonts w:cs="Calibri"/>
          <w:szCs w:val="18"/>
        </w:rPr>
        <w:footnoteRef/>
      </w:r>
      <w:r w:rsidRPr="001C56AB">
        <w:rPr>
          <w:rFonts w:cs="Calibri"/>
          <w:szCs w:val="18"/>
        </w:rPr>
        <w:t xml:space="preserve"> </w:t>
      </w:r>
      <w:r>
        <w:rPr>
          <w:rFonts w:cs="Calibri"/>
          <w:szCs w:val="18"/>
        </w:rPr>
        <w:t xml:space="preserve"> </w:t>
      </w:r>
      <w:hyperlink r:id="rId1" w:history="1">
        <w:r w:rsidRPr="00263E02">
          <w:rPr>
            <w:rStyle w:val="Hyperlink"/>
            <w:rFonts w:cs="Calibri"/>
            <w:szCs w:val="18"/>
          </w:rPr>
          <w:t>ACT Budget 2021-2022 Budget Outlook, Chapter 2 Economic Outlook</w:t>
        </w:r>
      </w:hyperlink>
      <w:r>
        <w:rPr>
          <w:rFonts w:cs="Calibri"/>
          <w:szCs w:val="18"/>
        </w:rPr>
        <w:t>, page 32.</w:t>
      </w:r>
    </w:p>
  </w:footnote>
  <w:footnote w:id="2">
    <w:p w14:paraId="7CE8DE55" w14:textId="77777777" w:rsidR="007A1880" w:rsidRPr="001C56AB" w:rsidRDefault="007A1880" w:rsidP="007A1880">
      <w:pPr>
        <w:pStyle w:val="FootnoteText"/>
        <w:rPr>
          <w:rFonts w:cs="Calibri"/>
          <w:szCs w:val="18"/>
        </w:rPr>
      </w:pPr>
      <w:r w:rsidRPr="001C56AB">
        <w:rPr>
          <w:rStyle w:val="FootnoteReference"/>
          <w:rFonts w:cs="Calibri"/>
          <w:szCs w:val="18"/>
        </w:rPr>
        <w:footnoteRef/>
      </w:r>
      <w:r w:rsidRPr="001C56AB">
        <w:rPr>
          <w:rFonts w:cs="Calibri"/>
          <w:szCs w:val="18"/>
        </w:rPr>
        <w:t xml:space="preserve"> </w:t>
      </w:r>
      <w:r>
        <w:rPr>
          <w:rFonts w:cs="Calibri"/>
          <w:szCs w:val="18"/>
        </w:rPr>
        <w:t xml:space="preserve">ACT Treasury, 27 April 2022, CPI – March Quarter 2022 </w:t>
      </w:r>
      <w:hyperlink r:id="rId2" w:history="1">
        <w:r w:rsidRPr="00F966E4">
          <w:rPr>
            <w:rStyle w:val="Hyperlink"/>
            <w:rFonts w:cs="Calibri"/>
            <w:szCs w:val="18"/>
          </w:rPr>
          <w:t>https://www.treasury.act.gov.au/__data/assets/pdf_file/0009/399978/CPI.pdf/_recache</w:t>
        </w:r>
      </w:hyperlink>
      <w:r>
        <w:rPr>
          <w:rFonts w:cs="Calibri"/>
          <w:szCs w:val="18"/>
        </w:rPr>
        <w:t xml:space="preserve"> </w:t>
      </w:r>
    </w:p>
  </w:footnote>
  <w:footnote w:id="3">
    <w:p w14:paraId="0CA66DCD" w14:textId="77777777" w:rsidR="007A1880" w:rsidRPr="001C56AB" w:rsidRDefault="007A1880" w:rsidP="007A1880">
      <w:pPr>
        <w:pStyle w:val="FootnoteText"/>
        <w:rPr>
          <w:szCs w:val="18"/>
        </w:rPr>
      </w:pPr>
      <w:r w:rsidRPr="001C56AB">
        <w:rPr>
          <w:rStyle w:val="FootnoteReference"/>
          <w:rFonts w:cs="Calibri"/>
          <w:szCs w:val="18"/>
        </w:rPr>
        <w:footnoteRef/>
      </w:r>
      <w:r w:rsidRPr="001C56AB">
        <w:rPr>
          <w:rFonts w:cs="Calibri"/>
          <w:szCs w:val="18"/>
        </w:rPr>
        <w:t xml:space="preserve"> Australian Bureau of Statistics Release</w:t>
      </w:r>
      <w:r>
        <w:rPr>
          <w:rFonts w:cs="Calibri"/>
          <w:szCs w:val="18"/>
        </w:rPr>
        <w:t xml:space="preserve"> 27 April 2022</w:t>
      </w:r>
      <w:r w:rsidRPr="001C56AB">
        <w:rPr>
          <w:szCs w:val="18"/>
        </w:rPr>
        <w:t xml:space="preserve"> </w:t>
      </w:r>
      <w:r w:rsidRPr="00F966E4">
        <w:rPr>
          <w:szCs w:val="18"/>
        </w:rPr>
        <w:t>https://www.abs.gov.au/statistics/economy/price-indexes-and-inflation/consumer-price-index-australia/latest-release</w:t>
      </w:r>
    </w:p>
  </w:footnote>
  <w:footnote w:id="4">
    <w:p w14:paraId="5140EEF1" w14:textId="2F48B128" w:rsidR="006256BF" w:rsidRDefault="006256BF">
      <w:pPr>
        <w:pStyle w:val="FootnoteText"/>
      </w:pPr>
      <w:r>
        <w:rPr>
          <w:rStyle w:val="FootnoteReference"/>
        </w:rPr>
        <w:footnoteRef/>
      </w:r>
      <w:r>
        <w:t xml:space="preserve"> Including previous motor vehicle allowance and fringe benefits tax payment</w:t>
      </w:r>
      <w:r w:rsidR="000B5250">
        <w:t>, excluding allowances and superannuation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6376" w14:textId="0AA02844" w:rsidR="00895EC0" w:rsidRDefault="00895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1680" w14:textId="3D356835" w:rsidR="00895EC0" w:rsidRDefault="00895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ED11" w14:textId="14C5FDA4" w:rsidR="00895EC0" w:rsidRDefault="00895E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9738" w14:textId="1D6286CA" w:rsidR="00895EC0" w:rsidRDefault="00895E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1B30" w14:textId="67D9ADC0" w:rsidR="00895EC0" w:rsidRDefault="00895E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448E" w14:textId="44EB993D" w:rsidR="00895EC0" w:rsidRDefault="0089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AAD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CE7EC2"/>
    <w:multiLevelType w:val="hybridMultilevel"/>
    <w:tmpl w:val="23AE2A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363696"/>
    <w:multiLevelType w:val="hybridMultilevel"/>
    <w:tmpl w:val="9AE0269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E1A02F9"/>
    <w:multiLevelType w:val="hybridMultilevel"/>
    <w:tmpl w:val="1332AAEE"/>
    <w:lvl w:ilvl="0" w:tplc="7D161C9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4"/>
  </w:num>
  <w:num w:numId="4">
    <w:abstractNumId w:val="8"/>
  </w:num>
  <w:num w:numId="5">
    <w:abstractNumId w:val="10"/>
  </w:num>
  <w:num w:numId="6">
    <w:abstractNumId w:val="1"/>
  </w:num>
  <w:num w:numId="7">
    <w:abstractNumId w:val="12"/>
  </w:num>
  <w:num w:numId="8">
    <w:abstractNumId w:val="0"/>
  </w:num>
  <w:num w:numId="9">
    <w:abstractNumId w:val="9"/>
  </w:num>
  <w:num w:numId="10">
    <w:abstractNumId w:val="3"/>
  </w:num>
  <w:num w:numId="11">
    <w:abstractNumId w:val="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5"/>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5"/>
    <w:rsid w:val="0000051E"/>
    <w:rsid w:val="00007CCC"/>
    <w:rsid w:val="00011CC0"/>
    <w:rsid w:val="0001754D"/>
    <w:rsid w:val="000238E7"/>
    <w:rsid w:val="00033953"/>
    <w:rsid w:val="00034683"/>
    <w:rsid w:val="000776B6"/>
    <w:rsid w:val="00087B91"/>
    <w:rsid w:val="00096D75"/>
    <w:rsid w:val="000B4043"/>
    <w:rsid w:val="000B5250"/>
    <w:rsid w:val="000C1670"/>
    <w:rsid w:val="000C594A"/>
    <w:rsid w:val="000C63D5"/>
    <w:rsid w:val="000D472A"/>
    <w:rsid w:val="000D754F"/>
    <w:rsid w:val="000D7565"/>
    <w:rsid w:val="000E1E49"/>
    <w:rsid w:val="000E7AD4"/>
    <w:rsid w:val="000F76FB"/>
    <w:rsid w:val="00100AE4"/>
    <w:rsid w:val="00101758"/>
    <w:rsid w:val="00101B26"/>
    <w:rsid w:val="00107E29"/>
    <w:rsid w:val="00114810"/>
    <w:rsid w:val="001217EA"/>
    <w:rsid w:val="00144E2B"/>
    <w:rsid w:val="0016790D"/>
    <w:rsid w:val="00172E82"/>
    <w:rsid w:val="00182539"/>
    <w:rsid w:val="001874FE"/>
    <w:rsid w:val="001969BA"/>
    <w:rsid w:val="00196EA5"/>
    <w:rsid w:val="001A347A"/>
    <w:rsid w:val="001B3A29"/>
    <w:rsid w:val="001B7AD8"/>
    <w:rsid w:val="001B7C96"/>
    <w:rsid w:val="001C0825"/>
    <w:rsid w:val="001C411C"/>
    <w:rsid w:val="001D0963"/>
    <w:rsid w:val="001D4E92"/>
    <w:rsid w:val="001D5158"/>
    <w:rsid w:val="001D659C"/>
    <w:rsid w:val="001E1D55"/>
    <w:rsid w:val="002103B0"/>
    <w:rsid w:val="00216A13"/>
    <w:rsid w:val="002206F2"/>
    <w:rsid w:val="00223BC3"/>
    <w:rsid w:val="00225C49"/>
    <w:rsid w:val="0023242B"/>
    <w:rsid w:val="0027602A"/>
    <w:rsid w:val="002807D5"/>
    <w:rsid w:val="00287A58"/>
    <w:rsid w:val="002B240A"/>
    <w:rsid w:val="002B304B"/>
    <w:rsid w:val="002C31BF"/>
    <w:rsid w:val="002D11BC"/>
    <w:rsid w:val="002D63E9"/>
    <w:rsid w:val="002E3D81"/>
    <w:rsid w:val="002E60D9"/>
    <w:rsid w:val="00306A45"/>
    <w:rsid w:val="003075CE"/>
    <w:rsid w:val="00307776"/>
    <w:rsid w:val="00310675"/>
    <w:rsid w:val="00316581"/>
    <w:rsid w:val="00320D81"/>
    <w:rsid w:val="003254DA"/>
    <w:rsid w:val="00335707"/>
    <w:rsid w:val="00344458"/>
    <w:rsid w:val="00361F5B"/>
    <w:rsid w:val="0036642B"/>
    <w:rsid w:val="003665E3"/>
    <w:rsid w:val="00366D86"/>
    <w:rsid w:val="00372A2C"/>
    <w:rsid w:val="00382491"/>
    <w:rsid w:val="00382B95"/>
    <w:rsid w:val="00386D5E"/>
    <w:rsid w:val="00394C8C"/>
    <w:rsid w:val="003A0C5A"/>
    <w:rsid w:val="003A0EA1"/>
    <w:rsid w:val="003A71E4"/>
    <w:rsid w:val="003A7BE4"/>
    <w:rsid w:val="003B469E"/>
    <w:rsid w:val="003B6F4F"/>
    <w:rsid w:val="003C6FEE"/>
    <w:rsid w:val="003D1AC6"/>
    <w:rsid w:val="003F1040"/>
    <w:rsid w:val="003F6E52"/>
    <w:rsid w:val="003F783F"/>
    <w:rsid w:val="00400960"/>
    <w:rsid w:val="004066A4"/>
    <w:rsid w:val="00411109"/>
    <w:rsid w:val="00413443"/>
    <w:rsid w:val="00423EE2"/>
    <w:rsid w:val="00433423"/>
    <w:rsid w:val="00453A0F"/>
    <w:rsid w:val="00453B06"/>
    <w:rsid w:val="00453BB4"/>
    <w:rsid w:val="00463482"/>
    <w:rsid w:val="00464754"/>
    <w:rsid w:val="00464F72"/>
    <w:rsid w:val="004715C3"/>
    <w:rsid w:val="00480B90"/>
    <w:rsid w:val="00482097"/>
    <w:rsid w:val="004B34E6"/>
    <w:rsid w:val="004B75FC"/>
    <w:rsid w:val="004C3154"/>
    <w:rsid w:val="004C4297"/>
    <w:rsid w:val="004C6D00"/>
    <w:rsid w:val="004D2BBC"/>
    <w:rsid w:val="004D3741"/>
    <w:rsid w:val="004D4B51"/>
    <w:rsid w:val="004D60D4"/>
    <w:rsid w:val="004D6306"/>
    <w:rsid w:val="004E631E"/>
    <w:rsid w:val="004F2085"/>
    <w:rsid w:val="004F2086"/>
    <w:rsid w:val="004F5FC1"/>
    <w:rsid w:val="00501D02"/>
    <w:rsid w:val="00502D96"/>
    <w:rsid w:val="00504AA8"/>
    <w:rsid w:val="005221D2"/>
    <w:rsid w:val="00525C84"/>
    <w:rsid w:val="00525FEA"/>
    <w:rsid w:val="0053188F"/>
    <w:rsid w:val="00533E72"/>
    <w:rsid w:val="0054028B"/>
    <w:rsid w:val="0054046D"/>
    <w:rsid w:val="0054199E"/>
    <w:rsid w:val="005553BD"/>
    <w:rsid w:val="0056037E"/>
    <w:rsid w:val="00562357"/>
    <w:rsid w:val="00562862"/>
    <w:rsid w:val="0056377D"/>
    <w:rsid w:val="00590449"/>
    <w:rsid w:val="00594246"/>
    <w:rsid w:val="00595C50"/>
    <w:rsid w:val="005A1BE6"/>
    <w:rsid w:val="005A3A46"/>
    <w:rsid w:val="005A673A"/>
    <w:rsid w:val="005A7227"/>
    <w:rsid w:val="005B07A5"/>
    <w:rsid w:val="005B22D3"/>
    <w:rsid w:val="005B375C"/>
    <w:rsid w:val="005B556E"/>
    <w:rsid w:val="005B6D7D"/>
    <w:rsid w:val="005C0CA7"/>
    <w:rsid w:val="005D3272"/>
    <w:rsid w:val="005D75B3"/>
    <w:rsid w:val="005E4817"/>
    <w:rsid w:val="005F3493"/>
    <w:rsid w:val="006003CD"/>
    <w:rsid w:val="00614C77"/>
    <w:rsid w:val="00625610"/>
    <w:rsid w:val="006256BF"/>
    <w:rsid w:val="006401F4"/>
    <w:rsid w:val="006442AA"/>
    <w:rsid w:val="00644334"/>
    <w:rsid w:val="00644A92"/>
    <w:rsid w:val="00664751"/>
    <w:rsid w:val="00670BC5"/>
    <w:rsid w:val="00680BB2"/>
    <w:rsid w:val="006905C6"/>
    <w:rsid w:val="00690EE1"/>
    <w:rsid w:val="006B0526"/>
    <w:rsid w:val="006C0DA8"/>
    <w:rsid w:val="006C5DEF"/>
    <w:rsid w:val="006C62D2"/>
    <w:rsid w:val="006D3751"/>
    <w:rsid w:val="006D4065"/>
    <w:rsid w:val="006D6BA1"/>
    <w:rsid w:val="006E0090"/>
    <w:rsid w:val="006E7053"/>
    <w:rsid w:val="006E7416"/>
    <w:rsid w:val="006F40F5"/>
    <w:rsid w:val="00702A22"/>
    <w:rsid w:val="00720146"/>
    <w:rsid w:val="007258CF"/>
    <w:rsid w:val="00737A85"/>
    <w:rsid w:val="00740323"/>
    <w:rsid w:val="00743D98"/>
    <w:rsid w:val="007629CF"/>
    <w:rsid w:val="007639B1"/>
    <w:rsid w:val="00765DFD"/>
    <w:rsid w:val="0077456D"/>
    <w:rsid w:val="007810C2"/>
    <w:rsid w:val="00790767"/>
    <w:rsid w:val="00793C81"/>
    <w:rsid w:val="00795F62"/>
    <w:rsid w:val="007A1880"/>
    <w:rsid w:val="007A6BB9"/>
    <w:rsid w:val="007A78A8"/>
    <w:rsid w:val="007B1039"/>
    <w:rsid w:val="007B2440"/>
    <w:rsid w:val="007B4076"/>
    <w:rsid w:val="007C0B41"/>
    <w:rsid w:val="007C241C"/>
    <w:rsid w:val="007C2BAC"/>
    <w:rsid w:val="007C4085"/>
    <w:rsid w:val="007C66D9"/>
    <w:rsid w:val="007D020D"/>
    <w:rsid w:val="007D54E4"/>
    <w:rsid w:val="007E21B4"/>
    <w:rsid w:val="007E68F7"/>
    <w:rsid w:val="0080525F"/>
    <w:rsid w:val="00805874"/>
    <w:rsid w:val="0081684F"/>
    <w:rsid w:val="00824298"/>
    <w:rsid w:val="008251B6"/>
    <w:rsid w:val="00831BB0"/>
    <w:rsid w:val="008339D2"/>
    <w:rsid w:val="00834E66"/>
    <w:rsid w:val="00835D97"/>
    <w:rsid w:val="00860D65"/>
    <w:rsid w:val="008764B5"/>
    <w:rsid w:val="00887EC4"/>
    <w:rsid w:val="00891BAE"/>
    <w:rsid w:val="00894955"/>
    <w:rsid w:val="00895EC0"/>
    <w:rsid w:val="008A2333"/>
    <w:rsid w:val="00910E17"/>
    <w:rsid w:val="009123D0"/>
    <w:rsid w:val="00913A39"/>
    <w:rsid w:val="00915F3A"/>
    <w:rsid w:val="00917854"/>
    <w:rsid w:val="009279C2"/>
    <w:rsid w:val="00927F3E"/>
    <w:rsid w:val="00932D00"/>
    <w:rsid w:val="00940D75"/>
    <w:rsid w:val="00942AE0"/>
    <w:rsid w:val="00942F3C"/>
    <w:rsid w:val="009453AF"/>
    <w:rsid w:val="00945BE7"/>
    <w:rsid w:val="009467AF"/>
    <w:rsid w:val="00947B6F"/>
    <w:rsid w:val="00964983"/>
    <w:rsid w:val="00971EAB"/>
    <w:rsid w:val="00983E90"/>
    <w:rsid w:val="00985E56"/>
    <w:rsid w:val="009B4321"/>
    <w:rsid w:val="009B6793"/>
    <w:rsid w:val="009B7920"/>
    <w:rsid w:val="009C10E9"/>
    <w:rsid w:val="009C2F6E"/>
    <w:rsid w:val="009C390C"/>
    <w:rsid w:val="009C7670"/>
    <w:rsid w:val="009D2938"/>
    <w:rsid w:val="009E09AB"/>
    <w:rsid w:val="009E09C1"/>
    <w:rsid w:val="009E0E67"/>
    <w:rsid w:val="009E36A7"/>
    <w:rsid w:val="009E48D4"/>
    <w:rsid w:val="00A02D43"/>
    <w:rsid w:val="00A052D8"/>
    <w:rsid w:val="00A12B19"/>
    <w:rsid w:val="00A15F32"/>
    <w:rsid w:val="00A246C0"/>
    <w:rsid w:val="00A47632"/>
    <w:rsid w:val="00A50E8B"/>
    <w:rsid w:val="00A55710"/>
    <w:rsid w:val="00A61735"/>
    <w:rsid w:val="00A6753C"/>
    <w:rsid w:val="00A7162F"/>
    <w:rsid w:val="00A7760F"/>
    <w:rsid w:val="00A86CB9"/>
    <w:rsid w:val="00A94435"/>
    <w:rsid w:val="00AA26C9"/>
    <w:rsid w:val="00AB171A"/>
    <w:rsid w:val="00AB6000"/>
    <w:rsid w:val="00AD0936"/>
    <w:rsid w:val="00AF3576"/>
    <w:rsid w:val="00B03A31"/>
    <w:rsid w:val="00B05D84"/>
    <w:rsid w:val="00B06BD8"/>
    <w:rsid w:val="00B20CE5"/>
    <w:rsid w:val="00B21432"/>
    <w:rsid w:val="00B3413E"/>
    <w:rsid w:val="00B40619"/>
    <w:rsid w:val="00B41331"/>
    <w:rsid w:val="00B504D7"/>
    <w:rsid w:val="00B51F23"/>
    <w:rsid w:val="00B551D9"/>
    <w:rsid w:val="00B656CC"/>
    <w:rsid w:val="00B66D0F"/>
    <w:rsid w:val="00B84ED0"/>
    <w:rsid w:val="00B96D2B"/>
    <w:rsid w:val="00BB22C0"/>
    <w:rsid w:val="00BB56AD"/>
    <w:rsid w:val="00BD0DE7"/>
    <w:rsid w:val="00BD6800"/>
    <w:rsid w:val="00BD78A4"/>
    <w:rsid w:val="00BE1775"/>
    <w:rsid w:val="00BE259E"/>
    <w:rsid w:val="00BE4363"/>
    <w:rsid w:val="00BF6ACD"/>
    <w:rsid w:val="00C0193F"/>
    <w:rsid w:val="00C019FF"/>
    <w:rsid w:val="00C138DF"/>
    <w:rsid w:val="00C16C8A"/>
    <w:rsid w:val="00C24529"/>
    <w:rsid w:val="00C474F5"/>
    <w:rsid w:val="00C54DEE"/>
    <w:rsid w:val="00C55E3B"/>
    <w:rsid w:val="00C5735B"/>
    <w:rsid w:val="00C57461"/>
    <w:rsid w:val="00C62560"/>
    <w:rsid w:val="00C627B5"/>
    <w:rsid w:val="00C80E44"/>
    <w:rsid w:val="00C819EB"/>
    <w:rsid w:val="00C86137"/>
    <w:rsid w:val="00C931E1"/>
    <w:rsid w:val="00CA2745"/>
    <w:rsid w:val="00CA5A16"/>
    <w:rsid w:val="00CE1B99"/>
    <w:rsid w:val="00CE6FC1"/>
    <w:rsid w:val="00CF7EF1"/>
    <w:rsid w:val="00D07D73"/>
    <w:rsid w:val="00D1323F"/>
    <w:rsid w:val="00D21B26"/>
    <w:rsid w:val="00D21F9B"/>
    <w:rsid w:val="00D23DC3"/>
    <w:rsid w:val="00D425C3"/>
    <w:rsid w:val="00D42B2D"/>
    <w:rsid w:val="00D501F4"/>
    <w:rsid w:val="00D528EE"/>
    <w:rsid w:val="00D54E49"/>
    <w:rsid w:val="00D5616F"/>
    <w:rsid w:val="00D60CE6"/>
    <w:rsid w:val="00D66DD1"/>
    <w:rsid w:val="00D721C1"/>
    <w:rsid w:val="00D7416F"/>
    <w:rsid w:val="00D74807"/>
    <w:rsid w:val="00D7585B"/>
    <w:rsid w:val="00D775A1"/>
    <w:rsid w:val="00DB024A"/>
    <w:rsid w:val="00DC34BF"/>
    <w:rsid w:val="00DC47EE"/>
    <w:rsid w:val="00DD0593"/>
    <w:rsid w:val="00DF0E54"/>
    <w:rsid w:val="00DF40FC"/>
    <w:rsid w:val="00DF41BA"/>
    <w:rsid w:val="00E01394"/>
    <w:rsid w:val="00E0380F"/>
    <w:rsid w:val="00E04F07"/>
    <w:rsid w:val="00E07F02"/>
    <w:rsid w:val="00E102AE"/>
    <w:rsid w:val="00E103E6"/>
    <w:rsid w:val="00E14080"/>
    <w:rsid w:val="00E154D7"/>
    <w:rsid w:val="00E30FA8"/>
    <w:rsid w:val="00E31AF0"/>
    <w:rsid w:val="00E42203"/>
    <w:rsid w:val="00E4245B"/>
    <w:rsid w:val="00E42637"/>
    <w:rsid w:val="00E53A1A"/>
    <w:rsid w:val="00E564E8"/>
    <w:rsid w:val="00E6370F"/>
    <w:rsid w:val="00E70236"/>
    <w:rsid w:val="00E7453B"/>
    <w:rsid w:val="00E835FD"/>
    <w:rsid w:val="00E83F9F"/>
    <w:rsid w:val="00E8666D"/>
    <w:rsid w:val="00E922E2"/>
    <w:rsid w:val="00E9580A"/>
    <w:rsid w:val="00E95939"/>
    <w:rsid w:val="00E96CB7"/>
    <w:rsid w:val="00EA1D9F"/>
    <w:rsid w:val="00EA22C2"/>
    <w:rsid w:val="00EA238C"/>
    <w:rsid w:val="00EA5820"/>
    <w:rsid w:val="00EA6F35"/>
    <w:rsid w:val="00EB1F62"/>
    <w:rsid w:val="00EC21E5"/>
    <w:rsid w:val="00ED339A"/>
    <w:rsid w:val="00ED66D1"/>
    <w:rsid w:val="00EE7A33"/>
    <w:rsid w:val="00EF2321"/>
    <w:rsid w:val="00F00DFB"/>
    <w:rsid w:val="00F037A1"/>
    <w:rsid w:val="00F07177"/>
    <w:rsid w:val="00F11BCC"/>
    <w:rsid w:val="00F22A1F"/>
    <w:rsid w:val="00F34F67"/>
    <w:rsid w:val="00F37E28"/>
    <w:rsid w:val="00F42BB8"/>
    <w:rsid w:val="00F52AFD"/>
    <w:rsid w:val="00F62B08"/>
    <w:rsid w:val="00F703A5"/>
    <w:rsid w:val="00F72CE1"/>
    <w:rsid w:val="00F82398"/>
    <w:rsid w:val="00F87F1D"/>
    <w:rsid w:val="00F93DCF"/>
    <w:rsid w:val="00FD5F13"/>
    <w:rsid w:val="00FD6F1F"/>
    <w:rsid w:val="00FE029D"/>
    <w:rsid w:val="00FF2D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3FFFA6"/>
  <w15:docId w15:val="{9AF1BDB7-36CA-4DA8-94A7-7F9A375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A5"/>
    <w:rPr>
      <w:rFonts w:eastAsia="Times New Roman"/>
      <w:sz w:val="24"/>
      <w:lang w:eastAsia="en-US"/>
    </w:rPr>
  </w:style>
  <w:style w:type="paragraph" w:styleId="Heading1">
    <w:name w:val="heading 1"/>
    <w:basedOn w:val="Normal"/>
    <w:next w:val="Normal"/>
    <w:link w:val="Heading1Char"/>
    <w:uiPriority w:val="9"/>
    <w:qFormat/>
    <w:rsid w:val="00196EA5"/>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196EA5"/>
    <w:pPr>
      <w:keepNext/>
      <w:widowControl w:val="0"/>
      <w:jc w:val="center"/>
      <w:outlineLvl w:val="1"/>
    </w:pPr>
    <w:rPr>
      <w:b/>
      <w:iCs/>
      <w:szCs w:val="16"/>
    </w:rPr>
  </w:style>
  <w:style w:type="paragraph" w:styleId="Heading3">
    <w:name w:val="heading 3"/>
    <w:basedOn w:val="Normal"/>
    <w:next w:val="Normal"/>
    <w:link w:val="Heading3Char"/>
    <w:uiPriority w:val="9"/>
    <w:qFormat/>
    <w:rsid w:val="00196EA5"/>
    <w:pPr>
      <w:keepNext/>
      <w:keepLines/>
      <w:numPr>
        <w:numId w:val="1"/>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6EA5"/>
    <w:rPr>
      <w:rFonts w:ascii="Calibri" w:eastAsia="Times New Roman" w:hAnsi="Calibri" w:cs="Times New Roman"/>
      <w:b/>
      <w:sz w:val="40"/>
      <w:szCs w:val="20"/>
    </w:rPr>
  </w:style>
  <w:style w:type="character" w:customStyle="1" w:styleId="Heading2Char">
    <w:name w:val="Heading 2 Char"/>
    <w:link w:val="Heading2"/>
    <w:rsid w:val="00196EA5"/>
    <w:rPr>
      <w:rFonts w:ascii="Calibri" w:eastAsia="Times New Roman" w:hAnsi="Calibri" w:cs="Arial"/>
      <w:b/>
      <w:iCs/>
      <w:sz w:val="24"/>
      <w:szCs w:val="16"/>
    </w:rPr>
  </w:style>
  <w:style w:type="character" w:customStyle="1" w:styleId="Heading3Char">
    <w:name w:val="Heading 3 Char"/>
    <w:link w:val="Heading3"/>
    <w:uiPriority w:val="9"/>
    <w:rsid w:val="00196EA5"/>
    <w:rPr>
      <w:rFonts w:ascii="Calibri" w:eastAsia="Times New Roman" w:hAnsi="Calibri" w:cs="Times New Roman"/>
      <w:b/>
      <w:bCs/>
      <w:sz w:val="24"/>
      <w:szCs w:val="20"/>
    </w:rPr>
  </w:style>
  <w:style w:type="paragraph" w:styleId="Footer">
    <w:name w:val="footer"/>
    <w:basedOn w:val="Normal"/>
    <w:link w:val="FooterChar"/>
    <w:uiPriority w:val="99"/>
    <w:rsid w:val="00196EA5"/>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196EA5"/>
    <w:rPr>
      <w:rFonts w:ascii="Arial" w:eastAsia="Times New Roman" w:hAnsi="Arial" w:cs="Times New Roman"/>
      <w:sz w:val="18"/>
      <w:szCs w:val="20"/>
    </w:rPr>
  </w:style>
  <w:style w:type="paragraph" w:customStyle="1" w:styleId="N-line3">
    <w:name w:val="N-line3"/>
    <w:basedOn w:val="Normal"/>
    <w:next w:val="Normal"/>
    <w:rsid w:val="00196EA5"/>
    <w:pPr>
      <w:pBdr>
        <w:bottom w:val="single" w:sz="12" w:space="1" w:color="auto"/>
      </w:pBdr>
      <w:jc w:val="both"/>
    </w:pPr>
  </w:style>
  <w:style w:type="paragraph" w:customStyle="1" w:styleId="madeunder">
    <w:name w:val="made under"/>
    <w:basedOn w:val="Normal"/>
    <w:rsid w:val="00196EA5"/>
    <w:pPr>
      <w:spacing w:before="180" w:after="60"/>
      <w:jc w:val="both"/>
    </w:pPr>
  </w:style>
  <w:style w:type="paragraph" w:customStyle="1" w:styleId="CoverActName">
    <w:name w:val="CoverActName"/>
    <w:basedOn w:val="Normal"/>
    <w:rsid w:val="00196EA5"/>
    <w:pPr>
      <w:tabs>
        <w:tab w:val="left" w:pos="2600"/>
      </w:tabs>
      <w:spacing w:before="200" w:after="60"/>
      <w:jc w:val="both"/>
    </w:pPr>
    <w:rPr>
      <w:rFonts w:ascii="Arial" w:hAnsi="Arial"/>
      <w:b/>
    </w:rPr>
  </w:style>
  <w:style w:type="paragraph" w:styleId="Header">
    <w:name w:val="header"/>
    <w:basedOn w:val="Normal"/>
    <w:link w:val="HeaderChar"/>
    <w:rsid w:val="00196EA5"/>
    <w:pPr>
      <w:tabs>
        <w:tab w:val="left" w:pos="2880"/>
        <w:tab w:val="center" w:pos="4153"/>
        <w:tab w:val="right" w:pos="8306"/>
      </w:tabs>
    </w:pPr>
  </w:style>
  <w:style w:type="character" w:customStyle="1" w:styleId="HeaderChar">
    <w:name w:val="Header Char"/>
    <w:link w:val="Header"/>
    <w:rsid w:val="00196EA5"/>
    <w:rPr>
      <w:rFonts w:ascii="Calibri" w:eastAsia="Times New Roman" w:hAnsi="Calibri" w:cs="Times New Roman"/>
      <w:sz w:val="24"/>
      <w:szCs w:val="20"/>
    </w:rPr>
  </w:style>
  <w:style w:type="character" w:styleId="PageNumber">
    <w:name w:val="page number"/>
    <w:basedOn w:val="DefaultParagraphFont"/>
    <w:rsid w:val="00196EA5"/>
  </w:style>
  <w:style w:type="character" w:styleId="Hyperlink">
    <w:name w:val="Hyperlink"/>
    <w:rsid w:val="00196EA5"/>
    <w:rPr>
      <w:color w:val="0000FF"/>
      <w:u w:val="single"/>
    </w:rPr>
  </w:style>
  <w:style w:type="paragraph" w:styleId="BodyText2">
    <w:name w:val="Body Text 2"/>
    <w:basedOn w:val="Normal"/>
    <w:link w:val="BodyText2Char"/>
    <w:rsid w:val="00196EA5"/>
    <w:pPr>
      <w:jc w:val="both"/>
    </w:pPr>
    <w:rPr>
      <w:rFonts w:ascii="Arial" w:hAnsi="Arial"/>
    </w:rPr>
  </w:style>
  <w:style w:type="character" w:customStyle="1" w:styleId="BodyText2Char">
    <w:name w:val="Body Text 2 Char"/>
    <w:link w:val="BodyText2"/>
    <w:rsid w:val="00196EA5"/>
    <w:rPr>
      <w:rFonts w:ascii="Arial" w:eastAsia="Times New Roman" w:hAnsi="Arial" w:cs="Times New Roman"/>
      <w:sz w:val="24"/>
      <w:szCs w:val="20"/>
    </w:rPr>
  </w:style>
  <w:style w:type="paragraph" w:customStyle="1" w:styleId="MediumGrid1-Accent21">
    <w:name w:val="Medium Grid 1 - Accent 21"/>
    <w:basedOn w:val="Normal"/>
    <w:uiPriority w:val="34"/>
    <w:qFormat/>
    <w:rsid w:val="00196EA5"/>
    <w:pPr>
      <w:ind w:left="720"/>
      <w:contextualSpacing/>
    </w:pPr>
  </w:style>
  <w:style w:type="table" w:styleId="TableGrid">
    <w:name w:val="Table Grid"/>
    <w:basedOn w:val="TableNormal"/>
    <w:uiPriority w:val="59"/>
    <w:rsid w:val="0019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EA5"/>
    <w:rPr>
      <w:rFonts w:ascii="Tahoma" w:hAnsi="Tahoma"/>
      <w:sz w:val="16"/>
      <w:szCs w:val="16"/>
    </w:rPr>
  </w:style>
  <w:style w:type="character" w:customStyle="1" w:styleId="BalloonTextChar">
    <w:name w:val="Balloon Text Char"/>
    <w:link w:val="BalloonText"/>
    <w:uiPriority w:val="99"/>
    <w:semiHidden/>
    <w:rsid w:val="00196EA5"/>
    <w:rPr>
      <w:rFonts w:ascii="Tahoma" w:eastAsia="Times New Roman" w:hAnsi="Tahoma" w:cs="Tahoma"/>
      <w:sz w:val="16"/>
      <w:szCs w:val="16"/>
    </w:rPr>
  </w:style>
  <w:style w:type="paragraph" w:customStyle="1" w:styleId="Asubparabullet">
    <w:name w:val="A subpara bullet"/>
    <w:basedOn w:val="Normal"/>
    <w:rsid w:val="00F37E28"/>
    <w:pPr>
      <w:numPr>
        <w:numId w:val="6"/>
      </w:numPr>
    </w:pPr>
    <w:rPr>
      <w:szCs w:val="24"/>
    </w:rPr>
  </w:style>
  <w:style w:type="character" w:styleId="CommentReference">
    <w:name w:val="annotation reference"/>
    <w:uiPriority w:val="99"/>
    <w:unhideWhenUsed/>
    <w:rsid w:val="00B84ED0"/>
    <w:rPr>
      <w:sz w:val="18"/>
      <w:szCs w:val="18"/>
    </w:rPr>
  </w:style>
  <w:style w:type="paragraph" w:styleId="CommentText">
    <w:name w:val="annotation text"/>
    <w:basedOn w:val="Normal"/>
    <w:link w:val="CommentTextChar"/>
    <w:uiPriority w:val="99"/>
    <w:unhideWhenUsed/>
    <w:rsid w:val="00B84ED0"/>
    <w:rPr>
      <w:szCs w:val="24"/>
    </w:rPr>
  </w:style>
  <w:style w:type="character" w:customStyle="1" w:styleId="CommentTextChar">
    <w:name w:val="Comment Text Char"/>
    <w:link w:val="CommentText"/>
    <w:uiPriority w:val="99"/>
    <w:rsid w:val="00B84ED0"/>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84ED0"/>
    <w:rPr>
      <w:b/>
      <w:bCs/>
    </w:rPr>
  </w:style>
  <w:style w:type="character" w:customStyle="1" w:styleId="CommentSubjectChar">
    <w:name w:val="Comment Subject Char"/>
    <w:link w:val="CommentSubject"/>
    <w:uiPriority w:val="99"/>
    <w:semiHidden/>
    <w:rsid w:val="00B84ED0"/>
    <w:rPr>
      <w:rFonts w:eastAsia="Times New Roman"/>
      <w:b/>
      <w:bCs/>
      <w:sz w:val="24"/>
      <w:szCs w:val="24"/>
    </w:rPr>
  </w:style>
  <w:style w:type="paragraph" w:styleId="Revision">
    <w:name w:val="Revision"/>
    <w:hidden/>
    <w:uiPriority w:val="71"/>
    <w:rsid w:val="004B34E6"/>
    <w:rPr>
      <w:rFonts w:eastAsia="Times New Roman"/>
      <w:sz w:val="24"/>
      <w:lang w:eastAsia="en-US"/>
    </w:rPr>
  </w:style>
  <w:style w:type="paragraph" w:styleId="ListParagraph">
    <w:name w:val="List Paragraph"/>
    <w:basedOn w:val="Normal"/>
    <w:uiPriority w:val="34"/>
    <w:qFormat/>
    <w:rsid w:val="00DD0593"/>
    <w:pPr>
      <w:spacing w:after="200" w:line="276" w:lineRule="auto"/>
      <w:ind w:left="720"/>
      <w:contextualSpacing/>
    </w:pPr>
    <w:rPr>
      <w:rFonts w:eastAsia="Calibri"/>
      <w:sz w:val="22"/>
      <w:szCs w:val="22"/>
    </w:rPr>
  </w:style>
  <w:style w:type="paragraph" w:customStyle="1" w:styleId="AH5Sec">
    <w:name w:val="A H5 Sec"/>
    <w:basedOn w:val="Normal"/>
    <w:next w:val="Normal"/>
    <w:rsid w:val="00793C81"/>
    <w:pPr>
      <w:keepNext/>
      <w:numPr>
        <w:ilvl w:val="4"/>
        <w:numId w:val="10"/>
      </w:numPr>
      <w:spacing w:before="180" w:after="60"/>
      <w:outlineLvl w:val="4"/>
    </w:pPr>
    <w:rPr>
      <w:rFonts w:ascii="Arial" w:hAnsi="Arial"/>
      <w:b/>
    </w:rPr>
  </w:style>
  <w:style w:type="paragraph" w:styleId="FootnoteText">
    <w:name w:val="footnote text"/>
    <w:basedOn w:val="Normal"/>
    <w:link w:val="FootnoteTextChar"/>
    <w:uiPriority w:val="99"/>
    <w:semiHidden/>
    <w:rsid w:val="00EA1D9F"/>
    <w:pPr>
      <w:spacing w:before="80" w:after="80" w:line="200" w:lineRule="atLeast"/>
    </w:pPr>
    <w:rPr>
      <w:sz w:val="18"/>
    </w:rPr>
  </w:style>
  <w:style w:type="character" w:customStyle="1" w:styleId="FootnoteTextChar">
    <w:name w:val="Footnote Text Char"/>
    <w:basedOn w:val="DefaultParagraphFont"/>
    <w:link w:val="FootnoteText"/>
    <w:uiPriority w:val="99"/>
    <w:semiHidden/>
    <w:rsid w:val="00EA1D9F"/>
    <w:rPr>
      <w:rFonts w:eastAsia="Times New Roman"/>
      <w:sz w:val="18"/>
      <w:lang w:eastAsia="en-US"/>
    </w:rPr>
  </w:style>
  <w:style w:type="character" w:styleId="FootnoteReference">
    <w:name w:val="footnote reference"/>
    <w:basedOn w:val="DefaultParagraphFont"/>
    <w:uiPriority w:val="99"/>
    <w:semiHidden/>
    <w:rsid w:val="00EA1D9F"/>
    <w:rPr>
      <w:vertAlign w:val="superscript"/>
    </w:rPr>
  </w:style>
  <w:style w:type="paragraph" w:customStyle="1" w:styleId="ColorfulList-Accent11">
    <w:name w:val="Colorful List - Accent 11"/>
    <w:basedOn w:val="Normal"/>
    <w:uiPriority w:val="34"/>
    <w:qFormat/>
    <w:rsid w:val="00B05D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https://www.treasury.act.gov.au/__data/assets/pdf_file/0008/1870136/2021-22-ACT-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
</file>

<file path=customXml/itemProps1.xml><?xml version="1.0" encoding="utf-8"?>
<ds:datastoreItem xmlns:ds="http://schemas.openxmlformats.org/officeDocument/2006/customXml" ds:itemID="{7CF821AA-59C3-4978-828C-CDC29804E7D7}">
  <ds:schemaRefs>
    <ds:schemaRef ds:uri="http://schemas.openxmlformats.org/officeDocument/2006/bibliography"/>
  </ds:schemaRefs>
</ds:datastoreItem>
</file>

<file path=customXml/itemProps2.xml><?xml version="1.0" encoding="utf-8"?>
<ds:datastoreItem xmlns:ds="http://schemas.openxmlformats.org/officeDocument/2006/customXml" ds:itemID="{C448B07A-73A8-44FC-A5FF-63D4575DB60A}"/>
</file>

<file path=docProps/app.xml><?xml version="1.0" encoding="utf-8"?>
<Properties xmlns="http://schemas.openxmlformats.org/officeDocument/2006/extended-properties" xmlns:vt="http://schemas.openxmlformats.org/officeDocument/2006/docPropsVTypes">
  <Template>Normal</Template>
  <TotalTime>32</TotalTime>
  <Pages>9</Pages>
  <Words>2333</Words>
  <Characters>13280</Characters>
  <Application>Microsoft Office Word</Application>
  <DocSecurity>0</DocSecurity>
  <Lines>349</Lines>
  <Paragraphs>173</Paragraphs>
  <ScaleCrop>false</ScaleCrop>
  <HeadingPairs>
    <vt:vector size="2" baseType="variant">
      <vt:variant>
        <vt:lpstr>Title</vt:lpstr>
      </vt:variant>
      <vt:variant>
        <vt:i4>1</vt:i4>
      </vt:variant>
    </vt:vector>
  </HeadingPairs>
  <TitlesOfParts>
    <vt:vector size="1" baseType="lpstr">
      <vt:lpstr>Determination 2 of 2013 - Head of Service, Directors-General and Executives</vt:lpstr>
    </vt:vector>
  </TitlesOfParts>
  <Company>InTACT</Company>
  <LinksUpToDate>false</LinksUpToDate>
  <CharactersWithSpaces>15440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2 of 2013 - Head of Service, Directors-General and Executives</dc:title>
  <dc:subject>Remuneration</dc:subject>
  <dc:creator>Secretary, ACT Remuneration Tribunal</dc:creator>
  <cp:lastModifiedBy>Burton, Amelia</cp:lastModifiedBy>
  <cp:revision>7</cp:revision>
  <cp:lastPrinted>2020-08-31T01:23:00Z</cp:lastPrinted>
  <dcterms:created xsi:type="dcterms:W3CDTF">2022-07-21T04:34:00Z</dcterms:created>
  <dcterms:modified xsi:type="dcterms:W3CDTF">2022-08-02T07:39:00Z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outlining remuneration to the Head of Service, Directors-General and Executives </vt:lpwstr>
  </property>
  <property fmtid="{D5CDD505-2E9C-101B-9397-08002B2CF9AE}" pid="5" name="docIndexRef">
    <vt:lpwstr>917aaa85-5e15-4e2d-8585-b73bb785b9c7</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