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20CE0D2C" w:rsidR="009E4C67" w:rsidRPr="00852752" w:rsidRDefault="009E4C67" w:rsidP="009E4C67">
      <w:pPr>
        <w:pStyle w:val="Heading1"/>
        <w:keepLines/>
        <w:pageBreakBefore w:val="0"/>
        <w:pBdr>
          <w:bottom w:val="none" w:sz="0" w:space="0" w:color="auto"/>
        </w:pBdr>
        <w:spacing w:before="240"/>
        <w:rPr>
          <w:color w:val="000000" w:themeColor="text1"/>
        </w:rPr>
      </w:pPr>
      <w:r w:rsidRPr="00852752">
        <w:rPr>
          <w:color w:val="000000" w:themeColor="text1"/>
        </w:rPr>
        <w:t xml:space="preserve">Determination </w:t>
      </w:r>
      <w:r w:rsidR="00FF49F1" w:rsidRPr="00852752">
        <w:rPr>
          <w:color w:val="000000" w:themeColor="text1"/>
        </w:rPr>
        <w:t>4</w:t>
      </w:r>
      <w:r w:rsidR="00E012BE" w:rsidRPr="00852752">
        <w:rPr>
          <w:color w:val="000000" w:themeColor="text1"/>
        </w:rPr>
        <w:t xml:space="preserve"> </w:t>
      </w:r>
      <w:r w:rsidR="00DC6C6D" w:rsidRPr="00852752">
        <w:rPr>
          <w:color w:val="000000" w:themeColor="text1"/>
        </w:rPr>
        <w:t xml:space="preserve">of </w:t>
      </w:r>
      <w:r w:rsidR="00E012BE" w:rsidRPr="00852752">
        <w:rPr>
          <w:color w:val="000000" w:themeColor="text1"/>
        </w:rPr>
        <w:t>201</w:t>
      </w:r>
      <w:r w:rsidR="008B31E7" w:rsidRPr="00852752">
        <w:rPr>
          <w:color w:val="000000" w:themeColor="text1"/>
        </w:rPr>
        <w:t>9</w:t>
      </w:r>
      <w:r w:rsidR="00913DC0">
        <w:rPr>
          <w:color w:val="000000" w:themeColor="text1"/>
        </w:rPr>
        <w:t xml:space="preserve"> </w:t>
      </w:r>
      <w:bookmarkStart w:id="1" w:name="_GoBack"/>
      <w:bookmarkEnd w:id="1"/>
    </w:p>
    <w:p w14:paraId="2AA71DBC" w14:textId="05C579A3" w:rsidR="00DC6C6D" w:rsidRPr="00DC6C6D" w:rsidRDefault="00DC6C6D" w:rsidP="00DC6C6D">
      <w:pPr>
        <w:pStyle w:val="Heading1"/>
        <w:keepLines/>
        <w:pageBreakBefore w:val="0"/>
        <w:pBdr>
          <w:bottom w:val="none" w:sz="0" w:space="0" w:color="auto"/>
        </w:pBdr>
        <w:spacing w:before="240"/>
      </w:pPr>
      <w:r>
        <w:t>Full-Time Statutory Office Holders</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r w:rsidR="00AB0311">
        <w:t xml:space="preserve">  </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431436BB" w14:textId="77777777" w:rsidR="00DC6C6D" w:rsidRPr="00626357" w:rsidRDefault="00DC6C6D" w:rsidP="0078119F">
      <w:pPr>
        <w:spacing w:before="120" w:after="60"/>
      </w:pPr>
      <w:r w:rsidRPr="00626357">
        <w:t xml:space="preserve">Under section 10 of the </w:t>
      </w:r>
      <w:r w:rsidRPr="00626357">
        <w:rPr>
          <w:i/>
        </w:rPr>
        <w:t>Remuneration Tribunal Act 1995</w:t>
      </w:r>
      <w:r w:rsidRPr="00626357">
        <w:t xml:space="preserve"> </w:t>
      </w:r>
      <w:r w:rsidR="00111665">
        <w:t xml:space="preserve">(the Act), </w:t>
      </w:r>
      <w:r w:rsidRPr="00626357">
        <w:t>the Remuneration Tribunal (</w:t>
      </w:r>
      <w:r w:rsidR="00111665">
        <w:t xml:space="preserve">the </w:t>
      </w:r>
      <w:r w:rsidRPr="00626357">
        <w:t xml:space="preserve">Tribunal) is required to inquire into, and determine, the </w:t>
      </w:r>
      <w:r>
        <w:t>salary</w:t>
      </w:r>
      <w:r w:rsidRPr="00626357">
        <w:t>, allowances and other entitlements for</w:t>
      </w:r>
      <w:r w:rsidR="002C785E">
        <w:t xml:space="preserve"> certain F</w:t>
      </w:r>
      <w:r w:rsidRPr="00626357">
        <w:t>ull-time public offices.  Of those offices, this Determination covers</w:t>
      </w:r>
      <w:r>
        <w:t xml:space="preserve"> the</w:t>
      </w:r>
      <w:r w:rsidRPr="00626357">
        <w:t>:</w:t>
      </w:r>
    </w:p>
    <w:p w14:paraId="79848C01" w14:textId="77777777" w:rsidR="00D66012" w:rsidRPr="00B41011" w:rsidRDefault="00D66012" w:rsidP="00D66012">
      <w:pPr>
        <w:numPr>
          <w:ilvl w:val="0"/>
          <w:numId w:val="12"/>
        </w:numPr>
      </w:pPr>
      <w:r w:rsidRPr="00B41011">
        <w:t>Assistant Executive Officer, Legal Aid Commission (ACT)</w:t>
      </w:r>
      <w:r w:rsidR="00732D04">
        <w:t>;</w:t>
      </w:r>
    </w:p>
    <w:p w14:paraId="6CFC0E07" w14:textId="77777777" w:rsidR="00FA3A75" w:rsidRPr="00B41011" w:rsidRDefault="00FA3A75" w:rsidP="00FA3A75">
      <w:pPr>
        <w:numPr>
          <w:ilvl w:val="0"/>
          <w:numId w:val="12"/>
        </w:numPr>
      </w:pPr>
      <w:r>
        <w:t>Chief Executive Officer</w:t>
      </w:r>
      <w:r w:rsidRPr="00B41011">
        <w:t>, Canberra Institute of Technology</w:t>
      </w:r>
      <w:r w:rsidR="00732D04">
        <w:t>;</w:t>
      </w:r>
    </w:p>
    <w:p w14:paraId="1CDBE712" w14:textId="77777777" w:rsidR="00524C8A" w:rsidRPr="001877F5" w:rsidRDefault="00DC6C6D" w:rsidP="0078119F">
      <w:pPr>
        <w:numPr>
          <w:ilvl w:val="0"/>
          <w:numId w:val="12"/>
        </w:numPr>
      </w:pPr>
      <w:r w:rsidRPr="00B41011">
        <w:t>Chief Executive Officer, Legal Aid Commission (ACT)</w:t>
      </w:r>
      <w:r w:rsidR="00732D04">
        <w:t>;</w:t>
      </w:r>
      <w:r w:rsidR="00524C8A" w:rsidRPr="00524C8A">
        <w:rPr>
          <w:szCs w:val="24"/>
        </w:rPr>
        <w:t xml:space="preserve"> </w:t>
      </w:r>
    </w:p>
    <w:p w14:paraId="3B3C5F54" w14:textId="77777777" w:rsidR="00524C8A" w:rsidRPr="001877F5" w:rsidRDefault="00524C8A" w:rsidP="000E4DE2">
      <w:pPr>
        <w:numPr>
          <w:ilvl w:val="0"/>
          <w:numId w:val="12"/>
        </w:numPr>
      </w:pPr>
      <w:r w:rsidRPr="00524C8A">
        <w:t>Chief Executive Officer, City Renewal</w:t>
      </w:r>
      <w:r w:rsidR="000E4DE2">
        <w:t xml:space="preserve"> </w:t>
      </w:r>
      <w:r w:rsidR="000E4DE2" w:rsidRPr="000E4DE2">
        <w:t>Authority</w:t>
      </w:r>
      <w:r w:rsidR="000E4DE2">
        <w:t>;</w:t>
      </w:r>
    </w:p>
    <w:p w14:paraId="1621DF6D" w14:textId="77777777" w:rsidR="00DC6C6D" w:rsidRDefault="00524C8A" w:rsidP="0078119F">
      <w:pPr>
        <w:numPr>
          <w:ilvl w:val="0"/>
          <w:numId w:val="12"/>
        </w:numPr>
      </w:pPr>
      <w:r w:rsidRPr="00096037">
        <w:rPr>
          <w:szCs w:val="24"/>
        </w:rPr>
        <w:t>Chief Executive Officer</w:t>
      </w:r>
      <w:r>
        <w:rPr>
          <w:szCs w:val="24"/>
        </w:rPr>
        <w:t xml:space="preserve">, </w:t>
      </w:r>
      <w:r w:rsidRPr="00096037">
        <w:rPr>
          <w:szCs w:val="24"/>
        </w:rPr>
        <w:t>Suburban Land Agency</w:t>
      </w:r>
      <w:r>
        <w:rPr>
          <w:szCs w:val="24"/>
        </w:rPr>
        <w:t>;</w:t>
      </w:r>
    </w:p>
    <w:p w14:paraId="09E1C769" w14:textId="77777777" w:rsidR="00D66012" w:rsidRPr="00B41011" w:rsidRDefault="00D66012" w:rsidP="0078119F">
      <w:pPr>
        <w:numPr>
          <w:ilvl w:val="0"/>
          <w:numId w:val="12"/>
        </w:numPr>
      </w:pPr>
      <w:r>
        <w:t>Discrimination, Health Services and Disability and Community Services Commissioner</w:t>
      </w:r>
      <w:r w:rsidR="00732D04">
        <w:t>;</w:t>
      </w:r>
    </w:p>
    <w:p w14:paraId="35ABBE71" w14:textId="77777777" w:rsidR="00D66012" w:rsidRDefault="00D66012" w:rsidP="0078119F">
      <w:pPr>
        <w:numPr>
          <w:ilvl w:val="0"/>
          <w:numId w:val="12"/>
        </w:numPr>
      </w:pPr>
      <w:r>
        <w:t>President and Human Rights Commissioner</w:t>
      </w:r>
      <w:r w:rsidR="00732D04">
        <w:t>;</w:t>
      </w:r>
    </w:p>
    <w:p w14:paraId="18B5D0D7" w14:textId="77777777" w:rsidR="00D66012" w:rsidRPr="00B41011" w:rsidRDefault="00D66012" w:rsidP="0078119F">
      <w:pPr>
        <w:numPr>
          <w:ilvl w:val="0"/>
          <w:numId w:val="12"/>
        </w:numPr>
      </w:pPr>
      <w:r>
        <w:t>Public Advocate and Children and Young People Commissioner</w:t>
      </w:r>
      <w:r w:rsidR="00732D04">
        <w:t>; and</w:t>
      </w:r>
    </w:p>
    <w:p w14:paraId="12198F24" w14:textId="77777777" w:rsidR="00DC6C6D" w:rsidRPr="00B41011" w:rsidRDefault="00DC6C6D" w:rsidP="0078119F">
      <w:pPr>
        <w:numPr>
          <w:ilvl w:val="0"/>
          <w:numId w:val="12"/>
        </w:numPr>
      </w:pPr>
      <w:r w:rsidRPr="00B41011">
        <w:t>Victims of Crime Commissioner</w:t>
      </w:r>
      <w:r w:rsidR="00732D04">
        <w:t>.</w:t>
      </w:r>
    </w:p>
    <w:p w14:paraId="17E2B285" w14:textId="583E2630" w:rsidR="00A10D88" w:rsidRPr="006A4265" w:rsidRDefault="00111665">
      <w:pPr>
        <w:spacing w:before="120" w:after="60"/>
        <w:rPr>
          <w:color w:val="000000" w:themeColor="text1"/>
        </w:rPr>
      </w:pPr>
      <w:r w:rsidRPr="006A4265">
        <w:rPr>
          <w:b/>
          <w:color w:val="000000" w:themeColor="text1"/>
        </w:rPr>
        <w:t>Considerations</w:t>
      </w:r>
    </w:p>
    <w:p w14:paraId="6EE7474B" w14:textId="758B986C" w:rsidR="00A10D88" w:rsidRPr="006A4265" w:rsidRDefault="00791C85">
      <w:pPr>
        <w:spacing w:before="120" w:after="60"/>
        <w:rPr>
          <w:color w:val="000000" w:themeColor="text1"/>
        </w:rPr>
      </w:pPr>
      <w:r w:rsidRPr="006A4265">
        <w:rPr>
          <w:color w:val="000000" w:themeColor="text1"/>
        </w:rPr>
        <w:t xml:space="preserve">The Tribunal called for submissions in </w:t>
      </w:r>
      <w:r w:rsidR="008B31E7" w:rsidRPr="006A4265">
        <w:rPr>
          <w:color w:val="000000" w:themeColor="text1"/>
        </w:rPr>
        <w:t xml:space="preserve">November </w:t>
      </w:r>
      <w:r w:rsidR="00CB4279" w:rsidRPr="006A4265">
        <w:rPr>
          <w:color w:val="000000" w:themeColor="text1"/>
        </w:rPr>
        <w:t>201</w:t>
      </w:r>
      <w:r w:rsidR="00F20117" w:rsidRPr="006A4265">
        <w:rPr>
          <w:color w:val="000000" w:themeColor="text1"/>
        </w:rPr>
        <w:t>8</w:t>
      </w:r>
      <w:r w:rsidRPr="006A4265">
        <w:rPr>
          <w:color w:val="000000" w:themeColor="text1"/>
        </w:rPr>
        <w:t xml:space="preserve"> to sup</w:t>
      </w:r>
      <w:r w:rsidR="002C785E" w:rsidRPr="006A4265">
        <w:rPr>
          <w:color w:val="000000" w:themeColor="text1"/>
        </w:rPr>
        <w:t xml:space="preserve">port its annual </w:t>
      </w:r>
      <w:r w:rsidR="00111665" w:rsidRPr="006A4265">
        <w:rPr>
          <w:color w:val="000000" w:themeColor="text1"/>
        </w:rPr>
        <w:t xml:space="preserve">Autumn </w:t>
      </w:r>
      <w:r w:rsidR="002C785E" w:rsidRPr="006A4265">
        <w:rPr>
          <w:color w:val="000000" w:themeColor="text1"/>
        </w:rPr>
        <w:t>review of</w:t>
      </w:r>
      <w:r w:rsidR="007C5913" w:rsidRPr="006A4265">
        <w:rPr>
          <w:color w:val="000000" w:themeColor="text1"/>
        </w:rPr>
        <w:t xml:space="preserve"> remuneration, allowances and other entitlements for Full-Time Statutory Office Holders</w:t>
      </w:r>
      <w:r w:rsidRPr="006A4265">
        <w:rPr>
          <w:color w:val="000000" w:themeColor="text1"/>
        </w:rPr>
        <w:t>.</w:t>
      </w:r>
    </w:p>
    <w:p w14:paraId="0104E4D9" w14:textId="4144A7A7" w:rsidR="00671C75" w:rsidRPr="006A4265" w:rsidRDefault="00671C75" w:rsidP="00747932">
      <w:pPr>
        <w:spacing w:before="120" w:after="60"/>
        <w:rPr>
          <w:color w:val="000000" w:themeColor="text1"/>
        </w:rPr>
      </w:pPr>
      <w:r w:rsidRPr="006A4265">
        <w:rPr>
          <w:color w:val="000000" w:themeColor="text1"/>
        </w:rPr>
        <w:t>No submissions were received from these office holders.</w:t>
      </w:r>
    </w:p>
    <w:p w14:paraId="2511D62E" w14:textId="77777777" w:rsidR="00832CA7" w:rsidRPr="006A4265" w:rsidRDefault="00832CA7" w:rsidP="00747932">
      <w:pPr>
        <w:spacing w:before="120" w:after="60"/>
        <w:rPr>
          <w:color w:val="000000" w:themeColor="text1"/>
        </w:rPr>
      </w:pPr>
      <w:r w:rsidRPr="006A4265">
        <w:rPr>
          <w:color w:val="000000" w:themeColor="text1"/>
        </w:rPr>
        <w:t>The Tribunal held its meeting on 4-5 February 2019. This determination sets out the Tribunal’s decisions following the 2019 Autumn review.</w:t>
      </w:r>
    </w:p>
    <w:p w14:paraId="046B728A" w14:textId="38526EC4" w:rsidR="00747932" w:rsidRPr="006A4265" w:rsidRDefault="00791C85" w:rsidP="00747932">
      <w:pPr>
        <w:spacing w:before="120" w:after="60"/>
        <w:rPr>
          <w:color w:val="000000" w:themeColor="text1"/>
        </w:rPr>
      </w:pPr>
      <w:r w:rsidRPr="006A4265">
        <w:rPr>
          <w:color w:val="000000" w:themeColor="text1"/>
        </w:rPr>
        <w:t xml:space="preserve">The Tribunal </w:t>
      </w:r>
      <w:r w:rsidR="00747932" w:rsidRPr="006A4265">
        <w:rPr>
          <w:color w:val="000000" w:themeColor="text1"/>
        </w:rPr>
        <w:t>noted the Government Submission provided by the Chief Minister and a comprehensive briefing from Treasury officials on the prevailing economic circumstances for 201</w:t>
      </w:r>
      <w:r w:rsidR="008B31E7" w:rsidRPr="006A4265">
        <w:rPr>
          <w:color w:val="000000" w:themeColor="text1"/>
        </w:rPr>
        <w:t>9</w:t>
      </w:r>
      <w:r w:rsidR="00747932" w:rsidRPr="006A4265">
        <w:rPr>
          <w:color w:val="000000" w:themeColor="text1"/>
        </w:rPr>
        <w:t xml:space="preserve">. </w:t>
      </w:r>
    </w:p>
    <w:p w14:paraId="0FA2022F" w14:textId="77777777" w:rsidR="00747932" w:rsidRDefault="00747932" w:rsidP="00747932">
      <w:pPr>
        <w:spacing w:before="120" w:after="60"/>
      </w:pPr>
    </w:p>
    <w:p w14:paraId="01E08405" w14:textId="77777777" w:rsidR="00671C75" w:rsidRDefault="00671C75" w:rsidP="00747932">
      <w:pPr>
        <w:spacing w:before="120" w:after="60"/>
        <w:rPr>
          <w:b/>
        </w:rPr>
      </w:pPr>
    </w:p>
    <w:p w14:paraId="32F144F1" w14:textId="77777777" w:rsidR="00A10D88" w:rsidRPr="0018623B" w:rsidRDefault="00791C85" w:rsidP="00747932">
      <w:pPr>
        <w:spacing w:before="120" w:after="60"/>
        <w:rPr>
          <w:b/>
          <w:color w:val="000000" w:themeColor="text1"/>
        </w:rPr>
      </w:pPr>
      <w:r w:rsidRPr="0018623B">
        <w:rPr>
          <w:b/>
          <w:color w:val="000000" w:themeColor="text1"/>
        </w:rPr>
        <w:t>Decision</w:t>
      </w:r>
    </w:p>
    <w:p w14:paraId="6CEEB235" w14:textId="3D9D677D" w:rsidR="00A10D88" w:rsidRPr="0018623B" w:rsidRDefault="00747932">
      <w:pPr>
        <w:spacing w:before="120" w:after="60"/>
        <w:rPr>
          <w:color w:val="000000" w:themeColor="text1"/>
        </w:rPr>
      </w:pPr>
      <w:r w:rsidRPr="0018623B">
        <w:rPr>
          <w:color w:val="000000" w:themeColor="text1"/>
        </w:rPr>
        <w:t>T</w:t>
      </w:r>
      <w:r w:rsidR="00791C85" w:rsidRPr="0018623B">
        <w:rPr>
          <w:color w:val="000000" w:themeColor="text1"/>
        </w:rPr>
        <w:t xml:space="preserve">he Tribunal decided to increase the </w:t>
      </w:r>
      <w:r w:rsidRPr="0018623B">
        <w:rPr>
          <w:color w:val="000000" w:themeColor="text1"/>
        </w:rPr>
        <w:t xml:space="preserve">remuneration </w:t>
      </w:r>
      <w:r w:rsidR="00791C85" w:rsidRPr="0018623B">
        <w:rPr>
          <w:color w:val="000000" w:themeColor="text1"/>
        </w:rPr>
        <w:t xml:space="preserve">of </w:t>
      </w:r>
      <w:r w:rsidR="002C785E" w:rsidRPr="0018623B">
        <w:rPr>
          <w:color w:val="000000" w:themeColor="text1"/>
        </w:rPr>
        <w:t>Full</w:t>
      </w:r>
      <w:r w:rsidR="002C785E" w:rsidRPr="0018623B">
        <w:rPr>
          <w:color w:val="000000" w:themeColor="text1"/>
        </w:rPr>
        <w:noBreakHyphen/>
      </w:r>
      <w:r w:rsidR="00373E37" w:rsidRPr="0018623B">
        <w:rPr>
          <w:color w:val="000000" w:themeColor="text1"/>
        </w:rPr>
        <w:t>time Statutory Office Holders</w:t>
      </w:r>
      <w:r w:rsidR="00791C85" w:rsidRPr="0018623B">
        <w:rPr>
          <w:color w:val="000000" w:themeColor="text1"/>
        </w:rPr>
        <w:t xml:space="preserve"> by </w:t>
      </w:r>
      <w:r w:rsidR="005B397F" w:rsidRPr="0018623B">
        <w:rPr>
          <w:color w:val="000000" w:themeColor="text1"/>
        </w:rPr>
        <w:t>2.5</w:t>
      </w:r>
      <w:r w:rsidR="00791C85" w:rsidRPr="0018623B">
        <w:rPr>
          <w:color w:val="000000" w:themeColor="text1"/>
        </w:rPr>
        <w:t>%</w:t>
      </w:r>
      <w:r w:rsidR="00891859" w:rsidRPr="0018623B">
        <w:rPr>
          <w:color w:val="000000" w:themeColor="text1"/>
        </w:rPr>
        <w:t xml:space="preserve"> from 1 July </w:t>
      </w:r>
      <w:r w:rsidR="00CB4279" w:rsidRPr="0018623B">
        <w:rPr>
          <w:color w:val="000000" w:themeColor="text1"/>
        </w:rPr>
        <w:t>201</w:t>
      </w:r>
      <w:r w:rsidR="008B31E7" w:rsidRPr="0018623B">
        <w:rPr>
          <w:color w:val="000000" w:themeColor="text1"/>
        </w:rPr>
        <w:t>9</w:t>
      </w:r>
      <w:r w:rsidR="00791C85" w:rsidRPr="0018623B">
        <w:rPr>
          <w:color w:val="000000" w:themeColor="text1"/>
        </w:rPr>
        <w:t>.</w:t>
      </w:r>
    </w:p>
    <w:p w14:paraId="3D169252" w14:textId="3CC9CACD" w:rsidR="00671C75" w:rsidRPr="0018623B" w:rsidRDefault="00671C75" w:rsidP="00671C75">
      <w:pPr>
        <w:spacing w:before="120" w:after="60"/>
        <w:rPr>
          <w:color w:val="000000" w:themeColor="text1"/>
        </w:rPr>
      </w:pPr>
      <w:r w:rsidRPr="0018623B">
        <w:rPr>
          <w:color w:val="000000" w:themeColor="text1"/>
        </w:rPr>
        <w:t xml:space="preserve">The Tribunal </w:t>
      </w:r>
      <w:r w:rsidR="00F74957" w:rsidRPr="0018623B">
        <w:rPr>
          <w:color w:val="000000" w:themeColor="text1"/>
        </w:rPr>
        <w:t xml:space="preserve">has </w:t>
      </w:r>
      <w:r w:rsidRPr="0018623B">
        <w:rPr>
          <w:color w:val="000000" w:themeColor="text1"/>
        </w:rPr>
        <w:t xml:space="preserve">adjusted the fringe benefit tax payment from $7,000 to $7,500. </w:t>
      </w:r>
      <w:r w:rsidR="005D7B83">
        <w:rPr>
          <w:color w:val="000000" w:themeColor="text1"/>
        </w:rPr>
        <w:t xml:space="preserve">This change is </w:t>
      </w:r>
      <w:r w:rsidR="005D7B83" w:rsidRPr="005B6D7D">
        <w:rPr>
          <w:color w:val="000000" w:themeColor="text1"/>
        </w:rPr>
        <w:t>for the fringe benefit tax year covering the period 1 April 2019 to 31 March 2020</w:t>
      </w:r>
      <w:r w:rsidR="005D7B83">
        <w:rPr>
          <w:color w:val="000000" w:themeColor="text1"/>
        </w:rPr>
        <w:t>.</w:t>
      </w:r>
    </w:p>
    <w:p w14:paraId="25F83A85" w14:textId="77777777" w:rsidR="00671C75" w:rsidRPr="0018623B" w:rsidRDefault="00671C75" w:rsidP="00671C75">
      <w:pPr>
        <w:spacing w:before="120" w:after="60"/>
        <w:rPr>
          <w:color w:val="000000" w:themeColor="text1"/>
        </w:rPr>
      </w:pPr>
      <w:r w:rsidRPr="0018623B">
        <w:rPr>
          <w:color w:val="000000" w:themeColor="text1"/>
        </w:rPr>
        <w:t xml:space="preserve">The Tribunal also increased the maximum relocation allowance amount to $55,000, and made provision for office holders to repay this allowance if they terminate their appointment within twelve months of the date of their appointment.   </w:t>
      </w:r>
    </w:p>
    <w:p w14:paraId="1FF7563A" w14:textId="77777777" w:rsidR="00451281" w:rsidRPr="0018623B" w:rsidRDefault="00451281">
      <w:pPr>
        <w:spacing w:before="120" w:after="60"/>
        <w:rPr>
          <w:color w:val="000000" w:themeColor="text1"/>
        </w:rPr>
      </w:pPr>
    </w:p>
    <w:p w14:paraId="7D023FEF" w14:textId="5805E967" w:rsidR="00DC6C6D" w:rsidRPr="0018623B" w:rsidRDefault="005B397F" w:rsidP="00DC6C6D">
      <w:pPr>
        <w:ind w:left="360"/>
        <w:jc w:val="right"/>
        <w:rPr>
          <w:color w:val="000000" w:themeColor="text1"/>
          <w:szCs w:val="24"/>
        </w:rPr>
      </w:pPr>
      <w:r w:rsidRPr="0018623B">
        <w:rPr>
          <w:color w:val="000000" w:themeColor="text1"/>
          <w:szCs w:val="24"/>
        </w:rPr>
        <w:t>March</w:t>
      </w:r>
      <w:r w:rsidR="00373E37" w:rsidRPr="0018623B">
        <w:rPr>
          <w:color w:val="000000" w:themeColor="text1"/>
          <w:szCs w:val="24"/>
        </w:rPr>
        <w:t xml:space="preserve"> </w:t>
      </w:r>
      <w:r w:rsidR="00CB4279" w:rsidRPr="0018623B">
        <w:rPr>
          <w:color w:val="000000" w:themeColor="text1"/>
          <w:szCs w:val="24"/>
        </w:rPr>
        <w:t>201</w:t>
      </w:r>
      <w:r w:rsidR="008B31E7" w:rsidRPr="0018623B">
        <w:rPr>
          <w:color w:val="000000" w:themeColor="text1"/>
          <w:szCs w:val="24"/>
        </w:rPr>
        <w:t>9</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7A41D6F6" w:rsidR="0071674A" w:rsidRPr="00852752" w:rsidRDefault="0071674A" w:rsidP="0071674A">
      <w:pPr>
        <w:pStyle w:val="Heading1"/>
        <w:keepLines/>
        <w:pageBreakBefore w:val="0"/>
        <w:pBdr>
          <w:bottom w:val="none" w:sz="0" w:space="0" w:color="auto"/>
        </w:pBdr>
        <w:spacing w:before="240"/>
        <w:rPr>
          <w:color w:val="000000" w:themeColor="text1"/>
        </w:rPr>
      </w:pPr>
      <w:r w:rsidRPr="00852752">
        <w:rPr>
          <w:color w:val="000000" w:themeColor="text1"/>
        </w:rPr>
        <w:t xml:space="preserve">Determination </w:t>
      </w:r>
      <w:r w:rsidR="00FF49F1" w:rsidRPr="00852752">
        <w:rPr>
          <w:color w:val="000000" w:themeColor="text1"/>
        </w:rPr>
        <w:t>4</w:t>
      </w:r>
      <w:r w:rsidR="00E012BE" w:rsidRPr="00852752">
        <w:rPr>
          <w:color w:val="000000" w:themeColor="text1"/>
        </w:rPr>
        <w:t xml:space="preserve"> </w:t>
      </w:r>
      <w:r w:rsidRPr="00852752">
        <w:rPr>
          <w:color w:val="000000" w:themeColor="text1"/>
        </w:rPr>
        <w:t xml:space="preserve">of </w:t>
      </w:r>
      <w:r w:rsidR="008B31E7" w:rsidRPr="00852752">
        <w:rPr>
          <w:color w:val="000000" w:themeColor="text1"/>
        </w:rPr>
        <w:t>2019</w:t>
      </w:r>
    </w:p>
    <w:p w14:paraId="52FC443E" w14:textId="5CDB6FD9" w:rsidR="00675113" w:rsidRPr="00DC6C6D" w:rsidRDefault="00675113" w:rsidP="00675113">
      <w:pPr>
        <w:pStyle w:val="Heading1"/>
        <w:keepLines/>
        <w:pageBreakBefore w:val="0"/>
        <w:pBdr>
          <w:bottom w:val="none" w:sz="0" w:space="0" w:color="auto"/>
        </w:pBdr>
        <w:spacing w:before="240"/>
      </w:pPr>
      <w:r>
        <w:t>Full-Time Statutory Office Holders</w:t>
      </w:r>
    </w:p>
    <w:p w14:paraId="32D2E939" w14:textId="77777777" w:rsidR="00DC6C6D" w:rsidRPr="003B1A08" w:rsidRDefault="00DC6C6D" w:rsidP="00DC6C6D">
      <w:pPr>
        <w:pStyle w:val="madeunder"/>
        <w:spacing w:before="240" w:after="120"/>
      </w:pPr>
      <w:r w:rsidRPr="003B1A08">
        <w:t xml:space="preserve">made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131AF482" w14:textId="77777777" w:rsidR="00DC6C6D" w:rsidRPr="003B1A08" w:rsidRDefault="00DC6C6D" w:rsidP="00DC6C6D">
      <w:pPr>
        <w:pStyle w:val="CoverActName"/>
      </w:pP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05AA1483" w14:textId="54026E6D" w:rsidR="00DC6C6D" w:rsidRPr="000E19B1" w:rsidRDefault="001D03AE" w:rsidP="001D03AE">
      <w:pPr>
        <w:numPr>
          <w:ilvl w:val="1"/>
          <w:numId w:val="4"/>
        </w:numPr>
        <w:tabs>
          <w:tab w:val="clear" w:pos="720"/>
        </w:tabs>
        <w:spacing w:before="80" w:after="60"/>
        <w:ind w:left="709" w:hanging="709"/>
      </w:pPr>
      <w:r w:rsidRPr="000E19B1">
        <w:t xml:space="preserve">The instrument </w:t>
      </w:r>
      <w:r w:rsidR="00E66FEB">
        <w:t xml:space="preserve">commences </w:t>
      </w:r>
      <w:r w:rsidR="00E66FEB" w:rsidRPr="00852752">
        <w:rPr>
          <w:color w:val="000000" w:themeColor="text1"/>
        </w:rPr>
        <w:t xml:space="preserve">on 1 July </w:t>
      </w:r>
      <w:r w:rsidR="008B31E7" w:rsidRPr="00852752">
        <w:rPr>
          <w:color w:val="000000" w:themeColor="text1"/>
        </w:rPr>
        <w:t>2019</w:t>
      </w:r>
      <w:r w:rsidRPr="00852752">
        <w:rPr>
          <w:color w:val="000000" w:themeColor="text1"/>
        </w:rPr>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31AE735E" w14:textId="5D8978E7" w:rsidR="00DC6C6D" w:rsidRDefault="00DC6C6D" w:rsidP="00AE2CF2">
      <w:pPr>
        <w:numPr>
          <w:ilvl w:val="1"/>
          <w:numId w:val="4"/>
        </w:numPr>
        <w:tabs>
          <w:tab w:val="clear" w:pos="720"/>
        </w:tabs>
        <w:spacing w:before="80" w:after="60"/>
        <w:ind w:left="709" w:hanging="709"/>
      </w:pPr>
      <w:r w:rsidRPr="000E19B1">
        <w:t xml:space="preserve">A person appointed to an office listed in column 1 of </w:t>
      </w:r>
      <w:r w:rsidR="00FB06AE">
        <w:t>the table below</w:t>
      </w:r>
      <w:r w:rsidRPr="000E19B1">
        <w:t xml:space="preserve"> is entitled to the </w:t>
      </w:r>
      <w:r w:rsidR="007E0063">
        <w:t>remuneration</w:t>
      </w:r>
      <w:r w:rsidR="007E0063" w:rsidRPr="000E19B1">
        <w:t xml:space="preserve"> </w:t>
      </w:r>
      <w:r w:rsidRPr="000E19B1">
        <w:t xml:space="preserve">mentioned in column 2 </w:t>
      </w:r>
      <w:r w:rsidR="00CA0D6A" w:rsidRPr="000E19B1">
        <w:t>of the same table</w:t>
      </w:r>
      <w:r w:rsidRPr="000E19B1">
        <w:t>.</w:t>
      </w:r>
    </w:p>
    <w:p w14:paraId="2BBCC19E" w14:textId="18ABA713" w:rsidR="00FB06AE" w:rsidRDefault="00671C75" w:rsidP="0018623B">
      <w:pPr>
        <w:pStyle w:val="Heading3"/>
        <w:numPr>
          <w:ilvl w:val="0"/>
          <w:numId w:val="0"/>
        </w:numPr>
        <w:ind w:left="720" w:hanging="720"/>
      </w:pPr>
      <w:r w:rsidRPr="00335707">
        <w:t>TABLE 2.1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088"/>
        <w:gridCol w:w="1984"/>
      </w:tblGrid>
      <w:tr w:rsidR="007A11BD" w:rsidRPr="007B3033" w14:paraId="27EF471C" w14:textId="77777777" w:rsidTr="0018623B">
        <w:tc>
          <w:tcPr>
            <w:tcW w:w="7088" w:type="dxa"/>
          </w:tcPr>
          <w:p w14:paraId="0C8CA0AA" w14:textId="19ED98FE" w:rsidR="007A11BD" w:rsidRPr="0018623B" w:rsidRDefault="007A11BD" w:rsidP="00E66FEB">
            <w:pPr>
              <w:spacing w:before="60" w:after="60"/>
              <w:rPr>
                <w:sz w:val="22"/>
                <w:szCs w:val="22"/>
              </w:rPr>
            </w:pPr>
            <w:r w:rsidRPr="0018623B">
              <w:rPr>
                <w:sz w:val="22"/>
                <w:szCs w:val="22"/>
              </w:rPr>
              <w:t>Column 1</w:t>
            </w:r>
          </w:p>
          <w:p w14:paraId="09FC4020" w14:textId="77777777" w:rsidR="007A11BD" w:rsidRPr="00DA3D0F" w:rsidRDefault="007A11BD" w:rsidP="00E66FEB">
            <w:pPr>
              <w:spacing w:before="60" w:after="60"/>
              <w:rPr>
                <w:b/>
                <w:szCs w:val="22"/>
              </w:rPr>
            </w:pPr>
            <w:r w:rsidRPr="0018623B">
              <w:rPr>
                <w:b/>
                <w:sz w:val="22"/>
                <w:szCs w:val="22"/>
              </w:rPr>
              <w:t>Office</w:t>
            </w:r>
          </w:p>
        </w:tc>
        <w:tc>
          <w:tcPr>
            <w:tcW w:w="1984" w:type="dxa"/>
            <w:shd w:val="clear" w:color="auto" w:fill="auto"/>
            <w:vAlign w:val="bottom"/>
          </w:tcPr>
          <w:p w14:paraId="2D34BF1A" w14:textId="4B130BA2" w:rsidR="007A11BD" w:rsidRDefault="007A11BD" w:rsidP="00E66FEB">
            <w:pPr>
              <w:rPr>
                <w:bCs/>
                <w:sz w:val="22"/>
                <w:szCs w:val="22"/>
              </w:rPr>
            </w:pPr>
            <w:r>
              <w:rPr>
                <w:bCs/>
                <w:sz w:val="22"/>
                <w:szCs w:val="22"/>
              </w:rPr>
              <w:t>Column 2</w:t>
            </w:r>
          </w:p>
          <w:p w14:paraId="5B941A1E" w14:textId="6E50C7E9" w:rsidR="007A11BD" w:rsidRPr="00DA3D0F" w:rsidRDefault="007A11BD" w:rsidP="00E66FEB">
            <w:pPr>
              <w:rPr>
                <w:b/>
                <w:bCs/>
                <w:sz w:val="22"/>
                <w:szCs w:val="22"/>
              </w:rPr>
            </w:pPr>
            <w:r>
              <w:rPr>
                <w:b/>
                <w:bCs/>
                <w:sz w:val="22"/>
                <w:szCs w:val="22"/>
              </w:rPr>
              <w:t>Remuneration</w:t>
            </w:r>
          </w:p>
          <w:p w14:paraId="5BBACA49" w14:textId="77777777" w:rsidR="007A11BD" w:rsidRPr="007B3033" w:rsidRDefault="007A11BD" w:rsidP="00E66FEB">
            <w:pPr>
              <w:rPr>
                <w:bCs/>
                <w:sz w:val="22"/>
                <w:szCs w:val="22"/>
              </w:rPr>
            </w:pPr>
          </w:p>
        </w:tc>
      </w:tr>
      <w:tr w:rsidR="007A11BD" w:rsidRPr="007B3033" w14:paraId="71C0D1C8" w14:textId="77777777" w:rsidTr="0018623B">
        <w:tc>
          <w:tcPr>
            <w:tcW w:w="7088" w:type="dxa"/>
          </w:tcPr>
          <w:p w14:paraId="2187C8ED" w14:textId="3179947C" w:rsidR="007A11BD" w:rsidRPr="007B3033" w:rsidRDefault="007A11BD" w:rsidP="00CA0D6A">
            <w:pPr>
              <w:spacing w:before="60" w:after="60"/>
              <w:rPr>
                <w:szCs w:val="22"/>
              </w:rPr>
            </w:pPr>
            <w:r w:rsidRPr="007B3033">
              <w:rPr>
                <w:sz w:val="22"/>
                <w:szCs w:val="22"/>
              </w:rPr>
              <w:t>Assistant Executive Officer</w:t>
            </w:r>
            <w:r>
              <w:rPr>
                <w:sz w:val="22"/>
                <w:szCs w:val="22"/>
              </w:rPr>
              <w:t xml:space="preserve"> </w:t>
            </w:r>
            <w:r w:rsidRPr="007B3033">
              <w:rPr>
                <w:sz w:val="22"/>
                <w:szCs w:val="22"/>
              </w:rPr>
              <w:t>(DCEO), Legal Aid Commission (ACT)</w:t>
            </w:r>
          </w:p>
        </w:tc>
        <w:tc>
          <w:tcPr>
            <w:tcW w:w="1984" w:type="dxa"/>
            <w:shd w:val="clear" w:color="auto" w:fill="auto"/>
            <w:vAlign w:val="bottom"/>
          </w:tcPr>
          <w:p w14:paraId="7133F813" w14:textId="2418CDC5" w:rsidR="007A11BD" w:rsidRPr="00852752" w:rsidRDefault="007A11BD" w:rsidP="00F5535C">
            <w:pPr>
              <w:rPr>
                <w:bCs/>
                <w:color w:val="000000" w:themeColor="text1"/>
                <w:sz w:val="22"/>
                <w:szCs w:val="22"/>
              </w:rPr>
            </w:pPr>
            <w:r w:rsidRPr="00852752">
              <w:rPr>
                <w:bCs/>
                <w:color w:val="000000" w:themeColor="text1"/>
                <w:sz w:val="22"/>
                <w:szCs w:val="22"/>
              </w:rPr>
              <w:t>$215,391</w:t>
            </w:r>
          </w:p>
        </w:tc>
      </w:tr>
      <w:tr w:rsidR="007A11BD" w:rsidRPr="007B3033" w14:paraId="543E5E22" w14:textId="77777777" w:rsidTr="0018623B">
        <w:tc>
          <w:tcPr>
            <w:tcW w:w="7088" w:type="dxa"/>
          </w:tcPr>
          <w:p w14:paraId="0D3CE09E" w14:textId="24373C34" w:rsidR="007A11BD" w:rsidRPr="007B3033" w:rsidRDefault="007A11BD" w:rsidP="00675113">
            <w:pPr>
              <w:pStyle w:val="Header"/>
              <w:tabs>
                <w:tab w:val="clear" w:pos="4153"/>
                <w:tab w:val="clear" w:pos="8306"/>
              </w:tabs>
              <w:spacing w:before="60" w:after="60"/>
              <w:rPr>
                <w:szCs w:val="22"/>
              </w:rPr>
            </w:pPr>
            <w:r w:rsidRPr="007B3033">
              <w:rPr>
                <w:sz w:val="22"/>
                <w:szCs w:val="22"/>
              </w:rPr>
              <w:t>Chief Executive Officer, Canberra Institute of Technology</w:t>
            </w:r>
          </w:p>
        </w:tc>
        <w:tc>
          <w:tcPr>
            <w:tcW w:w="1984" w:type="dxa"/>
            <w:shd w:val="clear" w:color="auto" w:fill="auto"/>
            <w:vAlign w:val="bottom"/>
          </w:tcPr>
          <w:p w14:paraId="7381C3B8" w14:textId="74E0F960" w:rsidR="007A11BD" w:rsidRPr="00852752" w:rsidRDefault="007A11BD" w:rsidP="00F31978">
            <w:pPr>
              <w:rPr>
                <w:bCs/>
                <w:color w:val="000000" w:themeColor="text1"/>
                <w:sz w:val="22"/>
                <w:szCs w:val="22"/>
              </w:rPr>
            </w:pPr>
            <w:r w:rsidRPr="00852752">
              <w:rPr>
                <w:bCs/>
                <w:color w:val="000000" w:themeColor="text1"/>
                <w:sz w:val="22"/>
                <w:szCs w:val="22"/>
              </w:rPr>
              <w:t>$313,052</w:t>
            </w:r>
          </w:p>
        </w:tc>
      </w:tr>
      <w:tr w:rsidR="007A11BD" w:rsidRPr="007B3033" w14:paraId="29BCDDBF" w14:textId="77777777" w:rsidTr="0018623B">
        <w:tc>
          <w:tcPr>
            <w:tcW w:w="7088" w:type="dxa"/>
          </w:tcPr>
          <w:p w14:paraId="77AE1497" w14:textId="78A29608" w:rsidR="007A11BD" w:rsidRPr="00747932" w:rsidRDefault="007A11BD" w:rsidP="00675113">
            <w:pPr>
              <w:pStyle w:val="Header"/>
              <w:tabs>
                <w:tab w:val="clear" w:pos="4153"/>
                <w:tab w:val="clear" w:pos="8306"/>
              </w:tabs>
              <w:spacing w:before="60" w:after="60"/>
              <w:rPr>
                <w:sz w:val="22"/>
                <w:szCs w:val="22"/>
              </w:rPr>
            </w:pPr>
            <w:r w:rsidRPr="00747932">
              <w:rPr>
                <w:sz w:val="22"/>
                <w:szCs w:val="22"/>
              </w:rPr>
              <w:t>Chief Executive Officer, City Renewal Authority</w:t>
            </w:r>
          </w:p>
        </w:tc>
        <w:tc>
          <w:tcPr>
            <w:tcW w:w="1984" w:type="dxa"/>
            <w:shd w:val="clear" w:color="auto" w:fill="auto"/>
            <w:vAlign w:val="bottom"/>
          </w:tcPr>
          <w:p w14:paraId="6C58E7AE" w14:textId="2DA700FC" w:rsidR="007A11BD" w:rsidRPr="00852752" w:rsidRDefault="007A11BD" w:rsidP="00F31978">
            <w:pPr>
              <w:rPr>
                <w:bCs/>
                <w:color w:val="000000" w:themeColor="text1"/>
                <w:sz w:val="22"/>
                <w:szCs w:val="22"/>
              </w:rPr>
            </w:pPr>
            <w:r w:rsidRPr="00852752">
              <w:rPr>
                <w:bCs/>
                <w:color w:val="000000" w:themeColor="text1"/>
                <w:sz w:val="22"/>
                <w:szCs w:val="22"/>
              </w:rPr>
              <w:t>$328,234</w:t>
            </w:r>
          </w:p>
        </w:tc>
      </w:tr>
      <w:tr w:rsidR="007A11BD" w:rsidRPr="007B3033" w14:paraId="1C1F002A" w14:textId="77777777" w:rsidTr="0018623B">
        <w:tc>
          <w:tcPr>
            <w:tcW w:w="7088" w:type="dxa"/>
          </w:tcPr>
          <w:p w14:paraId="699A2C8E" w14:textId="32A1EE68" w:rsidR="007A11BD" w:rsidRPr="007B3033" w:rsidRDefault="007A11BD" w:rsidP="00CA0D6A">
            <w:pPr>
              <w:spacing w:before="60" w:after="60"/>
              <w:rPr>
                <w:szCs w:val="22"/>
              </w:rPr>
            </w:pPr>
            <w:r w:rsidRPr="007B3033">
              <w:rPr>
                <w:sz w:val="22"/>
                <w:szCs w:val="22"/>
              </w:rPr>
              <w:t>Chief Executive Officer, Legal Aid Commission (ACT)</w:t>
            </w:r>
          </w:p>
        </w:tc>
        <w:tc>
          <w:tcPr>
            <w:tcW w:w="1984" w:type="dxa"/>
            <w:shd w:val="clear" w:color="auto" w:fill="auto"/>
            <w:vAlign w:val="bottom"/>
          </w:tcPr>
          <w:p w14:paraId="5AAC394C" w14:textId="69875E4F" w:rsidR="007A11BD" w:rsidRPr="00852752" w:rsidRDefault="007A11BD" w:rsidP="00F31978">
            <w:pPr>
              <w:rPr>
                <w:bCs/>
                <w:color w:val="000000" w:themeColor="text1"/>
                <w:sz w:val="22"/>
                <w:szCs w:val="22"/>
              </w:rPr>
            </w:pPr>
            <w:r w:rsidRPr="00852752">
              <w:rPr>
                <w:bCs/>
                <w:color w:val="000000" w:themeColor="text1"/>
                <w:sz w:val="22"/>
                <w:szCs w:val="22"/>
              </w:rPr>
              <w:t>$279,883</w:t>
            </w:r>
          </w:p>
        </w:tc>
      </w:tr>
      <w:tr w:rsidR="007A11BD" w:rsidRPr="007B3033" w14:paraId="248824F4" w14:textId="77777777" w:rsidTr="0018623B">
        <w:tc>
          <w:tcPr>
            <w:tcW w:w="7088" w:type="dxa"/>
          </w:tcPr>
          <w:p w14:paraId="6C55FFC8" w14:textId="61BF3BF4" w:rsidR="007A11BD" w:rsidRPr="007B3033" w:rsidRDefault="007A11BD" w:rsidP="00CA0D6A">
            <w:pPr>
              <w:spacing w:before="60" w:after="60"/>
              <w:rPr>
                <w:sz w:val="22"/>
                <w:szCs w:val="22"/>
              </w:rPr>
            </w:pPr>
            <w:bookmarkStart w:id="2" w:name="OLE_LINK2"/>
            <w:r w:rsidRPr="000E4DE2">
              <w:rPr>
                <w:sz w:val="22"/>
                <w:szCs w:val="22"/>
              </w:rPr>
              <w:t>Chief Executive Officer, Suburban Land Agency</w:t>
            </w:r>
            <w:bookmarkEnd w:id="2"/>
          </w:p>
        </w:tc>
        <w:tc>
          <w:tcPr>
            <w:tcW w:w="1984" w:type="dxa"/>
            <w:shd w:val="clear" w:color="auto" w:fill="auto"/>
            <w:vAlign w:val="bottom"/>
          </w:tcPr>
          <w:p w14:paraId="3A428229" w14:textId="45B9D764" w:rsidR="007A11BD" w:rsidRPr="00852752" w:rsidRDefault="007A11BD" w:rsidP="00F31978">
            <w:pPr>
              <w:rPr>
                <w:bCs/>
                <w:color w:val="000000" w:themeColor="text1"/>
                <w:sz w:val="22"/>
                <w:szCs w:val="22"/>
              </w:rPr>
            </w:pPr>
            <w:r w:rsidRPr="00852752">
              <w:rPr>
                <w:bCs/>
                <w:color w:val="000000" w:themeColor="text1"/>
                <w:sz w:val="22"/>
                <w:szCs w:val="22"/>
              </w:rPr>
              <w:t>$328,234</w:t>
            </w:r>
          </w:p>
        </w:tc>
      </w:tr>
      <w:tr w:rsidR="007A11BD" w:rsidRPr="00D101F0" w14:paraId="477F29D5" w14:textId="77777777" w:rsidTr="0018623B">
        <w:tc>
          <w:tcPr>
            <w:tcW w:w="7088" w:type="dxa"/>
          </w:tcPr>
          <w:p w14:paraId="02002AC5" w14:textId="0B5FBCA1" w:rsidR="007A11BD" w:rsidRPr="00D04F1B" w:rsidRDefault="007A11BD" w:rsidP="00E66FEB">
            <w:pPr>
              <w:spacing w:before="60" w:after="60"/>
              <w:rPr>
                <w:szCs w:val="22"/>
              </w:rPr>
            </w:pPr>
            <w:r w:rsidRPr="00D04F1B">
              <w:rPr>
                <w:sz w:val="22"/>
                <w:szCs w:val="22"/>
              </w:rPr>
              <w:t>Discrimination, Health Services and Disability and Community Services Commissioner</w:t>
            </w:r>
            <w:r>
              <w:rPr>
                <w:sz w:val="22"/>
                <w:szCs w:val="22"/>
              </w:rPr>
              <w:t>, ACT Human Rights Commission</w:t>
            </w:r>
          </w:p>
        </w:tc>
        <w:tc>
          <w:tcPr>
            <w:tcW w:w="1984" w:type="dxa"/>
            <w:shd w:val="clear" w:color="auto" w:fill="auto"/>
            <w:vAlign w:val="bottom"/>
          </w:tcPr>
          <w:p w14:paraId="5B758BC0" w14:textId="542309EB" w:rsidR="007A11BD" w:rsidRPr="00852752" w:rsidRDefault="007A11BD" w:rsidP="00F31978">
            <w:pPr>
              <w:rPr>
                <w:bCs/>
                <w:color w:val="000000" w:themeColor="text1"/>
                <w:sz w:val="22"/>
                <w:szCs w:val="22"/>
              </w:rPr>
            </w:pPr>
            <w:r w:rsidRPr="00852752">
              <w:rPr>
                <w:bCs/>
                <w:color w:val="000000" w:themeColor="text1"/>
                <w:sz w:val="22"/>
                <w:szCs w:val="22"/>
              </w:rPr>
              <w:t>$202,111</w:t>
            </w:r>
          </w:p>
        </w:tc>
      </w:tr>
      <w:tr w:rsidR="007A11BD" w:rsidRPr="00D101F0" w14:paraId="032BC78D" w14:textId="77777777" w:rsidTr="0018623B">
        <w:tc>
          <w:tcPr>
            <w:tcW w:w="7088" w:type="dxa"/>
          </w:tcPr>
          <w:p w14:paraId="74749C21" w14:textId="51CF1664" w:rsidR="007A11BD" w:rsidRPr="00D04F1B" w:rsidRDefault="007A11BD" w:rsidP="00E66FEB">
            <w:pPr>
              <w:pStyle w:val="Header"/>
              <w:tabs>
                <w:tab w:val="clear" w:pos="4153"/>
                <w:tab w:val="clear" w:pos="8306"/>
              </w:tabs>
              <w:spacing w:before="60" w:after="60"/>
              <w:rPr>
                <w:szCs w:val="22"/>
              </w:rPr>
            </w:pPr>
            <w:r w:rsidRPr="00D04F1B">
              <w:rPr>
                <w:sz w:val="22"/>
                <w:szCs w:val="22"/>
              </w:rPr>
              <w:t>President and Human Rights Commissioner</w:t>
            </w:r>
            <w:r>
              <w:rPr>
                <w:sz w:val="22"/>
                <w:szCs w:val="22"/>
              </w:rPr>
              <w:t>, ACT Human Rights Commission</w:t>
            </w:r>
          </w:p>
        </w:tc>
        <w:tc>
          <w:tcPr>
            <w:tcW w:w="1984" w:type="dxa"/>
            <w:shd w:val="clear" w:color="auto" w:fill="auto"/>
            <w:vAlign w:val="bottom"/>
          </w:tcPr>
          <w:p w14:paraId="38969054" w14:textId="630F7FCA" w:rsidR="007A11BD" w:rsidRPr="00852752" w:rsidRDefault="007A11BD" w:rsidP="00F31978">
            <w:pPr>
              <w:rPr>
                <w:bCs/>
                <w:color w:val="000000" w:themeColor="text1"/>
                <w:sz w:val="22"/>
                <w:szCs w:val="22"/>
              </w:rPr>
            </w:pPr>
            <w:r w:rsidRPr="00852752">
              <w:rPr>
                <w:bCs/>
                <w:color w:val="000000" w:themeColor="text1"/>
                <w:sz w:val="22"/>
                <w:szCs w:val="22"/>
              </w:rPr>
              <w:t>$231,538</w:t>
            </w:r>
          </w:p>
        </w:tc>
      </w:tr>
      <w:tr w:rsidR="007A11BD" w:rsidRPr="00D101F0" w14:paraId="1FEE3FD9" w14:textId="77777777" w:rsidTr="0018623B">
        <w:tc>
          <w:tcPr>
            <w:tcW w:w="7088" w:type="dxa"/>
          </w:tcPr>
          <w:p w14:paraId="41932851" w14:textId="1D4918A0" w:rsidR="007A11BD" w:rsidRPr="00D04F1B" w:rsidRDefault="007A11BD" w:rsidP="00E66FEB">
            <w:pPr>
              <w:spacing w:before="60" w:after="60"/>
              <w:rPr>
                <w:szCs w:val="22"/>
              </w:rPr>
            </w:pPr>
            <w:r w:rsidRPr="00D04F1B">
              <w:rPr>
                <w:sz w:val="22"/>
                <w:szCs w:val="22"/>
              </w:rPr>
              <w:t>Public Advocate and Children and Young People Commissioner</w:t>
            </w:r>
            <w:r>
              <w:rPr>
                <w:sz w:val="22"/>
                <w:szCs w:val="22"/>
              </w:rPr>
              <w:t>, ACT Human Rights Commission</w:t>
            </w:r>
          </w:p>
        </w:tc>
        <w:tc>
          <w:tcPr>
            <w:tcW w:w="1984" w:type="dxa"/>
            <w:shd w:val="clear" w:color="auto" w:fill="auto"/>
            <w:vAlign w:val="bottom"/>
          </w:tcPr>
          <w:p w14:paraId="457E78D4" w14:textId="06FCA0CF" w:rsidR="007A11BD" w:rsidRPr="00852752" w:rsidRDefault="007A11BD" w:rsidP="00F31978">
            <w:pPr>
              <w:rPr>
                <w:bCs/>
                <w:color w:val="000000" w:themeColor="text1"/>
                <w:sz w:val="22"/>
                <w:szCs w:val="22"/>
              </w:rPr>
            </w:pPr>
            <w:r w:rsidRPr="00852752">
              <w:rPr>
                <w:bCs/>
                <w:color w:val="000000" w:themeColor="text1"/>
                <w:sz w:val="22"/>
                <w:szCs w:val="22"/>
              </w:rPr>
              <w:t>$202,111</w:t>
            </w:r>
          </w:p>
        </w:tc>
      </w:tr>
      <w:tr w:rsidR="007A11BD" w:rsidRPr="00D101F0" w14:paraId="16F5FE36" w14:textId="77777777" w:rsidTr="0018623B">
        <w:tc>
          <w:tcPr>
            <w:tcW w:w="7088" w:type="dxa"/>
          </w:tcPr>
          <w:p w14:paraId="121431B7" w14:textId="4873FD45" w:rsidR="007A11BD" w:rsidRPr="00D04F1B" w:rsidRDefault="007A11BD" w:rsidP="00E66FEB">
            <w:pPr>
              <w:spacing w:before="60" w:after="60"/>
              <w:rPr>
                <w:szCs w:val="22"/>
              </w:rPr>
            </w:pPr>
            <w:r w:rsidRPr="00D04F1B">
              <w:rPr>
                <w:sz w:val="22"/>
                <w:szCs w:val="22"/>
              </w:rPr>
              <w:t>Victims of Crime Commissioner</w:t>
            </w:r>
            <w:r>
              <w:rPr>
                <w:sz w:val="22"/>
                <w:szCs w:val="22"/>
              </w:rPr>
              <w:t>, ACT Human Rights Commission</w:t>
            </w:r>
          </w:p>
        </w:tc>
        <w:tc>
          <w:tcPr>
            <w:tcW w:w="1984" w:type="dxa"/>
            <w:shd w:val="clear" w:color="auto" w:fill="auto"/>
            <w:vAlign w:val="bottom"/>
          </w:tcPr>
          <w:p w14:paraId="2BC3F0B4" w14:textId="5D8ED3B0" w:rsidR="007A11BD" w:rsidRPr="00852752" w:rsidRDefault="007A11BD" w:rsidP="00F31978">
            <w:pPr>
              <w:rPr>
                <w:bCs/>
                <w:color w:val="000000" w:themeColor="text1"/>
                <w:sz w:val="22"/>
                <w:szCs w:val="22"/>
              </w:rPr>
            </w:pPr>
            <w:r w:rsidRPr="00852752">
              <w:rPr>
                <w:bCs/>
                <w:color w:val="000000" w:themeColor="text1"/>
                <w:sz w:val="22"/>
                <w:szCs w:val="22"/>
              </w:rPr>
              <w:t>$202,111</w:t>
            </w:r>
          </w:p>
        </w:tc>
      </w:tr>
    </w:tbl>
    <w:p w14:paraId="762628C4" w14:textId="3D8E8FA4" w:rsidR="00DC6C6D" w:rsidRPr="00E433F0" w:rsidRDefault="00DC6C6D" w:rsidP="00AE2CF2">
      <w:pPr>
        <w:numPr>
          <w:ilvl w:val="1"/>
          <w:numId w:val="4"/>
        </w:numPr>
        <w:tabs>
          <w:tab w:val="clear" w:pos="720"/>
          <w:tab w:val="num" w:pos="0"/>
        </w:tabs>
        <w:spacing w:before="140" w:after="60"/>
        <w:ind w:left="709" w:hanging="709"/>
      </w:pPr>
      <w:r w:rsidRPr="00E433F0">
        <w:lastRenderedPageBreak/>
        <w:t xml:space="preserve">A person appointed to an office listed in column 1 of Table 2.1 must not receive the </w:t>
      </w:r>
      <w:r>
        <w:t xml:space="preserve">salary </w:t>
      </w:r>
      <w:r w:rsidRPr="00E433F0">
        <w:t xml:space="preserve">mentioned in column 2 if the person is paid a higher </w:t>
      </w:r>
      <w:r>
        <w:t xml:space="preserve">salary </w:t>
      </w:r>
      <w:r w:rsidRPr="00E433F0">
        <w:t>for that office from another source.</w:t>
      </w:r>
    </w:p>
    <w:p w14:paraId="30F6EE86" w14:textId="2BAE5E81" w:rsidR="00DC6C6D" w:rsidRDefault="00DC6C6D" w:rsidP="00AE2CF2">
      <w:pPr>
        <w:numPr>
          <w:ilvl w:val="1"/>
          <w:numId w:val="4"/>
        </w:numPr>
        <w:tabs>
          <w:tab w:val="clear" w:pos="720"/>
          <w:tab w:val="num" w:pos="0"/>
        </w:tabs>
        <w:spacing w:before="80" w:after="60"/>
        <w:ind w:left="709" w:hanging="709"/>
      </w:pPr>
      <w:r w:rsidRPr="00E433F0">
        <w:t>If a person appointed to an office listed in column 1 of Table 2.1</w:t>
      </w:r>
      <w:r w:rsidR="00CA0D6A">
        <w:t xml:space="preserve"> </w:t>
      </w:r>
      <w:r w:rsidRPr="00E433F0">
        <w:t xml:space="preserve">is also appointed to another </w:t>
      </w:r>
      <w:r w:rsidRPr="00C241CD">
        <w:rPr>
          <w:color w:val="000000" w:themeColor="text1"/>
        </w:rPr>
        <w:t>office</w:t>
      </w:r>
      <w:r w:rsidR="00852752" w:rsidRPr="00C241CD">
        <w:rPr>
          <w:color w:val="000000" w:themeColor="text1"/>
        </w:rPr>
        <w:t xml:space="preserve"> under ACT legislation</w:t>
      </w:r>
      <w:r w:rsidRPr="00C241CD">
        <w:rPr>
          <w:color w:val="000000" w:themeColor="text1"/>
        </w:rPr>
        <w:t xml:space="preserve">, the </w:t>
      </w:r>
      <w:r w:rsidRPr="00E433F0">
        <w:t xml:space="preserve">person must only receive </w:t>
      </w:r>
      <w:r>
        <w:t xml:space="preserve">salary </w:t>
      </w:r>
      <w:r w:rsidRPr="00E433F0">
        <w:t>for the office that has the highest remuneration.</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70A6357C" w:rsidR="0069220A" w:rsidRDefault="0069220A" w:rsidP="0069220A">
      <w:pPr>
        <w:numPr>
          <w:ilvl w:val="1"/>
          <w:numId w:val="4"/>
        </w:numPr>
        <w:tabs>
          <w:tab w:val="clear" w:pos="720"/>
          <w:tab w:val="num" w:pos="0"/>
        </w:tabs>
        <w:spacing w:before="80" w:after="60"/>
        <w:ind w:left="709" w:hanging="709"/>
      </w:pPr>
      <w:r w:rsidRPr="00E433F0">
        <w:t>A person appointed to an office listed in column 1 of Table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Pr="00E433F0">
        <w:t>column 2 of Table 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12D01C8A" w14:textId="520EF0CA" w:rsidR="00C616D7" w:rsidRPr="00D2178F" w:rsidRDefault="00EE2454" w:rsidP="00D2178F">
      <w:pPr>
        <w:numPr>
          <w:ilvl w:val="1"/>
          <w:numId w:val="4"/>
        </w:numPr>
        <w:tabs>
          <w:tab w:val="clear" w:pos="720"/>
          <w:tab w:val="num" w:pos="0"/>
        </w:tabs>
        <w:spacing w:before="8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2508DE35" w14:textId="77777777" w:rsidR="0069220A" w:rsidRPr="00403576" w:rsidRDefault="0069220A" w:rsidP="0069220A">
      <w:pPr>
        <w:keepNext/>
        <w:autoSpaceDE w:val="0"/>
        <w:autoSpaceDN w:val="0"/>
        <w:adjustRightInd w:val="0"/>
        <w:spacing w:before="80" w:after="60"/>
        <w:ind w:left="1276" w:hanging="567"/>
        <w:rPr>
          <w:color w:val="000000" w:themeColor="text1"/>
          <w:sz w:val="20"/>
          <w:lang w:val="en-US"/>
        </w:rPr>
      </w:pPr>
      <w:r w:rsidRPr="00363435">
        <w:rPr>
          <w:sz w:val="20"/>
          <w:lang w:val="en-US"/>
        </w:rPr>
        <w:t>Note:</w:t>
      </w:r>
      <w:r w:rsidRPr="00363435">
        <w:rPr>
          <w:sz w:val="20"/>
          <w:lang w:val="en-US"/>
        </w:rPr>
        <w:tab/>
      </w:r>
      <w:r w:rsidRPr="00403576">
        <w:rPr>
          <w:color w:val="000000" w:themeColor="text1"/>
          <w:sz w:val="20"/>
          <w:lang w:val="en-US"/>
        </w:rPr>
        <w:t>employer provided benefits or cash payment in lieu of the benefit do not change the remuneration component of the total remuneration package.</w:t>
      </w:r>
    </w:p>
    <w:p w14:paraId="60415E5C" w14:textId="77777777" w:rsidR="00570E42" w:rsidRPr="00403576" w:rsidRDefault="00570E42" w:rsidP="00570E42">
      <w:pPr>
        <w:pStyle w:val="Heading3"/>
        <w:keepLines w:val="0"/>
        <w:ind w:left="709" w:hanging="709"/>
        <w:rPr>
          <w:rFonts w:cs="Arial"/>
          <w:color w:val="000000" w:themeColor="text1"/>
          <w:szCs w:val="26"/>
        </w:rPr>
      </w:pPr>
      <w:r w:rsidRPr="00403576">
        <w:rPr>
          <w:rFonts w:cs="Arial"/>
          <w:color w:val="000000" w:themeColor="text1"/>
          <w:szCs w:val="26"/>
        </w:rPr>
        <w:t>Vehicle</w:t>
      </w:r>
    </w:p>
    <w:p w14:paraId="360D7159" w14:textId="77777777" w:rsidR="00AF6998" w:rsidRPr="00403576" w:rsidRDefault="00AF6998" w:rsidP="00AF6998">
      <w:pPr>
        <w:numPr>
          <w:ilvl w:val="1"/>
          <w:numId w:val="4"/>
        </w:numPr>
        <w:spacing w:before="80" w:after="60" w:line="259" w:lineRule="auto"/>
        <w:rPr>
          <w:color w:val="000000" w:themeColor="text1"/>
        </w:rPr>
      </w:pPr>
      <w:r w:rsidRPr="00403576">
        <w:rPr>
          <w:color w:val="000000" w:themeColor="text1"/>
        </w:rPr>
        <w:t xml:space="preserve">A person appointed to an office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3576">
        <w:rPr>
          <w:i/>
          <w:color w:val="000000" w:themeColor="text1"/>
        </w:rPr>
        <w:t xml:space="preserve">Public Sector Management Standards 2016 </w:t>
      </w:r>
      <w:r w:rsidRPr="00403576">
        <w:rPr>
          <w:color w:val="000000" w:themeColor="text1"/>
        </w:rPr>
        <w:t>and the</w:t>
      </w:r>
      <w:r w:rsidRPr="00403576">
        <w:rPr>
          <w:i/>
          <w:color w:val="000000" w:themeColor="text1"/>
        </w:rPr>
        <w:t xml:space="preserve"> Guidelines for the Management and Use of Executive Vehicles</w:t>
      </w:r>
      <w:r w:rsidRPr="00403576">
        <w:rPr>
          <w:color w:val="000000" w:themeColor="text1"/>
        </w:rPr>
        <w:t>.</w:t>
      </w:r>
    </w:p>
    <w:p w14:paraId="7610DE60" w14:textId="77777777" w:rsidR="0069220A" w:rsidRPr="00403576" w:rsidRDefault="0069220A" w:rsidP="00031CFC">
      <w:pPr>
        <w:pStyle w:val="Heading3"/>
        <w:keepLines w:val="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62FB7C4C" w14:textId="77777777" w:rsidR="00977C4D" w:rsidRDefault="00977C4D" w:rsidP="00977C4D">
      <w:pPr>
        <w:spacing w:before="80" w:after="60"/>
        <w:ind w:left="709"/>
        <w:rPr>
          <w:szCs w:val="24"/>
          <w:lang w:val="en-US"/>
        </w:rPr>
      </w:pPr>
    </w:p>
    <w:p w14:paraId="762C75DF" w14:textId="774ABA38" w:rsidR="0069220A" w:rsidRPr="0075183B" w:rsidRDefault="001B199D" w:rsidP="0069220A">
      <w:pPr>
        <w:numPr>
          <w:ilvl w:val="1"/>
          <w:numId w:val="4"/>
        </w:numPr>
        <w:tabs>
          <w:tab w:val="clear" w:pos="720"/>
          <w:tab w:val="num" w:pos="0"/>
        </w:tabs>
        <w:spacing w:before="80" w:after="60"/>
        <w:ind w:left="709" w:hanging="709"/>
      </w:pPr>
      <w:r>
        <w:lastRenderedPageBreak/>
        <w:t xml:space="preserve">For a person, </w:t>
      </w:r>
      <w:r w:rsidR="0069220A" w:rsidRPr="00BF6FC8">
        <w:t xml:space="preserve"> </w:t>
      </w:r>
      <w:r>
        <w:t xml:space="preserve">appointed to an office in clause 2.1 of this Determination, </w:t>
      </w:r>
      <w:r w:rsidR="0069220A" w:rsidRPr="0075183B">
        <w:t xml:space="preserve">who is a member of </w:t>
      </w:r>
      <w:r w:rsidR="0069220A">
        <w:t xml:space="preserve">the </w:t>
      </w:r>
      <w:r>
        <w:t>Commonwealth Superannuation Scheme (</w:t>
      </w:r>
      <w:r w:rsidRPr="007B3690">
        <w:t>CSS</w:t>
      </w:r>
      <w:r>
        <w:t>)</w:t>
      </w:r>
      <w:r w:rsidRPr="007B3690">
        <w:t xml:space="preserve"> or </w:t>
      </w:r>
      <w:r>
        <w:t>Public Sector Superannuation (</w:t>
      </w:r>
      <w:r w:rsidRPr="007B3690">
        <w:t>PSS</w:t>
      </w:r>
      <w:r>
        <w:t>) Scheme:</w:t>
      </w:r>
    </w:p>
    <w:p w14:paraId="22B2F283" w14:textId="77777777" w:rsidR="001B199D" w:rsidRDefault="001B199D" w:rsidP="001B199D">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460E40DD" w14:textId="77777777" w:rsidR="001B199D" w:rsidRDefault="001B199D" w:rsidP="001B199D">
      <w:pPr>
        <w:numPr>
          <w:ilvl w:val="2"/>
          <w:numId w:val="4"/>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6BE443CC" w14:textId="19F864CC" w:rsidR="0069220A" w:rsidRDefault="001B199D" w:rsidP="001B199D">
      <w:pPr>
        <w:keepNext/>
        <w:keepLines/>
        <w:numPr>
          <w:ilvl w:val="1"/>
          <w:numId w:val="4"/>
        </w:numPr>
        <w:tabs>
          <w:tab w:val="clear" w:pos="720"/>
          <w:tab w:val="num" w:pos="0"/>
        </w:tabs>
        <w:spacing w:before="80" w:after="60"/>
        <w:ind w:left="709" w:hanging="709"/>
      </w:pPr>
      <w:r>
        <w:t xml:space="preserve">For a person, appointed to an office in clause 2.1 of this Determination, </w:t>
      </w:r>
      <w:r w:rsidR="0069220A">
        <w:t xml:space="preserve">who is not </w:t>
      </w:r>
      <w:r>
        <w:t xml:space="preserve">currently </w:t>
      </w:r>
      <w:r w:rsidR="0069220A">
        <w:t xml:space="preserve">a member of the CSS or PSS </w:t>
      </w:r>
      <w:r>
        <w:t xml:space="preserve">but </w:t>
      </w:r>
      <w:r w:rsidR="0069220A">
        <w:t xml:space="preserve">was </w:t>
      </w:r>
      <w:r>
        <w:t xml:space="preserve">a member of the PSS Accumulation Plan (PSSap) until it closed to </w:t>
      </w:r>
      <w:r w:rsidR="0069220A">
        <w:t xml:space="preserve">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2F09D36F" w14:textId="693FAEA3" w:rsidR="0069220A" w:rsidRDefault="0069220A" w:rsidP="0069220A">
      <w:pPr>
        <w:numPr>
          <w:ilvl w:val="2"/>
          <w:numId w:val="4"/>
        </w:numPr>
        <w:tabs>
          <w:tab w:val="clear" w:pos="720"/>
        </w:tabs>
        <w:spacing w:after="60"/>
        <w:ind w:left="1134" w:hanging="436"/>
      </w:pPr>
      <w:r>
        <w:t xml:space="preserve">the value of the employer’s superannuation contribution is </w:t>
      </w:r>
      <w:r w:rsidR="001B199D">
        <w:t xml:space="preserve">a notional </w:t>
      </w:r>
      <w:r>
        <w:t xml:space="preserve">16% of the </w:t>
      </w:r>
      <w:r w:rsidR="001B199D">
        <w:t xml:space="preserve">base </w:t>
      </w:r>
      <w:r>
        <w:t xml:space="preserve">remuneration </w:t>
      </w:r>
      <w:r w:rsidR="001B199D">
        <w:t>as provided in clause 2.1 of this Determination</w:t>
      </w:r>
      <w:r>
        <w:t>; and</w:t>
      </w:r>
    </w:p>
    <w:p w14:paraId="27011993" w14:textId="785872EB" w:rsidR="0069220A" w:rsidRDefault="0069220A" w:rsidP="0069220A">
      <w:pPr>
        <w:numPr>
          <w:ilvl w:val="2"/>
          <w:numId w:val="4"/>
        </w:numPr>
        <w:tabs>
          <w:tab w:val="clear" w:pos="720"/>
        </w:tabs>
        <w:spacing w:after="60"/>
        <w:ind w:left="1134" w:hanging="436"/>
      </w:pPr>
      <w:r>
        <w:t xml:space="preserve">the employer will contribute </w:t>
      </w:r>
      <w:r w:rsidR="001B199D">
        <w:t xml:space="preserve">that </w:t>
      </w:r>
      <w:r>
        <w:t xml:space="preserve">amount to </w:t>
      </w:r>
      <w:r w:rsidR="001B199D">
        <w:t>an agreed superannuation fund nominated by the person appointed to an office in clause 2.1 of this Determination</w:t>
      </w:r>
      <w:r>
        <w:t>.</w:t>
      </w:r>
    </w:p>
    <w:p w14:paraId="703EE47B" w14:textId="77777777" w:rsidR="001B199D" w:rsidRDefault="001B199D" w:rsidP="001B199D">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37D038D9" w14:textId="77777777" w:rsidR="001B199D" w:rsidRPr="00403576" w:rsidRDefault="001B199D" w:rsidP="001B199D">
      <w:pPr>
        <w:numPr>
          <w:ilvl w:val="1"/>
          <w:numId w:val="4"/>
        </w:numPr>
        <w:tabs>
          <w:tab w:val="clear" w:pos="720"/>
          <w:tab w:val="num" w:pos="0"/>
        </w:tabs>
        <w:spacing w:before="80" w:after="60"/>
        <w:ind w:left="709" w:hanging="709"/>
        <w:rPr>
          <w:color w:val="000000" w:themeColor="text1"/>
        </w:rPr>
      </w:pPr>
      <w:r w:rsidRPr="00122DBF">
        <w:rPr>
          <w:szCs w:val="24"/>
        </w:rPr>
        <w:t>A person, appointed to an office in clause 2.1 of this Determination</w:t>
      </w:r>
      <w:r w:rsidRPr="00122DBF">
        <w:t xml:space="preserve">, is entitled to the enhanced employer contribution superannuation arrangements that apply to </w:t>
      </w:r>
      <w:r>
        <w:t xml:space="preserve">an SES </w:t>
      </w:r>
      <w:r w:rsidRPr="00403576">
        <w:rPr>
          <w:color w:val="000000" w:themeColor="text1"/>
        </w:rPr>
        <w:t>member in the ACT public sector under associated arrangements.</w:t>
      </w:r>
    </w:p>
    <w:p w14:paraId="4A21A18A" w14:textId="335EC192" w:rsidR="001B199D" w:rsidRPr="00403576" w:rsidRDefault="001B199D" w:rsidP="001B199D">
      <w:pPr>
        <w:numPr>
          <w:ilvl w:val="1"/>
          <w:numId w:val="4"/>
        </w:numPr>
        <w:tabs>
          <w:tab w:val="clear" w:pos="720"/>
          <w:tab w:val="num" w:pos="0"/>
        </w:tabs>
        <w:spacing w:before="120" w:after="60"/>
        <w:ind w:left="709" w:hanging="709"/>
        <w:rPr>
          <w:color w:val="000000" w:themeColor="text1"/>
        </w:rPr>
      </w:pPr>
      <w:r w:rsidRPr="00403576">
        <w:rPr>
          <w:color w:val="000000" w:themeColor="text1"/>
        </w:rPr>
        <w:t xml:space="preserve">For 2016-17 onwards, the Territory’s enhanced minimum employer superannuation contribution is 10.5%, </w:t>
      </w:r>
      <w:r w:rsidR="00842A40" w:rsidRPr="00403576">
        <w:rPr>
          <w:color w:val="000000" w:themeColor="text1"/>
        </w:rPr>
        <w:t>until the ACT Public Sector Administrative and Related Classifications Enterprise Agreement 2018-2021 commences. The employer superannuation contribution is then adjusted according to the rate outlined in the ACT Public Sector Administrative and Related Classifications Enterprise Agreement 2018-2021</w:t>
      </w:r>
      <w:r w:rsidRPr="00403576">
        <w:rPr>
          <w:color w:val="000000" w:themeColor="text1"/>
        </w:rPr>
        <w:t>.</w:t>
      </w:r>
    </w:p>
    <w:p w14:paraId="073F1AA1" w14:textId="77777777" w:rsidR="001B199D" w:rsidRPr="00122DBF" w:rsidRDefault="001B199D" w:rsidP="001B199D">
      <w:pPr>
        <w:numPr>
          <w:ilvl w:val="1"/>
          <w:numId w:val="4"/>
        </w:numPr>
        <w:spacing w:before="80" w:after="60"/>
      </w:pPr>
      <w:r w:rsidRPr="00122DBF">
        <w:rPr>
          <w:szCs w:val="24"/>
        </w:rPr>
        <w:t xml:space="preserve">A person, appointed to an office 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xml:space="preserve">. </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7C90EE64" w14:textId="77777777" w:rsidR="004B3191" w:rsidRPr="009C10E9" w:rsidRDefault="004B3191" w:rsidP="00362495">
      <w:pPr>
        <w:pStyle w:val="Heading3"/>
        <w:keepLines w:val="0"/>
        <w:ind w:left="709" w:hanging="709"/>
        <w:rPr>
          <w:color w:val="000000" w:themeColor="text1"/>
        </w:rPr>
      </w:pPr>
      <w:r w:rsidRPr="00362495">
        <w:rPr>
          <w:rFonts w:cs="Arial"/>
          <w:color w:val="000000" w:themeColor="text1"/>
          <w:szCs w:val="26"/>
        </w:rPr>
        <w:t>Fringe</w:t>
      </w:r>
      <w:r w:rsidRPr="009C10E9">
        <w:rPr>
          <w:color w:val="000000" w:themeColor="text1"/>
        </w:rPr>
        <w:t xml:space="preserve"> benefit tax – vehicle </w:t>
      </w:r>
    </w:p>
    <w:p w14:paraId="5F166CC2" w14:textId="77777777" w:rsidR="004B3191" w:rsidRPr="00C241CD" w:rsidRDefault="004B3191" w:rsidP="004B3191">
      <w:pPr>
        <w:numPr>
          <w:ilvl w:val="1"/>
          <w:numId w:val="25"/>
        </w:numPr>
        <w:spacing w:before="80" w:after="60"/>
        <w:rPr>
          <w:color w:val="000000" w:themeColor="text1"/>
        </w:rPr>
      </w:pPr>
      <w:r w:rsidRPr="009C10E9">
        <w:rPr>
          <w:color w:val="000000" w:themeColor="text1"/>
        </w:rPr>
        <w:t xml:space="preserve">The employer incurs fringe benefits tax liabilities for vehicles provided to their </w:t>
      </w:r>
      <w:r w:rsidRPr="00C241CD">
        <w:rPr>
          <w:color w:val="000000" w:themeColor="text1"/>
        </w:rPr>
        <w:t xml:space="preserve">employees.  Fringe benefits tax is determined and calculated under the Fringe Benefits Tax Assessment Act 1986.  For the purposes of this section, the fringe benefits tax year commences 1 April 2019 and ending on 31 March 2020.             </w:t>
      </w:r>
    </w:p>
    <w:p w14:paraId="64DC58BB" w14:textId="77777777" w:rsidR="00977C4D" w:rsidRDefault="00977C4D" w:rsidP="00977C4D">
      <w:pPr>
        <w:spacing w:before="80" w:after="60"/>
        <w:ind w:left="720"/>
        <w:rPr>
          <w:color w:val="000000" w:themeColor="text1"/>
        </w:rPr>
      </w:pPr>
    </w:p>
    <w:p w14:paraId="7A57472F" w14:textId="231ECFB4" w:rsidR="004B3191" w:rsidRPr="00C241CD" w:rsidRDefault="004B3191" w:rsidP="004B3191">
      <w:pPr>
        <w:numPr>
          <w:ilvl w:val="1"/>
          <w:numId w:val="25"/>
        </w:numPr>
        <w:spacing w:before="80" w:after="60"/>
        <w:rPr>
          <w:color w:val="000000" w:themeColor="text1"/>
        </w:rPr>
      </w:pPr>
      <w:r w:rsidRPr="00C241CD">
        <w:rPr>
          <w:color w:val="000000" w:themeColor="text1"/>
        </w:rPr>
        <w:lastRenderedPageBreak/>
        <w:t xml:space="preserve">During the fringe benefits tax year, where the </w:t>
      </w:r>
      <w:r w:rsidR="00C053A5" w:rsidRPr="00C241CD">
        <w:rPr>
          <w:color w:val="000000" w:themeColor="text1"/>
        </w:rPr>
        <w:t xml:space="preserve">office holder </w:t>
      </w:r>
      <w:r w:rsidRPr="00C241CD">
        <w:rPr>
          <w:color w:val="000000" w:themeColor="text1"/>
        </w:rPr>
        <w:t xml:space="preserve">elects to receive an employer-provided vehicle instead of a payment, if the employer’s liability in relation </w:t>
      </w:r>
      <w:r w:rsidR="00C053A5" w:rsidRPr="00C241CD">
        <w:rPr>
          <w:color w:val="000000" w:themeColor="text1"/>
        </w:rPr>
        <w:t>to the office holder</w:t>
      </w:r>
      <w:r w:rsidRPr="00C241CD">
        <w:rPr>
          <w:color w:val="000000" w:themeColor="text1"/>
        </w:rPr>
        <w:t xml:space="preserve">’s vehicle provided by the employer for the fringe benefits tax year is less than $7,500, the difference is payable to the </w:t>
      </w:r>
      <w:r w:rsidR="00C053A5" w:rsidRPr="00C241CD">
        <w:rPr>
          <w:color w:val="000000" w:themeColor="text1"/>
        </w:rPr>
        <w:t>office holder</w:t>
      </w:r>
      <w:r w:rsidRPr="00C241CD">
        <w:rPr>
          <w:color w:val="000000" w:themeColor="text1"/>
        </w:rPr>
        <w:t xml:space="preserve"> as an allowance at the end of the fringe benefits tax year. </w:t>
      </w:r>
    </w:p>
    <w:p w14:paraId="0152C7D2" w14:textId="769EEE22" w:rsidR="004B3191" w:rsidRPr="00C241CD" w:rsidRDefault="004B3191" w:rsidP="004B3191">
      <w:pPr>
        <w:numPr>
          <w:ilvl w:val="1"/>
          <w:numId w:val="25"/>
        </w:numPr>
        <w:spacing w:before="80" w:after="60"/>
        <w:rPr>
          <w:color w:val="000000" w:themeColor="text1"/>
        </w:rPr>
      </w:pPr>
      <w:r w:rsidRPr="00C241CD">
        <w:rPr>
          <w:color w:val="000000" w:themeColor="text1"/>
        </w:rPr>
        <w:t xml:space="preserve">To avoid doubt, if the assessed liability for fringe benefits tax exceeds the $7,500 threshold, the </w:t>
      </w:r>
      <w:r w:rsidR="00C053A5" w:rsidRPr="00C241CD">
        <w:rPr>
          <w:color w:val="000000" w:themeColor="text1"/>
        </w:rPr>
        <w:t>office holder</w:t>
      </w:r>
      <w:r w:rsidRPr="00C241CD">
        <w:rPr>
          <w:color w:val="000000" w:themeColor="text1"/>
        </w:rPr>
        <w:t xml:space="preserve"> will not be required to pay any component in excess of the $7,500.  </w:t>
      </w:r>
    </w:p>
    <w:p w14:paraId="23DBB8CF" w14:textId="2ED1CE03" w:rsidR="00F07BE6" w:rsidRPr="00C241CD" w:rsidRDefault="00F07BE6" w:rsidP="00F07BE6">
      <w:pPr>
        <w:numPr>
          <w:ilvl w:val="1"/>
          <w:numId w:val="25"/>
        </w:numPr>
        <w:spacing w:before="80" w:after="60"/>
        <w:rPr>
          <w:color w:val="000000" w:themeColor="text1"/>
        </w:rPr>
      </w:pPr>
      <w:r w:rsidRPr="00C241CD">
        <w:rPr>
          <w:color w:val="000000" w:themeColor="text1"/>
        </w:rPr>
        <w:t xml:space="preserve">During the fringe benefits tax year, where the </w:t>
      </w:r>
      <w:r w:rsidR="00C053A5" w:rsidRPr="00C241CD">
        <w:rPr>
          <w:color w:val="000000" w:themeColor="text1"/>
        </w:rPr>
        <w:t>office holder</w:t>
      </w:r>
      <w:r w:rsidRPr="00C241CD">
        <w:rPr>
          <w:color w:val="000000" w:themeColor="text1"/>
        </w:rPr>
        <w:t xml:space="preserve"> elects to receive a payment instead of an employer provided vehicle, the amount of $7,500 per annum is paid as an allowance to the </w:t>
      </w:r>
      <w:r w:rsidR="00C053A5" w:rsidRPr="00C241CD">
        <w:rPr>
          <w:color w:val="000000" w:themeColor="text1"/>
        </w:rPr>
        <w:t>office holder</w:t>
      </w:r>
      <w:r w:rsidRPr="00C241CD">
        <w:rPr>
          <w:color w:val="000000" w:themeColor="text1"/>
        </w:rPr>
        <w:t xml:space="preserve"> on a fortnightly basis. </w:t>
      </w:r>
    </w:p>
    <w:p w14:paraId="7CC16F67" w14:textId="7A88A9FE" w:rsidR="00F07BE6" w:rsidRPr="00F07BE6" w:rsidRDefault="00F07BE6" w:rsidP="00F07BE6">
      <w:pPr>
        <w:numPr>
          <w:ilvl w:val="1"/>
          <w:numId w:val="25"/>
        </w:numPr>
        <w:spacing w:before="80" w:after="60"/>
        <w:rPr>
          <w:color w:val="000000" w:themeColor="text1"/>
        </w:rPr>
      </w:pPr>
      <w:r w:rsidRPr="00C241CD">
        <w:rPr>
          <w:color w:val="000000" w:themeColor="text1"/>
        </w:rPr>
        <w:t xml:space="preserve">The fringe benefits tax allowance of $7,500 under clause 7.4 is reduced proportionally where </w:t>
      </w:r>
      <w:r w:rsidRPr="009C10E9">
        <w:rPr>
          <w:color w:val="000000" w:themeColor="text1"/>
        </w:rPr>
        <w:t xml:space="preserve">the </w:t>
      </w:r>
      <w:r w:rsidR="00C053A5">
        <w:rPr>
          <w:color w:val="000000" w:themeColor="text1"/>
        </w:rPr>
        <w:t>officer holder</w:t>
      </w:r>
      <w:r w:rsidRPr="009C10E9">
        <w:rPr>
          <w:color w:val="000000" w:themeColor="text1"/>
        </w:rPr>
        <w:t xml:space="preserve"> is engaged for less than a full fringe benefits tax year.</w:t>
      </w:r>
    </w:p>
    <w:p w14:paraId="0B4F6899" w14:textId="6D0D1FFF" w:rsidR="0069220A" w:rsidRPr="0040603C" w:rsidRDefault="0069220A" w:rsidP="00031CFC">
      <w:pPr>
        <w:pStyle w:val="Heading3"/>
        <w:keepLines w:val="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18623B">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Relocation allowance is provided to assist an individual with the costs to relocate from their home location to the ACT in order to take up the engagement as a Senior Executive Service member.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packing personal effects and furniture belonging to the person and their family;</w:t>
      </w:r>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necessary storage of personal effects and furniture;</w:t>
      </w:r>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removal costs and associated insurance of personal effects and furniture;</w:t>
      </w:r>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unpacking of personal effects and furniture;</w:t>
      </w:r>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travel, accommodation and meals between the former location and the ACT;</w:t>
      </w:r>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disconnection and reconnection of utilities;</w:t>
      </w:r>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lastRenderedPageBreak/>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relocation; and</w:t>
      </w:r>
    </w:p>
    <w:p w14:paraId="4733CC5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expenses incurred by the executive; and</w:t>
      </w:r>
    </w:p>
    <w:p w14:paraId="2932DE6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expected total relocation expenses of the executive; and</w:t>
      </w:r>
    </w:p>
    <w:p w14:paraId="1F8AE31F"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the level of assistance the executive considers should be provided; and</w:t>
      </w:r>
    </w:p>
    <w:p w14:paraId="2E37DD9A"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any other relevant information.</w:t>
      </w:r>
    </w:p>
    <w:p w14:paraId="303D1F68" w14:textId="295CC685"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A53B73" w:rsidRPr="00403576">
        <w:rPr>
          <w:color w:val="000000" w:themeColor="text1"/>
          <w:szCs w:val="24"/>
        </w:rPr>
        <w:t>may</w:t>
      </w:r>
      <w:r w:rsidRPr="00403576">
        <w:rPr>
          <w:color w:val="000000" w:themeColor="text1"/>
          <w:szCs w:val="24"/>
        </w:rPr>
        <w:t xml:space="preserve">  be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5.3;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24F26CAC" w:rsidR="009458C6" w:rsidRPr="00403576" w:rsidRDefault="0018623B" w:rsidP="0018623B">
      <w:pPr>
        <w:spacing w:before="80" w:after="60"/>
        <w:ind w:left="709"/>
        <w:rPr>
          <w:color w:val="000000" w:themeColor="text1"/>
          <w:szCs w:val="24"/>
        </w:rPr>
      </w:pPr>
      <w:r w:rsidRPr="00403576">
        <w:rPr>
          <w:color w:val="000000" w:themeColor="text1"/>
          <w:szCs w:val="24"/>
        </w:rPr>
        <w:br/>
        <w:t>Note: Relocation allowance does not apply to any expenses incurred at the conclusion of employment with the Territory.</w:t>
      </w:r>
    </w:p>
    <w:p w14:paraId="2A4D3012" w14:textId="77777777" w:rsidR="001B199D" w:rsidRPr="00403576" w:rsidRDefault="001B199D" w:rsidP="001B199D">
      <w:pPr>
        <w:pStyle w:val="Heading3"/>
        <w:keepLines w:val="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Default="001B199D" w:rsidP="001B199D">
      <w:pPr>
        <w:numPr>
          <w:ilvl w:val="2"/>
          <w:numId w:val="4"/>
        </w:numPr>
        <w:tabs>
          <w:tab w:val="clear" w:pos="720"/>
        </w:tabs>
        <w:spacing w:after="60"/>
        <w:ind w:left="1134" w:hanging="436"/>
      </w:pPr>
      <w:r>
        <w:t>part 9.6 (executive employee and statutory office-holder leave and other entitlements).</w:t>
      </w:r>
    </w:p>
    <w:p w14:paraId="6DDC9CCB" w14:textId="6C199B62" w:rsidR="00867F9A" w:rsidRDefault="00867F9A" w:rsidP="00867F9A">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7377BE00" w14:textId="77777777" w:rsidR="00B4120B" w:rsidRPr="00470D11" w:rsidRDefault="00B4120B" w:rsidP="006A4265">
      <w:pPr>
        <w:pStyle w:val="Heading3"/>
        <w:numPr>
          <w:ilvl w:val="0"/>
          <w:numId w:val="0"/>
        </w:numPr>
        <w:ind w:left="720"/>
      </w:pPr>
      <w:r w:rsidRPr="00470D11">
        <w:rPr>
          <w:i/>
        </w:rPr>
        <w:t>home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lastRenderedPageBreak/>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EA04F4" w:rsidRDefault="00DB27EE" w:rsidP="00835A36">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sidRPr="00DB27EE">
        <w:rPr>
          <w:rFonts w:eastAsia="Calibri"/>
          <w:szCs w:val="24"/>
        </w:rPr>
        <w:t xml:space="preserve"> that no traveller who travels for official purposes should be out of pocket, however they must be reasonable expenses.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1E42DAD2" w14:textId="77777777" w:rsidR="0069220A" w:rsidRDefault="0069220A" w:rsidP="0069220A">
      <w:pPr>
        <w:numPr>
          <w:ilvl w:val="2"/>
          <w:numId w:val="4"/>
        </w:numPr>
        <w:tabs>
          <w:tab w:val="clear" w:pos="720"/>
        </w:tabs>
        <w:spacing w:after="60"/>
        <w:ind w:left="1134" w:hanging="436"/>
      </w:pPr>
      <w:r>
        <w:t>commercially provided flights;</w:t>
      </w:r>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2DF82E2F" w14:textId="77777777" w:rsidR="00977C4D" w:rsidRDefault="00977C4D" w:rsidP="00977C4D">
      <w:pPr>
        <w:spacing w:before="80" w:after="60"/>
        <w:ind w:left="709"/>
      </w:pPr>
    </w:p>
    <w:p w14:paraId="1566930B" w14:textId="3969ED22" w:rsidR="0069220A" w:rsidRDefault="0069220A" w:rsidP="0069220A">
      <w:pPr>
        <w:numPr>
          <w:ilvl w:val="1"/>
          <w:numId w:val="4"/>
        </w:numPr>
        <w:tabs>
          <w:tab w:val="clear" w:pos="720"/>
          <w:tab w:val="num" w:pos="0"/>
        </w:tabs>
        <w:spacing w:before="80" w:after="60"/>
        <w:ind w:left="709" w:hanging="709"/>
      </w:pPr>
      <w:r>
        <w:lastRenderedPageBreak/>
        <w:t xml:space="preserve">If a </w:t>
      </w:r>
      <w:r w:rsidR="00DB27EE">
        <w:t>traveller</w:t>
      </w:r>
      <w:r>
        <w:t xml:space="preserve"> 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DB27EE" w:rsidRPr="00BF7D35">
        <w:t>, or its</w:t>
      </w:r>
      <w:r w:rsidR="00DB27EE">
        <w:t xml:space="preserve"> replacement</w:t>
      </w:r>
      <w:r>
        <w: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4.5 star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sidR="00DB27EE">
        <w:rPr>
          <w:sz w:val="20"/>
          <w:lang w:val="en-US"/>
        </w:rPr>
        <w:t>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534427">
        <w:rPr>
          <w:sz w:val="20"/>
          <w:lang w:val="en-US"/>
        </w:rPr>
        <w:t xml:space="preserve">to allow a </w:t>
      </w:r>
      <w:r w:rsidR="00DB27EE">
        <w:rPr>
          <w:sz w:val="20"/>
          <w:lang w:val="en-US"/>
        </w:rPr>
        <w:t>traveller</w:t>
      </w:r>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44AB0F5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t>airport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15D45967" w:rsidR="00DB27EE" w:rsidRPr="00380585" w:rsidRDefault="00DB27EE" w:rsidP="00403576">
      <w:pPr>
        <w:numPr>
          <w:ilvl w:val="1"/>
          <w:numId w:val="4"/>
        </w:numPr>
        <w:tabs>
          <w:tab w:val="clear" w:pos="720"/>
          <w:tab w:val="num" w:pos="0"/>
        </w:tabs>
        <w:spacing w:before="80" w:after="60"/>
        <w:ind w:left="709" w:hanging="709"/>
        <w:rPr>
          <w:szCs w:val="24"/>
        </w:rPr>
      </w:pPr>
      <w:r w:rsidRPr="00380585">
        <w:rPr>
          <w:szCs w:val="24"/>
        </w:rPr>
        <w:t>Frequent flyer points can</w:t>
      </w:r>
      <w:r w:rsidR="00B4120B">
        <w:rPr>
          <w:szCs w:val="24"/>
        </w:rPr>
        <w:t>not</w:t>
      </w:r>
      <w:r w:rsidRPr="00380585">
        <w:rPr>
          <w:szCs w:val="24"/>
        </w:rPr>
        <w:t xml:space="preserve"> be accrued or used by a traveller as a result of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lastRenderedPageBreak/>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If necessary, the cost of travel insurance will be met as a reasonable work related expense by the Territory.</w:t>
      </w:r>
    </w:p>
    <w:p w14:paraId="00FD7E7F" w14:textId="77777777" w:rsidR="00DB27EE" w:rsidRDefault="00DB27EE" w:rsidP="00DB27EE">
      <w:pPr>
        <w:numPr>
          <w:ilvl w:val="1"/>
          <w:numId w:val="4"/>
        </w:numPr>
        <w:spacing w:before="80" w:after="60"/>
      </w:pPr>
      <w:r>
        <w:t>All legitimate and reasonable work related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52C6A2C4"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295F0F7C"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E1D4C6"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78AC89C4"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A046F03" w14:textId="77777777" w:rsidR="00B4120B" w:rsidRDefault="00B4120B" w:rsidP="00B4120B">
      <w:pPr>
        <w:spacing w:before="80"/>
        <w:ind w:left="709"/>
        <w:jc w:val="both"/>
      </w:pPr>
      <w:r>
        <w:rPr>
          <w:b/>
          <w:i/>
        </w:rPr>
        <w:t>d</w:t>
      </w:r>
      <w:r w:rsidRPr="00EE36F5">
        <w:rPr>
          <w:b/>
          <w:i/>
        </w:rPr>
        <w:t>omestic travel</w:t>
      </w:r>
      <w:r>
        <w:t xml:space="preserve"> means official travel to a destination within Australia.</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004BDF51"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8FA8641" w14:textId="77777777" w:rsidR="00B4120B" w:rsidRDefault="00B4120B" w:rsidP="00B4120B">
      <w:pPr>
        <w:spacing w:before="80"/>
        <w:ind w:left="709"/>
        <w:jc w:val="both"/>
      </w:pPr>
      <w:r>
        <w:rPr>
          <w:b/>
          <w:i/>
        </w:rPr>
        <w:t xml:space="preserve">PSSap </w:t>
      </w:r>
      <w:r>
        <w:t>means the PSS Accumulation Plan.</w:t>
      </w:r>
    </w:p>
    <w:p w14:paraId="79C2CCC9" w14:textId="0851F3DE" w:rsidR="0069220A" w:rsidRDefault="0069220A" w:rsidP="00835A36">
      <w:pPr>
        <w:spacing w:before="80" w:after="60"/>
        <w:ind w:left="709"/>
      </w:pPr>
      <w:r w:rsidRPr="00E433F0">
        <w:rPr>
          <w:b/>
          <w:i/>
        </w:rPr>
        <w:t>total remuneration package</w:t>
      </w:r>
      <w:r w:rsidRPr="00E433F0">
        <w:t xml:space="preserve"> includes remuneration set out in Table 2.1,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41373B39" w14:textId="439509C8" w:rsidR="00DB27EE" w:rsidRPr="00403576" w:rsidRDefault="00DB27EE" w:rsidP="00DB27EE">
      <w:pPr>
        <w:spacing w:before="8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a number of the same entitlements as </w:t>
      </w:r>
      <w:r w:rsidRPr="00403576">
        <w:rPr>
          <w:color w:val="000000" w:themeColor="text1"/>
        </w:rPr>
        <w:t>an SES Member.</w:t>
      </w:r>
    </w:p>
    <w:p w14:paraId="1F9CE8AC" w14:textId="77777777" w:rsidR="00DC6C6D" w:rsidRPr="00403576" w:rsidRDefault="00DC6C6D" w:rsidP="00031CFC">
      <w:pPr>
        <w:pStyle w:val="Heading3"/>
        <w:keepLines w:val="0"/>
        <w:ind w:left="709" w:hanging="709"/>
        <w:rPr>
          <w:rFonts w:cs="Arial"/>
          <w:color w:val="000000" w:themeColor="text1"/>
          <w:szCs w:val="26"/>
        </w:rPr>
      </w:pPr>
      <w:r w:rsidRPr="00403576">
        <w:rPr>
          <w:rFonts w:cs="Arial"/>
          <w:color w:val="000000" w:themeColor="text1"/>
          <w:szCs w:val="26"/>
        </w:rPr>
        <w:t>Revocation of previous Determination</w:t>
      </w:r>
    </w:p>
    <w:p w14:paraId="6196C0C2" w14:textId="57B3862D" w:rsidR="007612FA" w:rsidRPr="00403576" w:rsidRDefault="00DC6C6D" w:rsidP="00AE2CF2">
      <w:pPr>
        <w:numPr>
          <w:ilvl w:val="1"/>
          <w:numId w:val="4"/>
        </w:numPr>
        <w:tabs>
          <w:tab w:val="clear" w:pos="720"/>
        </w:tabs>
        <w:spacing w:before="80" w:after="60"/>
        <w:ind w:left="709" w:hanging="709"/>
        <w:rPr>
          <w:color w:val="000000" w:themeColor="text1"/>
        </w:rPr>
      </w:pPr>
      <w:r w:rsidRPr="00403576">
        <w:rPr>
          <w:color w:val="000000" w:themeColor="text1"/>
        </w:rPr>
        <w:t>Determination</w:t>
      </w:r>
      <w:r w:rsidR="00CB4279" w:rsidRPr="00403576">
        <w:rPr>
          <w:color w:val="000000" w:themeColor="text1"/>
        </w:rPr>
        <w:t xml:space="preserve"> </w:t>
      </w:r>
      <w:r w:rsidR="008B31E7" w:rsidRPr="00403576">
        <w:rPr>
          <w:color w:val="000000" w:themeColor="text1"/>
        </w:rPr>
        <w:t>5 of 2018 is</w:t>
      </w:r>
      <w:r w:rsidR="00676255" w:rsidRPr="00403576">
        <w:rPr>
          <w:color w:val="000000" w:themeColor="text1"/>
        </w:rPr>
        <w:t xml:space="preserve"> </w:t>
      </w:r>
      <w:r w:rsidR="00CB4279" w:rsidRPr="00403576">
        <w:rPr>
          <w:color w:val="000000" w:themeColor="text1"/>
        </w:rPr>
        <w:t>revoked</w:t>
      </w:r>
      <w:r w:rsidR="00007899" w:rsidRPr="00403576">
        <w:rPr>
          <w:b/>
          <w:color w:val="000000" w:themeColor="text1"/>
        </w:rPr>
        <w:t>.</w:t>
      </w:r>
    </w:p>
    <w:p w14:paraId="0BE6B502" w14:textId="77777777" w:rsidR="00CA4D79" w:rsidRDefault="00247608">
      <w:r>
        <w:br w:type="page"/>
      </w:r>
    </w:p>
    <w:tbl>
      <w:tblPr>
        <w:tblW w:w="0" w:type="auto"/>
        <w:tblLook w:val="04A0" w:firstRow="1" w:lastRow="0" w:firstColumn="1" w:lastColumn="0" w:noHBand="0" w:noVBand="1"/>
      </w:tblPr>
      <w:tblGrid>
        <w:gridCol w:w="4529"/>
        <w:gridCol w:w="4488"/>
      </w:tblGrid>
      <w:tr w:rsidR="00CA4D79" w:rsidRPr="006A51E8" w14:paraId="5B99181D" w14:textId="77777777" w:rsidTr="00131D5D">
        <w:tc>
          <w:tcPr>
            <w:tcW w:w="4529" w:type="dxa"/>
          </w:tcPr>
          <w:p w14:paraId="2CBABA4F" w14:textId="77777777" w:rsidR="00CA4D79" w:rsidRPr="000F41B0" w:rsidRDefault="00CA4D79" w:rsidP="00131D5D">
            <w:pPr>
              <w:tabs>
                <w:tab w:val="left" w:pos="4253"/>
                <w:tab w:val="left" w:leader="dot" w:pos="8222"/>
              </w:tabs>
              <w:rPr>
                <w:szCs w:val="24"/>
              </w:rPr>
            </w:pPr>
          </w:p>
          <w:p w14:paraId="128A4577" w14:textId="77777777" w:rsidR="00CA4D79" w:rsidRPr="000F41B0" w:rsidRDefault="00CA4D79" w:rsidP="00131D5D">
            <w:pPr>
              <w:tabs>
                <w:tab w:val="left" w:pos="4253"/>
                <w:tab w:val="left" w:pos="7230"/>
                <w:tab w:val="left" w:leader="dot" w:pos="8222"/>
              </w:tabs>
              <w:rPr>
                <w:szCs w:val="24"/>
              </w:rPr>
            </w:pPr>
            <w:r w:rsidRPr="000F41B0">
              <w:rPr>
                <w:szCs w:val="24"/>
              </w:rPr>
              <w:t>Dr Colin Adrian</w:t>
            </w:r>
            <w:r w:rsidRPr="000F41B0">
              <w:rPr>
                <w:szCs w:val="24"/>
              </w:rPr>
              <w:tab/>
            </w:r>
          </w:p>
          <w:p w14:paraId="5D9794C2" w14:textId="77777777" w:rsidR="00CA4D79" w:rsidRPr="000F41B0" w:rsidRDefault="00CA4D79" w:rsidP="00131D5D">
            <w:pPr>
              <w:tabs>
                <w:tab w:val="left" w:pos="7230"/>
              </w:tabs>
              <w:rPr>
                <w:szCs w:val="24"/>
              </w:rPr>
            </w:pPr>
            <w:r w:rsidRPr="000F41B0">
              <w:rPr>
                <w:szCs w:val="24"/>
              </w:rPr>
              <w:t>Chair</w:t>
            </w:r>
          </w:p>
          <w:p w14:paraId="1B32CEF7" w14:textId="77777777" w:rsidR="00CA4D79" w:rsidRPr="000F41B0" w:rsidRDefault="00CA4D79" w:rsidP="00131D5D">
            <w:pPr>
              <w:tabs>
                <w:tab w:val="left" w:pos="4253"/>
                <w:tab w:val="left" w:leader="dot" w:pos="8222"/>
              </w:tabs>
              <w:rPr>
                <w:szCs w:val="24"/>
              </w:rPr>
            </w:pPr>
          </w:p>
        </w:tc>
        <w:tc>
          <w:tcPr>
            <w:tcW w:w="4488" w:type="dxa"/>
          </w:tcPr>
          <w:p w14:paraId="073A9035" w14:textId="77777777" w:rsidR="00CA4D79" w:rsidRDefault="00CA4D79" w:rsidP="00131D5D">
            <w:pPr>
              <w:tabs>
                <w:tab w:val="left" w:pos="3059"/>
                <w:tab w:val="left" w:pos="7230"/>
              </w:tabs>
            </w:pPr>
          </w:p>
          <w:p w14:paraId="6CBAF6C0" w14:textId="77777777" w:rsidR="00CA4D79" w:rsidRPr="006A51E8" w:rsidRDefault="00CA4D79" w:rsidP="00131D5D">
            <w:pPr>
              <w:tabs>
                <w:tab w:val="left" w:pos="3059"/>
                <w:tab w:val="left" w:pos="7230"/>
              </w:tabs>
              <w:spacing w:before="120"/>
            </w:pPr>
            <w:r>
              <w:t xml:space="preserve">  </w:t>
            </w:r>
            <w:r w:rsidRPr="00A9481F">
              <w:t>...............................</w:t>
            </w:r>
            <w:r>
              <w:t>.................</w:t>
            </w:r>
          </w:p>
        </w:tc>
      </w:tr>
      <w:tr w:rsidR="00CA4D79" w:rsidRPr="006A51E8" w14:paraId="2271555F" w14:textId="77777777" w:rsidTr="00131D5D">
        <w:tc>
          <w:tcPr>
            <w:tcW w:w="4529" w:type="dxa"/>
          </w:tcPr>
          <w:p w14:paraId="1B3EEDD3" w14:textId="77777777" w:rsidR="00CA4D79" w:rsidRPr="000F41B0" w:rsidRDefault="00CA4D79" w:rsidP="00131D5D">
            <w:pPr>
              <w:tabs>
                <w:tab w:val="left" w:pos="4253"/>
                <w:tab w:val="left" w:pos="7230"/>
                <w:tab w:val="left" w:leader="dot" w:pos="8222"/>
              </w:tabs>
              <w:rPr>
                <w:szCs w:val="24"/>
              </w:rPr>
            </w:pPr>
          </w:p>
          <w:p w14:paraId="58367099" w14:textId="77777777" w:rsidR="00CA4D79" w:rsidRPr="000F41B0" w:rsidRDefault="00CA4D79" w:rsidP="00131D5D">
            <w:pPr>
              <w:tabs>
                <w:tab w:val="left" w:pos="4253"/>
                <w:tab w:val="left" w:pos="7230"/>
                <w:tab w:val="left" w:leader="dot" w:pos="8222"/>
              </w:tabs>
              <w:rPr>
                <w:szCs w:val="24"/>
              </w:rPr>
            </w:pPr>
            <w:r>
              <w:rPr>
                <w:szCs w:val="24"/>
              </w:rPr>
              <w:t>Ms Sandra Lambert AM</w:t>
            </w:r>
            <w:r w:rsidRPr="000F41B0">
              <w:rPr>
                <w:szCs w:val="24"/>
              </w:rPr>
              <w:tab/>
            </w:r>
          </w:p>
          <w:p w14:paraId="3B8A7938" w14:textId="77777777" w:rsidR="00CA4D79" w:rsidRPr="000F41B0" w:rsidRDefault="00CA4D79" w:rsidP="00131D5D">
            <w:pPr>
              <w:tabs>
                <w:tab w:val="left" w:pos="7230"/>
              </w:tabs>
              <w:rPr>
                <w:szCs w:val="24"/>
              </w:rPr>
            </w:pPr>
            <w:r w:rsidRPr="000F41B0">
              <w:rPr>
                <w:szCs w:val="24"/>
              </w:rPr>
              <w:t>Member</w:t>
            </w:r>
          </w:p>
          <w:p w14:paraId="4A5938CD" w14:textId="77777777" w:rsidR="00CA4D79" w:rsidRPr="000F41B0" w:rsidRDefault="00CA4D79" w:rsidP="00131D5D">
            <w:pPr>
              <w:tabs>
                <w:tab w:val="left" w:pos="4253"/>
                <w:tab w:val="left" w:leader="dot" w:pos="8222"/>
              </w:tabs>
              <w:rPr>
                <w:szCs w:val="24"/>
              </w:rPr>
            </w:pPr>
          </w:p>
        </w:tc>
        <w:tc>
          <w:tcPr>
            <w:tcW w:w="4488" w:type="dxa"/>
          </w:tcPr>
          <w:p w14:paraId="5BE4FA0C" w14:textId="77777777" w:rsidR="00CA4D79" w:rsidRDefault="00CA4D79" w:rsidP="00131D5D">
            <w:pPr>
              <w:tabs>
                <w:tab w:val="left" w:pos="2892"/>
                <w:tab w:val="left" w:pos="7230"/>
              </w:tabs>
            </w:pPr>
          </w:p>
          <w:p w14:paraId="7A597593" w14:textId="77777777" w:rsidR="00CA4D79" w:rsidRDefault="00CA4D79" w:rsidP="00131D5D">
            <w:pPr>
              <w:tabs>
                <w:tab w:val="left" w:pos="2892"/>
                <w:tab w:val="left" w:pos="7230"/>
              </w:tabs>
            </w:pPr>
          </w:p>
          <w:p w14:paraId="550072BA" w14:textId="77777777" w:rsidR="00CA4D79" w:rsidRDefault="00CA4D79" w:rsidP="00131D5D">
            <w:pPr>
              <w:tabs>
                <w:tab w:val="left" w:pos="2892"/>
                <w:tab w:val="left" w:pos="7230"/>
              </w:tabs>
            </w:pPr>
          </w:p>
          <w:p w14:paraId="0D3E19D2" w14:textId="77777777" w:rsidR="00CA4D79" w:rsidRPr="006A51E8" w:rsidRDefault="00CA4D79" w:rsidP="00131D5D">
            <w:pPr>
              <w:tabs>
                <w:tab w:val="left" w:pos="3059"/>
                <w:tab w:val="left" w:pos="7230"/>
              </w:tabs>
            </w:pPr>
            <w:r>
              <w:t xml:space="preserve">  </w:t>
            </w:r>
            <w:r w:rsidRPr="00A9481F">
              <w:t>...............................</w:t>
            </w:r>
            <w:r>
              <w:t>.................</w:t>
            </w:r>
          </w:p>
        </w:tc>
      </w:tr>
      <w:tr w:rsidR="00CA4D79" w:rsidRPr="006A51E8" w14:paraId="2FE695EE" w14:textId="77777777" w:rsidTr="00131D5D">
        <w:tc>
          <w:tcPr>
            <w:tcW w:w="4529" w:type="dxa"/>
          </w:tcPr>
          <w:p w14:paraId="70E4ED4F" w14:textId="77777777" w:rsidR="00CA4D79" w:rsidRPr="000F41B0" w:rsidRDefault="00CA4D79" w:rsidP="00131D5D">
            <w:pPr>
              <w:tabs>
                <w:tab w:val="left" w:pos="4253"/>
                <w:tab w:val="left" w:pos="7230"/>
                <w:tab w:val="left" w:leader="dot" w:pos="8222"/>
              </w:tabs>
              <w:rPr>
                <w:szCs w:val="24"/>
              </w:rPr>
            </w:pPr>
          </w:p>
          <w:p w14:paraId="1970DAB3" w14:textId="77777777" w:rsidR="00CA4D79" w:rsidRDefault="00CA4D79" w:rsidP="00131D5D">
            <w:pPr>
              <w:tabs>
                <w:tab w:val="left" w:pos="4253"/>
                <w:tab w:val="left" w:pos="7230"/>
                <w:tab w:val="left" w:leader="dot" w:pos="8222"/>
              </w:tabs>
              <w:rPr>
                <w:szCs w:val="24"/>
              </w:rPr>
            </w:pPr>
          </w:p>
          <w:p w14:paraId="1982C731" w14:textId="77777777" w:rsidR="00CA4D79" w:rsidRPr="000F41B0" w:rsidRDefault="00CA4D79" w:rsidP="00131D5D">
            <w:pPr>
              <w:tabs>
                <w:tab w:val="left" w:pos="4253"/>
                <w:tab w:val="left" w:leader="dot" w:pos="8222"/>
              </w:tabs>
              <w:rPr>
                <w:szCs w:val="24"/>
              </w:rPr>
            </w:pPr>
            <w:r>
              <w:rPr>
                <w:szCs w:val="24"/>
              </w:rPr>
              <w:t>Dr James Popple</w:t>
            </w:r>
            <w:r w:rsidRPr="000F41B0">
              <w:rPr>
                <w:szCs w:val="24"/>
              </w:rPr>
              <w:tab/>
            </w:r>
          </w:p>
          <w:p w14:paraId="49206530" w14:textId="77777777" w:rsidR="00CA4D79" w:rsidRPr="000F41B0" w:rsidRDefault="00CA4D79" w:rsidP="00131D5D">
            <w:pPr>
              <w:tabs>
                <w:tab w:val="left" w:pos="4253"/>
                <w:tab w:val="left" w:leader="dot" w:pos="8222"/>
              </w:tabs>
              <w:rPr>
                <w:szCs w:val="24"/>
              </w:rPr>
            </w:pPr>
            <w:r w:rsidRPr="000F41B0">
              <w:rPr>
                <w:szCs w:val="24"/>
              </w:rPr>
              <w:t xml:space="preserve">Member </w:t>
            </w:r>
          </w:p>
        </w:tc>
        <w:tc>
          <w:tcPr>
            <w:tcW w:w="4488" w:type="dxa"/>
          </w:tcPr>
          <w:p w14:paraId="7AD6B9BA" w14:textId="77777777" w:rsidR="00CA4D79" w:rsidRDefault="00CA4D79" w:rsidP="00131D5D">
            <w:pPr>
              <w:tabs>
                <w:tab w:val="left" w:pos="3059"/>
                <w:tab w:val="left" w:pos="7230"/>
              </w:tabs>
            </w:pPr>
          </w:p>
          <w:p w14:paraId="1AA005DD" w14:textId="77777777" w:rsidR="00CA4D79" w:rsidRDefault="00CA4D79" w:rsidP="00131D5D">
            <w:pPr>
              <w:tabs>
                <w:tab w:val="left" w:pos="4026"/>
                <w:tab w:val="left" w:pos="7230"/>
              </w:tabs>
            </w:pPr>
          </w:p>
          <w:p w14:paraId="080DBB57" w14:textId="77777777" w:rsidR="00CA4D79" w:rsidRDefault="00CA4D79" w:rsidP="00131D5D">
            <w:pPr>
              <w:tabs>
                <w:tab w:val="left" w:pos="4026"/>
                <w:tab w:val="left" w:pos="7230"/>
              </w:tabs>
            </w:pPr>
          </w:p>
          <w:p w14:paraId="11D8BA19" w14:textId="77777777" w:rsidR="00CA4D79" w:rsidRDefault="00CA4D79" w:rsidP="00131D5D">
            <w:pPr>
              <w:tabs>
                <w:tab w:val="left" w:pos="4026"/>
                <w:tab w:val="left" w:pos="7230"/>
              </w:tabs>
            </w:pPr>
          </w:p>
          <w:p w14:paraId="4267FB1E" w14:textId="77777777" w:rsidR="00CA4D79" w:rsidRDefault="00CA4D79" w:rsidP="00131D5D">
            <w:pPr>
              <w:tabs>
                <w:tab w:val="left" w:pos="3059"/>
                <w:tab w:val="left" w:pos="7230"/>
              </w:tabs>
            </w:pPr>
            <w:r>
              <w:t xml:space="preserve">  </w:t>
            </w:r>
            <w:r w:rsidRPr="00A9481F">
              <w:t>...............................</w:t>
            </w:r>
            <w:r>
              <w:t>.................</w:t>
            </w:r>
          </w:p>
          <w:p w14:paraId="2A1983EB" w14:textId="77777777" w:rsidR="00CA4D79" w:rsidRPr="006A51E8" w:rsidRDefault="00CA4D79" w:rsidP="00131D5D">
            <w:pPr>
              <w:tabs>
                <w:tab w:val="left" w:pos="3059"/>
                <w:tab w:val="left" w:pos="7230"/>
              </w:tabs>
            </w:pPr>
          </w:p>
        </w:tc>
      </w:tr>
    </w:tbl>
    <w:p w14:paraId="3C1290D8" w14:textId="77777777" w:rsidR="00CA4D79" w:rsidRDefault="00CA4D79" w:rsidP="00CA4D79">
      <w:pPr>
        <w:tabs>
          <w:tab w:val="left" w:pos="4320"/>
        </w:tabs>
        <w:jc w:val="right"/>
      </w:pPr>
      <w:r>
        <w:t>March 2019</w:t>
      </w:r>
    </w:p>
    <w:bookmarkEnd w:id="0"/>
    <w:p w14:paraId="09990276" w14:textId="26650111" w:rsidR="00247608" w:rsidRDefault="00247608"/>
    <w:sectPr w:rsidR="00247608"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4CEF5" w14:textId="77777777" w:rsidR="00015042" w:rsidRDefault="00015042">
      <w:r>
        <w:separator/>
      </w:r>
    </w:p>
  </w:endnote>
  <w:endnote w:type="continuationSeparator" w:id="0">
    <w:p w14:paraId="1DE5B960" w14:textId="77777777" w:rsidR="00015042" w:rsidRDefault="0001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13DC0">
      <w:rPr>
        <w:rFonts w:ascii="Calibri" w:hAnsi="Calibri"/>
        <w:noProof/>
      </w:rPr>
      <w:t>1</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13DC0">
      <w:rPr>
        <w:rFonts w:ascii="Calibri" w:hAnsi="Calibri"/>
        <w:noProof/>
      </w:rPr>
      <w:t>3</w:t>
    </w:r>
    <w:r w:rsidRPr="000424F9">
      <w:rPr>
        <w:rFonts w:ascii="Calibri" w:hAnsi="Calibri"/>
        <w:noProof/>
      </w:rPr>
      <w:fldChar w:fldCharType="end"/>
    </w:r>
  </w:p>
  <w:p w14:paraId="3C83327D" w14:textId="77777777" w:rsidR="008B31E7" w:rsidRDefault="008B31E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8B31E7" w:rsidRDefault="008B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929D7" w14:textId="77777777" w:rsidR="00015042" w:rsidRDefault="00015042">
      <w:r>
        <w:separator/>
      </w:r>
    </w:p>
  </w:footnote>
  <w:footnote w:type="continuationSeparator" w:id="0">
    <w:p w14:paraId="10A828FC" w14:textId="77777777" w:rsidR="00015042" w:rsidRDefault="00015042">
      <w:r>
        <w:continuationSeparator/>
      </w:r>
    </w:p>
  </w:footnote>
  <w:footnote w:id="1">
    <w:p w14:paraId="0E8B3DA5" w14:textId="77777777" w:rsidR="00B4120B" w:rsidRPr="00901CEE" w:rsidRDefault="00B4120B" w:rsidP="00B4120B">
      <w:pPr>
        <w:pStyle w:val="FootnoteText"/>
        <w:rPr>
          <w:sz w:val="16"/>
          <w:szCs w:val="16"/>
          <w:lang w:val="en-GB"/>
        </w:rPr>
      </w:pPr>
      <w:r w:rsidRPr="00470D11">
        <w:rPr>
          <w:rStyle w:val="FootnoteReference"/>
          <w:color w:val="000000" w:themeColor="text1"/>
          <w:sz w:val="16"/>
          <w:szCs w:val="16"/>
        </w:rPr>
        <w:footnoteRef/>
      </w:r>
      <w:r w:rsidRPr="00470D11">
        <w:rPr>
          <w:color w:val="000000" w:themeColor="text1"/>
          <w:sz w:val="16"/>
          <w:szCs w:val="16"/>
        </w:rPr>
        <w:t xml:space="preserve"> </w:t>
      </w:r>
      <w:r w:rsidRPr="00470D11">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8B31E7" w:rsidRDefault="008B31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77777777" w:rsidR="008B31E7" w:rsidRDefault="008B31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8B31E7" w:rsidRDefault="008B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3"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0"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1"/>
  </w:num>
  <w:num w:numId="4">
    <w:abstractNumId w:val="20"/>
  </w:num>
  <w:num w:numId="5">
    <w:abstractNumId w:val="13"/>
  </w:num>
  <w:num w:numId="6">
    <w:abstractNumId w:val="16"/>
  </w:num>
  <w:num w:numId="7">
    <w:abstractNumId w:val="9"/>
  </w:num>
  <w:num w:numId="8">
    <w:abstractNumId w:val="18"/>
  </w:num>
  <w:num w:numId="9">
    <w:abstractNumId w:val="20"/>
  </w:num>
  <w:num w:numId="10">
    <w:abstractNumId w:val="20"/>
  </w:num>
  <w:num w:numId="11">
    <w:abstractNumId w:val="19"/>
  </w:num>
  <w:num w:numId="12">
    <w:abstractNumId w:val="14"/>
  </w:num>
  <w:num w:numId="13">
    <w:abstractNumId w:val="15"/>
  </w:num>
  <w:num w:numId="14">
    <w:abstractNumId w:val="10"/>
  </w:num>
  <w:num w:numId="15">
    <w:abstractNumId w:val="21"/>
  </w:num>
  <w:num w:numId="16">
    <w:abstractNumId w:val="12"/>
  </w:num>
  <w:num w:numId="17">
    <w:abstractNumId w:val="3"/>
  </w:num>
  <w:num w:numId="18">
    <w:abstractNumId w:val="6"/>
  </w:num>
  <w:num w:numId="19">
    <w:abstractNumId w:val="0"/>
  </w:num>
  <w:num w:numId="20">
    <w:abstractNumId w:val="8"/>
  </w:num>
  <w:num w:numId="21">
    <w:abstractNumId w:val="17"/>
  </w:num>
  <w:num w:numId="22">
    <w:abstractNumId w:val="4"/>
  </w:num>
  <w:num w:numId="23">
    <w:abstractNumId w:val="11"/>
  </w:num>
  <w:num w:numId="24">
    <w:abstractNumId w:val="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2D"/>
    <w:rsid w:val="00007899"/>
    <w:rsid w:val="00015042"/>
    <w:rsid w:val="000235E0"/>
    <w:rsid w:val="00026E8D"/>
    <w:rsid w:val="00031CFC"/>
    <w:rsid w:val="000424F9"/>
    <w:rsid w:val="00042DBD"/>
    <w:rsid w:val="0005314A"/>
    <w:rsid w:val="00056206"/>
    <w:rsid w:val="00056F1E"/>
    <w:rsid w:val="000656D9"/>
    <w:rsid w:val="000739D1"/>
    <w:rsid w:val="00073FA6"/>
    <w:rsid w:val="00090A4E"/>
    <w:rsid w:val="000945B5"/>
    <w:rsid w:val="00094C9A"/>
    <w:rsid w:val="00097FB9"/>
    <w:rsid w:val="000C05D0"/>
    <w:rsid w:val="000C0FBA"/>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4510"/>
    <w:rsid w:val="00134E9D"/>
    <w:rsid w:val="0013640A"/>
    <w:rsid w:val="00145B13"/>
    <w:rsid w:val="00151E69"/>
    <w:rsid w:val="0015430B"/>
    <w:rsid w:val="0016506F"/>
    <w:rsid w:val="0018623B"/>
    <w:rsid w:val="001877F5"/>
    <w:rsid w:val="001A333D"/>
    <w:rsid w:val="001B199D"/>
    <w:rsid w:val="001B4DE2"/>
    <w:rsid w:val="001D03AE"/>
    <w:rsid w:val="001D1882"/>
    <w:rsid w:val="001E7230"/>
    <w:rsid w:val="001F44E1"/>
    <w:rsid w:val="0021099D"/>
    <w:rsid w:val="00220C1E"/>
    <w:rsid w:val="0024270A"/>
    <w:rsid w:val="00247608"/>
    <w:rsid w:val="00260189"/>
    <w:rsid w:val="002740B6"/>
    <w:rsid w:val="002A134C"/>
    <w:rsid w:val="002A4ADA"/>
    <w:rsid w:val="002B391E"/>
    <w:rsid w:val="002C0635"/>
    <w:rsid w:val="002C2521"/>
    <w:rsid w:val="002C2963"/>
    <w:rsid w:val="002C3B13"/>
    <w:rsid w:val="002C5A60"/>
    <w:rsid w:val="002C785E"/>
    <w:rsid w:val="002D40AF"/>
    <w:rsid w:val="002E23E7"/>
    <w:rsid w:val="003019CD"/>
    <w:rsid w:val="003114FB"/>
    <w:rsid w:val="0033335A"/>
    <w:rsid w:val="00347A7E"/>
    <w:rsid w:val="00362495"/>
    <w:rsid w:val="0036438B"/>
    <w:rsid w:val="003661F9"/>
    <w:rsid w:val="003715E6"/>
    <w:rsid w:val="00372DD3"/>
    <w:rsid w:val="00373E37"/>
    <w:rsid w:val="00381CF4"/>
    <w:rsid w:val="00383A02"/>
    <w:rsid w:val="00391B63"/>
    <w:rsid w:val="003B0300"/>
    <w:rsid w:val="003B1A08"/>
    <w:rsid w:val="003D2768"/>
    <w:rsid w:val="003D2D25"/>
    <w:rsid w:val="003D4E8A"/>
    <w:rsid w:val="003D59CB"/>
    <w:rsid w:val="003E79F7"/>
    <w:rsid w:val="003F5154"/>
    <w:rsid w:val="003F6933"/>
    <w:rsid w:val="003F7A76"/>
    <w:rsid w:val="004004FA"/>
    <w:rsid w:val="00403576"/>
    <w:rsid w:val="00437715"/>
    <w:rsid w:val="00441444"/>
    <w:rsid w:val="00444337"/>
    <w:rsid w:val="004455DD"/>
    <w:rsid w:val="00451281"/>
    <w:rsid w:val="00466A6D"/>
    <w:rsid w:val="00470F0C"/>
    <w:rsid w:val="00475411"/>
    <w:rsid w:val="004A2467"/>
    <w:rsid w:val="004B3191"/>
    <w:rsid w:val="004B4A80"/>
    <w:rsid w:val="004B66BB"/>
    <w:rsid w:val="004B688C"/>
    <w:rsid w:val="004B71C5"/>
    <w:rsid w:val="004C2A9A"/>
    <w:rsid w:val="004C42DA"/>
    <w:rsid w:val="004C4847"/>
    <w:rsid w:val="004C6DE2"/>
    <w:rsid w:val="004D35A7"/>
    <w:rsid w:val="004D44E5"/>
    <w:rsid w:val="004F77CB"/>
    <w:rsid w:val="00501D7C"/>
    <w:rsid w:val="00510BDD"/>
    <w:rsid w:val="00513C42"/>
    <w:rsid w:val="005152BC"/>
    <w:rsid w:val="00516063"/>
    <w:rsid w:val="005210C7"/>
    <w:rsid w:val="00521DCD"/>
    <w:rsid w:val="00524C8A"/>
    <w:rsid w:val="00531C63"/>
    <w:rsid w:val="005515EE"/>
    <w:rsid w:val="00557E3B"/>
    <w:rsid w:val="005708C7"/>
    <w:rsid w:val="00570E42"/>
    <w:rsid w:val="0059383C"/>
    <w:rsid w:val="005B0ACC"/>
    <w:rsid w:val="005B397F"/>
    <w:rsid w:val="005B596D"/>
    <w:rsid w:val="005C08FE"/>
    <w:rsid w:val="005D23A4"/>
    <w:rsid w:val="005D7B83"/>
    <w:rsid w:val="005E0200"/>
    <w:rsid w:val="005E0686"/>
    <w:rsid w:val="005E66E2"/>
    <w:rsid w:val="005E7A3E"/>
    <w:rsid w:val="005F35AD"/>
    <w:rsid w:val="00604F0B"/>
    <w:rsid w:val="00616924"/>
    <w:rsid w:val="0061777D"/>
    <w:rsid w:val="00621F10"/>
    <w:rsid w:val="00647F0A"/>
    <w:rsid w:val="00667D31"/>
    <w:rsid w:val="00671B76"/>
    <w:rsid w:val="00671C75"/>
    <w:rsid w:val="00674580"/>
    <w:rsid w:val="00674BD0"/>
    <w:rsid w:val="00675113"/>
    <w:rsid w:val="00676255"/>
    <w:rsid w:val="00677B60"/>
    <w:rsid w:val="0069220A"/>
    <w:rsid w:val="00697229"/>
    <w:rsid w:val="006A4265"/>
    <w:rsid w:val="006A5149"/>
    <w:rsid w:val="006B1541"/>
    <w:rsid w:val="006B231A"/>
    <w:rsid w:val="006B2E82"/>
    <w:rsid w:val="006C7757"/>
    <w:rsid w:val="006D6312"/>
    <w:rsid w:val="006E1141"/>
    <w:rsid w:val="006E53A9"/>
    <w:rsid w:val="006E6165"/>
    <w:rsid w:val="006F1565"/>
    <w:rsid w:val="00714AD4"/>
    <w:rsid w:val="00714C87"/>
    <w:rsid w:val="0071674A"/>
    <w:rsid w:val="00730C82"/>
    <w:rsid w:val="00732D04"/>
    <w:rsid w:val="00747932"/>
    <w:rsid w:val="007534BC"/>
    <w:rsid w:val="007612FA"/>
    <w:rsid w:val="007653BC"/>
    <w:rsid w:val="00774F91"/>
    <w:rsid w:val="0078119F"/>
    <w:rsid w:val="00791C85"/>
    <w:rsid w:val="007A0CEA"/>
    <w:rsid w:val="007A11BD"/>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80E"/>
    <w:rsid w:val="00816BA9"/>
    <w:rsid w:val="008236B1"/>
    <w:rsid w:val="008316A3"/>
    <w:rsid w:val="00832CA7"/>
    <w:rsid w:val="00835A36"/>
    <w:rsid w:val="00842A40"/>
    <w:rsid w:val="00842AA2"/>
    <w:rsid w:val="00852752"/>
    <w:rsid w:val="00864B6A"/>
    <w:rsid w:val="00865598"/>
    <w:rsid w:val="00867A92"/>
    <w:rsid w:val="00867F9A"/>
    <w:rsid w:val="00870068"/>
    <w:rsid w:val="0087377E"/>
    <w:rsid w:val="00877EB0"/>
    <w:rsid w:val="00882C73"/>
    <w:rsid w:val="00883CEC"/>
    <w:rsid w:val="00891859"/>
    <w:rsid w:val="0089656C"/>
    <w:rsid w:val="008B31E7"/>
    <w:rsid w:val="008B6DDC"/>
    <w:rsid w:val="008C43AB"/>
    <w:rsid w:val="008C5BE2"/>
    <w:rsid w:val="008D0A3D"/>
    <w:rsid w:val="008D5909"/>
    <w:rsid w:val="008F53E6"/>
    <w:rsid w:val="009031DC"/>
    <w:rsid w:val="0091032A"/>
    <w:rsid w:val="009118FF"/>
    <w:rsid w:val="00913DC0"/>
    <w:rsid w:val="0091771F"/>
    <w:rsid w:val="0092035A"/>
    <w:rsid w:val="00926988"/>
    <w:rsid w:val="009277F6"/>
    <w:rsid w:val="00935862"/>
    <w:rsid w:val="009458C6"/>
    <w:rsid w:val="009468BC"/>
    <w:rsid w:val="00946CD2"/>
    <w:rsid w:val="00960FDB"/>
    <w:rsid w:val="00964233"/>
    <w:rsid w:val="0097023D"/>
    <w:rsid w:val="00977C4D"/>
    <w:rsid w:val="009859F7"/>
    <w:rsid w:val="00992018"/>
    <w:rsid w:val="009A108C"/>
    <w:rsid w:val="009D1A1F"/>
    <w:rsid w:val="009D5A09"/>
    <w:rsid w:val="009E34DA"/>
    <w:rsid w:val="009E4C67"/>
    <w:rsid w:val="009E735F"/>
    <w:rsid w:val="00A10D88"/>
    <w:rsid w:val="00A2357D"/>
    <w:rsid w:val="00A403CA"/>
    <w:rsid w:val="00A42F30"/>
    <w:rsid w:val="00A53B73"/>
    <w:rsid w:val="00A7057A"/>
    <w:rsid w:val="00A72561"/>
    <w:rsid w:val="00A760A2"/>
    <w:rsid w:val="00A77538"/>
    <w:rsid w:val="00A90AB7"/>
    <w:rsid w:val="00AA388B"/>
    <w:rsid w:val="00AB0311"/>
    <w:rsid w:val="00AC1C71"/>
    <w:rsid w:val="00AC729A"/>
    <w:rsid w:val="00AD06CC"/>
    <w:rsid w:val="00AD5324"/>
    <w:rsid w:val="00AD58CE"/>
    <w:rsid w:val="00AE2CF2"/>
    <w:rsid w:val="00AE3615"/>
    <w:rsid w:val="00AE689E"/>
    <w:rsid w:val="00AE77C3"/>
    <w:rsid w:val="00AF6998"/>
    <w:rsid w:val="00B34D90"/>
    <w:rsid w:val="00B40DE4"/>
    <w:rsid w:val="00B41011"/>
    <w:rsid w:val="00B4120B"/>
    <w:rsid w:val="00B42918"/>
    <w:rsid w:val="00B44433"/>
    <w:rsid w:val="00B50DAA"/>
    <w:rsid w:val="00B543C2"/>
    <w:rsid w:val="00B602B7"/>
    <w:rsid w:val="00B61E76"/>
    <w:rsid w:val="00B634A3"/>
    <w:rsid w:val="00B7359A"/>
    <w:rsid w:val="00B75CD8"/>
    <w:rsid w:val="00B76438"/>
    <w:rsid w:val="00B94E3B"/>
    <w:rsid w:val="00B960E0"/>
    <w:rsid w:val="00B96194"/>
    <w:rsid w:val="00B97BF2"/>
    <w:rsid w:val="00BB3562"/>
    <w:rsid w:val="00BB4A62"/>
    <w:rsid w:val="00BB7044"/>
    <w:rsid w:val="00BC2ABD"/>
    <w:rsid w:val="00BD1474"/>
    <w:rsid w:val="00BE3052"/>
    <w:rsid w:val="00BE4B52"/>
    <w:rsid w:val="00C03DBD"/>
    <w:rsid w:val="00C05120"/>
    <w:rsid w:val="00C053A5"/>
    <w:rsid w:val="00C10C16"/>
    <w:rsid w:val="00C22742"/>
    <w:rsid w:val="00C23982"/>
    <w:rsid w:val="00C241CD"/>
    <w:rsid w:val="00C2538E"/>
    <w:rsid w:val="00C27763"/>
    <w:rsid w:val="00C5322A"/>
    <w:rsid w:val="00C561B4"/>
    <w:rsid w:val="00C616D7"/>
    <w:rsid w:val="00C61F9D"/>
    <w:rsid w:val="00C76A53"/>
    <w:rsid w:val="00C810A6"/>
    <w:rsid w:val="00C90DE3"/>
    <w:rsid w:val="00C91627"/>
    <w:rsid w:val="00C95977"/>
    <w:rsid w:val="00CA01A6"/>
    <w:rsid w:val="00CA0D6A"/>
    <w:rsid w:val="00CA0E47"/>
    <w:rsid w:val="00CA4D79"/>
    <w:rsid w:val="00CA59D1"/>
    <w:rsid w:val="00CA682D"/>
    <w:rsid w:val="00CB1C7E"/>
    <w:rsid w:val="00CB4279"/>
    <w:rsid w:val="00CB7D64"/>
    <w:rsid w:val="00CB7ED3"/>
    <w:rsid w:val="00CC57FE"/>
    <w:rsid w:val="00CD1EAD"/>
    <w:rsid w:val="00CF2E46"/>
    <w:rsid w:val="00D003B9"/>
    <w:rsid w:val="00D04F1B"/>
    <w:rsid w:val="00D2178F"/>
    <w:rsid w:val="00D24A6F"/>
    <w:rsid w:val="00D31E04"/>
    <w:rsid w:val="00D364F2"/>
    <w:rsid w:val="00D42DD5"/>
    <w:rsid w:val="00D452F4"/>
    <w:rsid w:val="00D47FC9"/>
    <w:rsid w:val="00D5308B"/>
    <w:rsid w:val="00D6128B"/>
    <w:rsid w:val="00D6184E"/>
    <w:rsid w:val="00D66012"/>
    <w:rsid w:val="00D833FF"/>
    <w:rsid w:val="00D850CE"/>
    <w:rsid w:val="00DA3D0F"/>
    <w:rsid w:val="00DB27EE"/>
    <w:rsid w:val="00DC011D"/>
    <w:rsid w:val="00DC337A"/>
    <w:rsid w:val="00DC35CF"/>
    <w:rsid w:val="00DC5108"/>
    <w:rsid w:val="00DC6C6D"/>
    <w:rsid w:val="00DD73BE"/>
    <w:rsid w:val="00DE6EB1"/>
    <w:rsid w:val="00DF0D48"/>
    <w:rsid w:val="00DF10B8"/>
    <w:rsid w:val="00DF140E"/>
    <w:rsid w:val="00DF3859"/>
    <w:rsid w:val="00DF4AC6"/>
    <w:rsid w:val="00E012BE"/>
    <w:rsid w:val="00E01547"/>
    <w:rsid w:val="00E14F84"/>
    <w:rsid w:val="00E16907"/>
    <w:rsid w:val="00E32058"/>
    <w:rsid w:val="00E33098"/>
    <w:rsid w:val="00E356CE"/>
    <w:rsid w:val="00E35B41"/>
    <w:rsid w:val="00E43087"/>
    <w:rsid w:val="00E546CC"/>
    <w:rsid w:val="00E61D6D"/>
    <w:rsid w:val="00E66FEB"/>
    <w:rsid w:val="00E846BF"/>
    <w:rsid w:val="00EA1A9E"/>
    <w:rsid w:val="00EE2454"/>
    <w:rsid w:val="00EF040C"/>
    <w:rsid w:val="00F07BE6"/>
    <w:rsid w:val="00F20117"/>
    <w:rsid w:val="00F215BD"/>
    <w:rsid w:val="00F23FF5"/>
    <w:rsid w:val="00F31978"/>
    <w:rsid w:val="00F35025"/>
    <w:rsid w:val="00F412B1"/>
    <w:rsid w:val="00F54DBA"/>
    <w:rsid w:val="00F5535C"/>
    <w:rsid w:val="00F55699"/>
    <w:rsid w:val="00F572EC"/>
    <w:rsid w:val="00F64856"/>
    <w:rsid w:val="00F67DFE"/>
    <w:rsid w:val="00F74957"/>
    <w:rsid w:val="00F74FF0"/>
    <w:rsid w:val="00F84806"/>
    <w:rsid w:val="00F875AC"/>
    <w:rsid w:val="00FA3A75"/>
    <w:rsid w:val="00FB06AE"/>
    <w:rsid w:val="00FB4530"/>
    <w:rsid w:val="00FB7E3C"/>
    <w:rsid w:val="00FC1A46"/>
    <w:rsid w:val="00FC1AD2"/>
    <w:rsid w:val="00FC5C65"/>
    <w:rsid w:val="00FD77B8"/>
    <w:rsid w:val="00FE11B6"/>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B1FAD2BE-797C-432A-884D-9BC42618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37</cp:revision>
  <cp:lastPrinted>2018-03-18T23:32:00Z</cp:lastPrinted>
  <dcterms:created xsi:type="dcterms:W3CDTF">2019-02-06T02:35:00Z</dcterms:created>
  <dcterms:modified xsi:type="dcterms:W3CDTF">2019-02-28T23:37:00Z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