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CB15" w14:textId="77777777" w:rsidR="00173080" w:rsidRDefault="00173080" w:rsidP="00173080">
      <w:pPr>
        <w:pStyle w:val="Header"/>
        <w:tabs>
          <w:tab w:val="clear" w:pos="2880"/>
          <w:tab w:val="clear" w:pos="4153"/>
          <w:tab w:val="clear" w:pos="8306"/>
          <w:tab w:val="left" w:pos="1848"/>
        </w:tabs>
      </w:pPr>
      <w:bookmarkStart w:id="0" w:name="_Hlk191560547"/>
      <w:bookmarkStart w:id="1" w:name="_Toc44738651"/>
      <w:r>
        <w:rPr>
          <w:noProof/>
        </w:rPr>
        <w:drawing>
          <wp:anchor distT="0" distB="0" distL="114300" distR="114300" simplePos="0" relativeHeight="251663360" behindDoc="1" locked="0" layoutInCell="1" allowOverlap="1" wp14:anchorId="6C7A7F3C" wp14:editId="32700E45">
            <wp:simplePos x="0" y="0"/>
            <wp:positionH relativeFrom="column">
              <wp:posOffset>5171</wp:posOffset>
            </wp:positionH>
            <wp:positionV relativeFrom="page">
              <wp:posOffset>810986</wp:posOffset>
            </wp:positionV>
            <wp:extent cx="864870" cy="856615"/>
            <wp:effectExtent l="0" t="0" r="0" b="635"/>
            <wp:wrapSquare wrapText="bothSides"/>
            <wp:docPr id="224193919" name="Picture 1"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2299" name="Picture 1" descr="A black circle with a white and black logo&#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2844A4FE" w14:textId="77777777" w:rsidR="00173080" w:rsidRDefault="00173080" w:rsidP="00173080">
      <w:pPr>
        <w:pStyle w:val="Header"/>
        <w:tabs>
          <w:tab w:val="clear" w:pos="2880"/>
          <w:tab w:val="clear" w:pos="4153"/>
          <w:tab w:val="clear" w:pos="8306"/>
          <w:tab w:val="left" w:pos="1848"/>
        </w:tabs>
        <w:rPr>
          <w:rFonts w:cs="Arial"/>
          <w:sz w:val="32"/>
          <w:szCs w:val="32"/>
        </w:rPr>
      </w:pPr>
      <w:r w:rsidRPr="00A63274">
        <w:rPr>
          <w:rFonts w:cs="Arial"/>
          <w:sz w:val="32"/>
          <w:szCs w:val="32"/>
        </w:rPr>
        <w:t>Australian Capital Territory Remuneration Tribunal</w:t>
      </w:r>
    </w:p>
    <w:bookmarkEnd w:id="0"/>
    <w:p w14:paraId="4CD4B1A6" w14:textId="77777777" w:rsidR="001C7C9C" w:rsidRDefault="001C7C9C" w:rsidP="009E4C67">
      <w:pPr>
        <w:pStyle w:val="Heading1"/>
        <w:keepLines/>
        <w:pageBreakBefore w:val="0"/>
        <w:pBdr>
          <w:bottom w:val="none" w:sz="0" w:space="0" w:color="auto"/>
        </w:pBdr>
        <w:spacing w:before="240"/>
        <w:rPr>
          <w:color w:val="000000" w:themeColor="text1"/>
        </w:rPr>
      </w:pPr>
    </w:p>
    <w:p w14:paraId="2CF9B364" w14:textId="14041765"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FC2703">
        <w:rPr>
          <w:color w:val="000000" w:themeColor="text1"/>
        </w:rPr>
        <w:t>4</w:t>
      </w:r>
      <w:r w:rsidR="009E65ED">
        <w:rPr>
          <w:color w:val="FF0000"/>
        </w:rPr>
        <w:t xml:space="preserve"> </w:t>
      </w:r>
      <w:r w:rsidR="00DC6C6D" w:rsidRPr="00403DB9">
        <w:rPr>
          <w:color w:val="000000" w:themeColor="text1"/>
        </w:rPr>
        <w:t xml:space="preserve">of </w:t>
      </w:r>
      <w:r w:rsidR="00440A32">
        <w:rPr>
          <w:color w:val="000000" w:themeColor="text1"/>
        </w:rPr>
        <w:t>202</w:t>
      </w:r>
      <w:r w:rsidR="00027B9B">
        <w:rPr>
          <w:color w:val="000000" w:themeColor="text1"/>
        </w:rPr>
        <w:t>6</w:t>
      </w:r>
    </w:p>
    <w:p w14:paraId="22E2F6F1" w14:textId="78284042" w:rsidR="00BD126D" w:rsidRPr="00BD126D" w:rsidRDefault="00BD126D" w:rsidP="00BD126D">
      <w:pPr>
        <w:pStyle w:val="Heading1"/>
        <w:keepLines/>
        <w:pageBreakBefore w:val="0"/>
        <w:pBdr>
          <w:bottom w:val="none" w:sz="0" w:space="0" w:color="auto"/>
        </w:pBdr>
        <w:spacing w:before="240"/>
      </w:pPr>
      <w:r>
        <w:t>Members of the ACT Legislative Assembly</w:t>
      </w:r>
    </w:p>
    <w:p w14:paraId="14CC8C96" w14:textId="77777777" w:rsidR="001C7C9C" w:rsidRPr="003B1A08" w:rsidRDefault="001C7C9C" w:rsidP="001C7C9C">
      <w:pPr>
        <w:pStyle w:val="madeunder"/>
        <w:spacing w:before="240" w:after="120"/>
      </w:pPr>
      <w:bookmarkStart w:id="2" w:name="_Hlk191560567"/>
      <w:r w:rsidRPr="003B1A08">
        <w:t xml:space="preserve">made under the </w:t>
      </w:r>
    </w:p>
    <w:p w14:paraId="063A20D3" w14:textId="5F9022D2" w:rsidR="001C7C9C" w:rsidRPr="003B1A08" w:rsidRDefault="001C7C9C" w:rsidP="001C7C9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9</w:t>
      </w:r>
      <w:r w:rsidRPr="003B1A08">
        <w:rPr>
          <w:rFonts w:ascii="Calibri" w:hAnsi="Calibri" w:cs="Arial"/>
        </w:rPr>
        <w:t xml:space="preserve"> (</w:t>
      </w:r>
      <w:r w:rsidRPr="00641CB6">
        <w:rPr>
          <w:rFonts w:ascii="Calibri" w:hAnsi="Calibri" w:cs="Arial"/>
        </w:rPr>
        <w:t xml:space="preserve">Inquiries about </w:t>
      </w:r>
      <w:r>
        <w:rPr>
          <w:rFonts w:ascii="Calibri" w:hAnsi="Calibri" w:cs="Arial"/>
        </w:rPr>
        <w:t>members of Legislative Assembly)</w:t>
      </w:r>
    </w:p>
    <w:bookmarkEnd w:id="2"/>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21BD3750" w14:textId="55BF82EE" w:rsidR="00BD126D" w:rsidRDefault="00F30A6E" w:rsidP="00F30A6E">
      <w:pPr>
        <w:spacing w:before="120" w:after="60"/>
      </w:pPr>
      <w:r w:rsidRPr="00626357">
        <w:t xml:space="preserve">Under section </w:t>
      </w:r>
      <w:r w:rsidR="001C7C9C">
        <w:t>9</w:t>
      </w:r>
      <w:r w:rsidRPr="00626357">
        <w:t xml:space="preserve">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w:t>
      </w:r>
      <w:r w:rsidR="00BD126D">
        <w:t>:</w:t>
      </w:r>
    </w:p>
    <w:p w14:paraId="3323D605" w14:textId="2CCD448D" w:rsidR="00BD126D" w:rsidRPr="00DA1FDE" w:rsidRDefault="00BD126D" w:rsidP="00BD126D">
      <w:pPr>
        <w:pStyle w:val="ListParagraph"/>
        <w:numPr>
          <w:ilvl w:val="0"/>
          <w:numId w:val="49"/>
        </w:numPr>
        <w:spacing w:before="120" w:after="60"/>
        <w:rPr>
          <w:sz w:val="24"/>
          <w:szCs w:val="24"/>
        </w:rPr>
      </w:pPr>
      <w:r w:rsidRPr="00DA1FDE">
        <w:rPr>
          <w:sz w:val="24"/>
          <w:szCs w:val="24"/>
        </w:rPr>
        <w:t xml:space="preserve">The Chief </w:t>
      </w:r>
      <w:proofErr w:type="gramStart"/>
      <w:r w:rsidRPr="00DA1FDE">
        <w:rPr>
          <w:sz w:val="24"/>
          <w:szCs w:val="24"/>
        </w:rPr>
        <w:t>Minister;</w:t>
      </w:r>
      <w:proofErr w:type="gramEnd"/>
    </w:p>
    <w:p w14:paraId="526A45BC" w14:textId="1EFF587F" w:rsidR="00BD126D" w:rsidRPr="00DA1FDE" w:rsidRDefault="00BD126D" w:rsidP="00BD126D">
      <w:pPr>
        <w:pStyle w:val="ListParagraph"/>
        <w:numPr>
          <w:ilvl w:val="0"/>
          <w:numId w:val="49"/>
        </w:numPr>
        <w:spacing w:before="120" w:after="60"/>
        <w:rPr>
          <w:sz w:val="24"/>
          <w:szCs w:val="24"/>
        </w:rPr>
      </w:pPr>
      <w:r w:rsidRPr="00DA1FDE">
        <w:rPr>
          <w:sz w:val="24"/>
          <w:szCs w:val="24"/>
        </w:rPr>
        <w:t xml:space="preserve">The Deputy Chief </w:t>
      </w:r>
      <w:proofErr w:type="gramStart"/>
      <w:r w:rsidRPr="00DA1FDE">
        <w:rPr>
          <w:sz w:val="24"/>
          <w:szCs w:val="24"/>
        </w:rPr>
        <w:t>Minister;</w:t>
      </w:r>
      <w:proofErr w:type="gramEnd"/>
    </w:p>
    <w:p w14:paraId="44F2C3CC" w14:textId="2A92A6DB" w:rsidR="00BD126D" w:rsidRPr="00DA1FDE" w:rsidRDefault="00BD126D" w:rsidP="00BD126D">
      <w:pPr>
        <w:pStyle w:val="ListParagraph"/>
        <w:numPr>
          <w:ilvl w:val="0"/>
          <w:numId w:val="49"/>
        </w:numPr>
        <w:spacing w:before="120" w:after="60"/>
        <w:rPr>
          <w:sz w:val="24"/>
          <w:szCs w:val="24"/>
        </w:rPr>
      </w:pPr>
      <w:r w:rsidRPr="00DA1FDE">
        <w:rPr>
          <w:sz w:val="24"/>
          <w:szCs w:val="24"/>
        </w:rPr>
        <w:t>Other Ministers; and</w:t>
      </w:r>
    </w:p>
    <w:p w14:paraId="5717F25A" w14:textId="00A5BD86" w:rsidR="00BD126D" w:rsidRPr="00DA1FDE" w:rsidRDefault="00BD126D" w:rsidP="00BD126D">
      <w:pPr>
        <w:pStyle w:val="ListParagraph"/>
        <w:numPr>
          <w:ilvl w:val="0"/>
          <w:numId w:val="49"/>
        </w:numPr>
        <w:spacing w:before="120" w:after="60"/>
        <w:rPr>
          <w:sz w:val="24"/>
          <w:szCs w:val="24"/>
        </w:rPr>
      </w:pPr>
      <w:r w:rsidRPr="00DA1FDE">
        <w:rPr>
          <w:sz w:val="24"/>
          <w:szCs w:val="24"/>
        </w:rPr>
        <w:t>Members of the Legislative Assembly (Members) other than Ministers, including the Presiding Officer (known as the Speaker).</w:t>
      </w:r>
    </w:p>
    <w:p w14:paraId="7164768C" w14:textId="47911AA7" w:rsidR="00BD126D" w:rsidRDefault="00BD126D" w:rsidP="00BD126D">
      <w:pPr>
        <w:spacing w:before="120" w:after="60"/>
      </w:pPr>
      <w:r>
        <w:t xml:space="preserve">Section 9 of the Act, read in conjunction with section 73 of the </w:t>
      </w:r>
      <w:r w:rsidRPr="00BD126D">
        <w:rPr>
          <w:i/>
          <w:iCs/>
        </w:rPr>
        <w:t>Australian Capital Territory (Self-Government) Act 1988 (Commonwealth)</w:t>
      </w:r>
      <w:r>
        <w:t>, requires the Tribunal to determine the salary and allowances for the:</w:t>
      </w:r>
    </w:p>
    <w:p w14:paraId="24B85C1A" w14:textId="08EA3AA8"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Leader of the </w:t>
      </w:r>
      <w:proofErr w:type="gramStart"/>
      <w:r w:rsidRPr="00DA1FDE">
        <w:rPr>
          <w:sz w:val="24"/>
          <w:szCs w:val="24"/>
        </w:rPr>
        <w:t>Opposition;</w:t>
      </w:r>
      <w:proofErr w:type="gramEnd"/>
    </w:p>
    <w:p w14:paraId="1CD8F7C1" w14:textId="76525610"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Deputy Leader of the </w:t>
      </w:r>
      <w:proofErr w:type="gramStart"/>
      <w:r w:rsidRPr="00DA1FDE">
        <w:rPr>
          <w:sz w:val="24"/>
          <w:szCs w:val="24"/>
        </w:rPr>
        <w:t>Opposition;</w:t>
      </w:r>
      <w:proofErr w:type="gramEnd"/>
    </w:p>
    <w:p w14:paraId="4FBCA2AA" w14:textId="79FC1E35"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Government </w:t>
      </w:r>
      <w:proofErr w:type="gramStart"/>
      <w:r w:rsidRPr="00DA1FDE">
        <w:rPr>
          <w:sz w:val="24"/>
          <w:szCs w:val="24"/>
        </w:rPr>
        <w:t>Whip;</w:t>
      </w:r>
      <w:proofErr w:type="gramEnd"/>
    </w:p>
    <w:p w14:paraId="581FD342" w14:textId="607C0E69"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Opposition Whip; and </w:t>
      </w:r>
    </w:p>
    <w:p w14:paraId="1241CEC1" w14:textId="28F6DF40" w:rsidR="00BD126D" w:rsidRPr="00DA1FDE" w:rsidRDefault="00BD126D" w:rsidP="00BD126D">
      <w:pPr>
        <w:pStyle w:val="ListParagraph"/>
        <w:numPr>
          <w:ilvl w:val="0"/>
          <w:numId w:val="50"/>
        </w:numPr>
        <w:spacing w:before="120" w:after="60"/>
        <w:rPr>
          <w:sz w:val="24"/>
          <w:szCs w:val="24"/>
        </w:rPr>
      </w:pPr>
      <w:r w:rsidRPr="00DA1FDE">
        <w:rPr>
          <w:sz w:val="24"/>
          <w:szCs w:val="24"/>
        </w:rPr>
        <w:t>Presiding member of a committee of the Legislative Assembly.</w:t>
      </w:r>
    </w:p>
    <w:p w14:paraId="2DDC8552" w14:textId="77777777" w:rsidR="001C7C9C" w:rsidRPr="009D2938" w:rsidRDefault="001C7C9C" w:rsidP="001C7C9C">
      <w:pPr>
        <w:spacing w:before="120" w:after="60"/>
        <w:rPr>
          <w:color w:val="000000" w:themeColor="text1"/>
        </w:rPr>
      </w:pPr>
      <w:bookmarkStart w:id="3" w:name="_Hlk191560115"/>
      <w:bookmarkStart w:id="4" w:name="_Hlk163568066"/>
      <w:bookmarkStart w:id="5" w:name="_Hlk136951829"/>
      <w:bookmarkStart w:id="6" w:name="_Hlk78802250"/>
      <w:r w:rsidRPr="009D2938">
        <w:rPr>
          <w:b/>
          <w:color w:val="000000" w:themeColor="text1"/>
        </w:rPr>
        <w:t>Considerations</w:t>
      </w:r>
    </w:p>
    <w:p w14:paraId="7FF35561" w14:textId="4986ACAC" w:rsidR="001C7C9C" w:rsidRPr="00033953" w:rsidRDefault="001C7C9C" w:rsidP="001C7C9C">
      <w:pPr>
        <w:spacing w:after="120"/>
        <w:rPr>
          <w:szCs w:val="24"/>
        </w:rPr>
      </w:pPr>
      <w:bookmarkStart w:id="7" w:name="_Hlk161732656"/>
      <w:bookmarkStart w:id="8" w:name="_Hlk191560638"/>
      <w:r w:rsidRPr="001B7AD8">
        <w:rPr>
          <w:szCs w:val="24"/>
        </w:rPr>
        <w:t xml:space="preserve">In </w:t>
      </w:r>
      <w:r w:rsidRPr="00F94104">
        <w:rPr>
          <w:szCs w:val="24"/>
        </w:rPr>
        <w:t>March 202</w:t>
      </w:r>
      <w:r w:rsidR="00027B9B" w:rsidRPr="00F94104">
        <w:rPr>
          <w:szCs w:val="24"/>
        </w:rPr>
        <w:t>6</w:t>
      </w:r>
      <w:r w:rsidRPr="001B7AD8">
        <w:rPr>
          <w:szCs w:val="24"/>
        </w:rPr>
        <w:t xml:space="preserve">, the Tribunal commenced its Autumn Sitting to consider the remuneration, allowances and other entitlements of the following </w:t>
      </w:r>
      <w:r w:rsidRPr="00033953">
        <w:rPr>
          <w:szCs w:val="24"/>
        </w:rPr>
        <w:t xml:space="preserve">officeholders: </w:t>
      </w:r>
    </w:p>
    <w:p w14:paraId="351F6C17" w14:textId="77777777" w:rsidR="001C7C9C" w:rsidRPr="00677D07" w:rsidRDefault="001C7C9C" w:rsidP="001C7C9C">
      <w:pPr>
        <w:pStyle w:val="ListParagraph"/>
        <w:numPr>
          <w:ilvl w:val="0"/>
          <w:numId w:val="48"/>
        </w:numPr>
        <w:spacing w:after="120"/>
        <w:rPr>
          <w:sz w:val="24"/>
          <w:szCs w:val="24"/>
        </w:rPr>
      </w:pPr>
      <w:r w:rsidRPr="00677D07">
        <w:rPr>
          <w:sz w:val="24"/>
          <w:szCs w:val="24"/>
        </w:rPr>
        <w:lastRenderedPageBreak/>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11827FF5" w14:textId="77777777" w:rsidR="001C7C9C" w:rsidRPr="00677D07" w:rsidRDefault="001C7C9C" w:rsidP="001C7C9C">
      <w:pPr>
        <w:pStyle w:val="ListParagraph"/>
        <w:numPr>
          <w:ilvl w:val="0"/>
          <w:numId w:val="48"/>
        </w:numPr>
        <w:spacing w:after="120"/>
        <w:rPr>
          <w:sz w:val="24"/>
          <w:szCs w:val="24"/>
        </w:rPr>
      </w:pPr>
      <w:r w:rsidRPr="00677D07">
        <w:rPr>
          <w:sz w:val="24"/>
          <w:szCs w:val="24"/>
        </w:rPr>
        <w:t>the Head of Service, Directors-General and ACT Public Service Executives;</w:t>
      </w:r>
      <w:r>
        <w:rPr>
          <w:sz w:val="24"/>
          <w:szCs w:val="24"/>
        </w:rPr>
        <w:t xml:space="preserve"> and</w:t>
      </w:r>
    </w:p>
    <w:p w14:paraId="56738610" w14:textId="77777777" w:rsidR="001C7C9C" w:rsidRPr="00677D07" w:rsidRDefault="001C7C9C" w:rsidP="001C7C9C">
      <w:pPr>
        <w:pStyle w:val="ListParagraph"/>
        <w:numPr>
          <w:ilvl w:val="0"/>
          <w:numId w:val="48"/>
        </w:numPr>
        <w:spacing w:after="120"/>
        <w:rPr>
          <w:sz w:val="24"/>
          <w:szCs w:val="24"/>
        </w:rPr>
      </w:pPr>
      <w:r w:rsidRPr="00677D07">
        <w:rPr>
          <w:sz w:val="24"/>
          <w:szCs w:val="24"/>
        </w:rPr>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475B5B9A" w14:textId="574445A0" w:rsidR="00F94104" w:rsidRPr="00F630FF" w:rsidRDefault="00F94104" w:rsidP="00F94104">
      <w:pPr>
        <w:spacing w:after="120"/>
        <w:rPr>
          <w:rFonts w:cs="Calibri"/>
          <w:szCs w:val="24"/>
        </w:rPr>
      </w:pPr>
      <w:bookmarkStart w:id="9" w:name="_Hlk193293000"/>
      <w:bookmarkEnd w:id="7"/>
      <w:bookmarkEnd w:id="3"/>
      <w:bookmarkEnd w:id="8"/>
      <w:r w:rsidRPr="00F630FF" w:rsidDel="00BB4820">
        <w:rPr>
          <w:rFonts w:cs="Calibri"/>
          <w:szCs w:val="24"/>
        </w:rPr>
        <w:t xml:space="preserve">The </w:t>
      </w:r>
      <w:r w:rsidRPr="00F630FF">
        <w:rPr>
          <w:rFonts w:cs="Calibri"/>
          <w:szCs w:val="24"/>
        </w:rPr>
        <w:t>202</w:t>
      </w:r>
      <w:r>
        <w:rPr>
          <w:rFonts w:cs="Calibri"/>
          <w:szCs w:val="24"/>
        </w:rPr>
        <w:t>6</w:t>
      </w:r>
      <w:r w:rsidRPr="00F630FF" w:rsidDel="00BB4820">
        <w:rPr>
          <w:rFonts w:cs="Calibri"/>
          <w:szCs w:val="24"/>
        </w:rPr>
        <w:t xml:space="preserve"> </w:t>
      </w:r>
      <w:r w:rsidRPr="00F630FF">
        <w:rPr>
          <w:rFonts w:cs="Calibri"/>
          <w:szCs w:val="24"/>
        </w:rPr>
        <w:t>Autumn Sitting was advertised</w:t>
      </w:r>
      <w:r w:rsidRPr="00F630FF" w:rsidDel="00BB4820">
        <w:rPr>
          <w:rFonts w:cs="Calibri"/>
          <w:szCs w:val="24"/>
        </w:rPr>
        <w:t xml:space="preserve"> on </w:t>
      </w:r>
      <w:r w:rsidRPr="00F630FF">
        <w:rPr>
          <w:rFonts w:cs="Calibri"/>
          <w:szCs w:val="24"/>
        </w:rPr>
        <w:t>the Remuneration Tribunal ACT</w:t>
      </w:r>
      <w:r w:rsidRPr="00F630FF" w:rsidDel="00BB4820">
        <w:rPr>
          <w:rFonts w:cs="Calibri"/>
          <w:szCs w:val="24"/>
        </w:rPr>
        <w:t xml:space="preserve"> website and in </w:t>
      </w:r>
      <w:r w:rsidRPr="00F630FF">
        <w:rPr>
          <w:rFonts w:cs="Calibri"/>
          <w:szCs w:val="24"/>
        </w:rPr>
        <w:t>t</w:t>
      </w:r>
      <w:r w:rsidRPr="00F630FF" w:rsidDel="00BB4820">
        <w:rPr>
          <w:rFonts w:cs="Calibri"/>
          <w:szCs w:val="24"/>
        </w:rPr>
        <w:t xml:space="preserve">he Canberra Times on </w:t>
      </w:r>
      <w:r w:rsidR="006F28A2" w:rsidRPr="006F28A2">
        <w:rPr>
          <w:rFonts w:cs="Calibri"/>
          <w:szCs w:val="24"/>
        </w:rPr>
        <w:t>14</w:t>
      </w:r>
      <w:r w:rsidRPr="006F28A2">
        <w:rPr>
          <w:rFonts w:cs="Calibri"/>
          <w:szCs w:val="24"/>
        </w:rPr>
        <w:t xml:space="preserve"> December 2025</w:t>
      </w:r>
      <w:r w:rsidRPr="00F630FF">
        <w:rPr>
          <w:rFonts w:cs="Calibri"/>
          <w:szCs w:val="24"/>
        </w:rPr>
        <w:t>.</w:t>
      </w:r>
      <w:r w:rsidRPr="00F630FF" w:rsidDel="00BB4820">
        <w:rPr>
          <w:rFonts w:cs="Calibri"/>
          <w:szCs w:val="24"/>
        </w:rPr>
        <w:t xml:space="preserve"> </w:t>
      </w:r>
      <w:r w:rsidRPr="00F630FF">
        <w:rPr>
          <w:rFonts w:cs="Calibri"/>
          <w:szCs w:val="24"/>
        </w:rPr>
        <w:t xml:space="preserve">The Tribunal also wrote to the relevant officeholders inviting submissions. </w:t>
      </w:r>
    </w:p>
    <w:bookmarkEnd w:id="9"/>
    <w:p w14:paraId="16D6069A" w14:textId="77777777" w:rsidR="00F94104" w:rsidRPr="00F630FF" w:rsidRDefault="00F94104" w:rsidP="00F94104">
      <w:pPr>
        <w:spacing w:after="120"/>
        <w:rPr>
          <w:rFonts w:cs="Calibri"/>
          <w:szCs w:val="24"/>
        </w:rPr>
      </w:pPr>
      <w:r w:rsidRPr="00F630FF">
        <w:rPr>
          <w:rFonts w:cs="Calibri"/>
          <w:szCs w:val="24"/>
        </w:rPr>
        <w:t xml:space="preserve">At its meeting in </w:t>
      </w:r>
      <w:r w:rsidRPr="00A326A9">
        <w:rPr>
          <w:rFonts w:cs="Calibri"/>
          <w:szCs w:val="24"/>
        </w:rPr>
        <w:t>March 2026</w:t>
      </w:r>
      <w:r w:rsidRPr="00F630FF">
        <w:rPr>
          <w:rFonts w:cs="Calibri"/>
          <w:szCs w:val="24"/>
        </w:rPr>
        <w:t xml:space="preserve">, the Tribunal met with the Chief Minister, ACT Government Treasury officials and officials responsible for the Enterprise Agreement bargaining for ACT Public Sector non-executive employees. The Tribunal also met with </w:t>
      </w:r>
      <w:proofErr w:type="gramStart"/>
      <w:r w:rsidRPr="00F630FF">
        <w:rPr>
          <w:rFonts w:cs="Calibri"/>
          <w:szCs w:val="24"/>
        </w:rPr>
        <w:t>a number of</w:t>
      </w:r>
      <w:proofErr w:type="gramEnd"/>
      <w:r w:rsidRPr="00F630FF">
        <w:rPr>
          <w:rFonts w:cs="Calibri"/>
          <w:szCs w:val="24"/>
        </w:rPr>
        <w:t xml:space="preserve"> full-time public officeholders and departmental officials. </w:t>
      </w:r>
    </w:p>
    <w:p w14:paraId="5E8F70F8" w14:textId="0A470652" w:rsidR="006F6444" w:rsidRPr="00DF4321" w:rsidRDefault="00FF01FC" w:rsidP="00FF01FC">
      <w:pPr>
        <w:spacing w:after="120"/>
        <w:rPr>
          <w:rFonts w:cs="Calibri"/>
          <w:szCs w:val="24"/>
        </w:rPr>
      </w:pPr>
      <w:r w:rsidRPr="00DF4321">
        <w:rPr>
          <w:rFonts w:cs="Calibri"/>
          <w:szCs w:val="24"/>
        </w:rPr>
        <w:t>The Tribunal received a briefing from the ACT Government outlining the broader national economic context and its implications for the Territory. While inflation had eased through 2025, the recent resurgence in inflation</w:t>
      </w:r>
      <w:r>
        <w:rPr>
          <w:rFonts w:cs="Calibri"/>
          <w:szCs w:val="24"/>
        </w:rPr>
        <w:t xml:space="preserve">, </w:t>
      </w:r>
      <w:r w:rsidRPr="00DF4321">
        <w:rPr>
          <w:rFonts w:cs="Calibri"/>
          <w:szCs w:val="24"/>
        </w:rPr>
        <w:t>alongside</w:t>
      </w:r>
      <w:r>
        <w:rPr>
          <w:rFonts w:cs="Calibri"/>
          <w:szCs w:val="24"/>
        </w:rPr>
        <w:t xml:space="preserve"> increasing</w:t>
      </w:r>
      <w:r w:rsidRPr="00DF4321">
        <w:rPr>
          <w:rFonts w:cs="Calibri"/>
          <w:szCs w:val="24"/>
        </w:rPr>
        <w:t xml:space="preserve"> international economic uncertainty</w:t>
      </w:r>
      <w:proofErr w:type="gramStart"/>
      <w:r>
        <w:rPr>
          <w:rFonts w:cs="Calibri"/>
          <w:szCs w:val="24"/>
        </w:rPr>
        <w:t xml:space="preserve"> and in particular</w:t>
      </w:r>
      <w:proofErr w:type="gramEnd"/>
      <w:r>
        <w:rPr>
          <w:rFonts w:cs="Calibri"/>
          <w:szCs w:val="24"/>
        </w:rPr>
        <w:t xml:space="preserve"> the recent sharp increase in the cost of fuel, are</w:t>
      </w:r>
      <w:r w:rsidRPr="00DF4321">
        <w:rPr>
          <w:rFonts w:cs="Calibri"/>
          <w:szCs w:val="24"/>
        </w:rPr>
        <w:t xml:space="preserve"> contribut</w:t>
      </w:r>
      <w:r>
        <w:rPr>
          <w:rFonts w:cs="Calibri"/>
          <w:szCs w:val="24"/>
        </w:rPr>
        <w:t>ing</w:t>
      </w:r>
      <w:r w:rsidRPr="00DF4321">
        <w:rPr>
          <w:rFonts w:cs="Calibri"/>
          <w:szCs w:val="24"/>
        </w:rPr>
        <w:t xml:space="preserve"> to </w:t>
      </w:r>
      <w:r>
        <w:rPr>
          <w:rFonts w:cs="Calibri"/>
          <w:szCs w:val="24"/>
        </w:rPr>
        <w:t>significant</w:t>
      </w:r>
      <w:r w:rsidRPr="00DF4321">
        <w:rPr>
          <w:rFonts w:cs="Calibri"/>
          <w:szCs w:val="24"/>
        </w:rPr>
        <w:t xml:space="preserve"> cost</w:t>
      </w:r>
      <w:r w:rsidRPr="00DF4321">
        <w:rPr>
          <w:rFonts w:cs="Calibri"/>
          <w:szCs w:val="24"/>
        </w:rPr>
        <w:noBreakHyphen/>
        <w:t>of</w:t>
      </w:r>
      <w:r w:rsidRPr="00DF4321">
        <w:rPr>
          <w:rFonts w:cs="Calibri"/>
          <w:szCs w:val="24"/>
        </w:rPr>
        <w:noBreakHyphen/>
        <w:t xml:space="preserve">living pressures for households. The Tribunal </w:t>
      </w:r>
      <w:r>
        <w:rPr>
          <w:rFonts w:cs="Calibri"/>
          <w:szCs w:val="24"/>
        </w:rPr>
        <w:t>recognises</w:t>
      </w:r>
      <w:r w:rsidRPr="00DF4321">
        <w:rPr>
          <w:rFonts w:cs="Calibri"/>
          <w:szCs w:val="24"/>
        </w:rPr>
        <w:t xml:space="preserve"> that these factors continue to influence expectations within the community, particularly </w:t>
      </w:r>
      <w:r>
        <w:rPr>
          <w:rFonts w:cs="Calibri"/>
          <w:szCs w:val="24"/>
        </w:rPr>
        <w:t>in the context of responsible finan</w:t>
      </w:r>
      <w:r w:rsidRPr="00DF4321">
        <w:rPr>
          <w:rFonts w:cs="Calibri"/>
          <w:szCs w:val="24"/>
        </w:rPr>
        <w:t>cial management by government.</w:t>
      </w:r>
      <w:r w:rsidR="006F6444">
        <w:rPr>
          <w:rFonts w:cs="Calibri"/>
          <w:szCs w:val="24"/>
        </w:rPr>
        <w:t xml:space="preserve"> </w:t>
      </w:r>
    </w:p>
    <w:p w14:paraId="194CEFF4" w14:textId="77777777" w:rsidR="00FF01FC" w:rsidRDefault="00FF01FC" w:rsidP="00FF01FC">
      <w:pPr>
        <w:spacing w:after="120"/>
        <w:rPr>
          <w:rFonts w:cs="Calibri"/>
          <w:szCs w:val="24"/>
        </w:rPr>
      </w:pPr>
      <w:r w:rsidRPr="00DF4321">
        <w:rPr>
          <w:rFonts w:cs="Calibri"/>
          <w:szCs w:val="24"/>
        </w:rPr>
        <w:t xml:space="preserve">The ACT Government further advised that the Territory’s fiscal environment remains challenging. Despite a resilient local economy, expenditure pressures and broader economic volatility continue to affect the Territory’s budget outlook. The Tribunal </w:t>
      </w:r>
      <w:r>
        <w:rPr>
          <w:rFonts w:cs="Calibri"/>
          <w:szCs w:val="24"/>
        </w:rPr>
        <w:t>recognises</w:t>
      </w:r>
      <w:r w:rsidRPr="00DF4321">
        <w:rPr>
          <w:rFonts w:cs="Calibri"/>
          <w:szCs w:val="24"/>
        </w:rPr>
        <w:t xml:space="preserve"> both the need for financial discipline and the importance of maintaining the competitiveness of public sector remuneration.</w:t>
      </w:r>
      <w:r>
        <w:rPr>
          <w:rFonts w:cs="Calibri"/>
          <w:szCs w:val="24"/>
        </w:rPr>
        <w:t xml:space="preserve"> </w:t>
      </w:r>
      <w:r w:rsidRPr="00DF4321">
        <w:rPr>
          <w:rFonts w:cs="Calibri"/>
          <w:szCs w:val="24"/>
        </w:rPr>
        <w:t xml:space="preserve">The Tribunal </w:t>
      </w:r>
      <w:r>
        <w:rPr>
          <w:rFonts w:cs="Calibri"/>
          <w:szCs w:val="24"/>
        </w:rPr>
        <w:t>also recognises</w:t>
      </w:r>
      <w:r w:rsidRPr="00DF4321">
        <w:rPr>
          <w:rFonts w:cs="Calibri"/>
          <w:szCs w:val="24"/>
        </w:rPr>
        <w:t xml:space="preserve"> that providing no adjustment this year</w:t>
      </w:r>
      <w:r>
        <w:rPr>
          <w:rFonts w:cs="Calibri"/>
          <w:szCs w:val="24"/>
        </w:rPr>
        <w:t xml:space="preserve"> </w:t>
      </w:r>
      <w:r w:rsidRPr="00DF4321">
        <w:rPr>
          <w:rFonts w:cs="Calibri"/>
          <w:szCs w:val="24"/>
        </w:rPr>
        <w:t>create</w:t>
      </w:r>
      <w:r>
        <w:rPr>
          <w:rFonts w:cs="Calibri"/>
          <w:szCs w:val="24"/>
        </w:rPr>
        <w:t>s</w:t>
      </w:r>
      <w:r w:rsidRPr="00DF4321">
        <w:rPr>
          <w:rFonts w:cs="Calibri"/>
          <w:szCs w:val="24"/>
        </w:rPr>
        <w:t xml:space="preserve"> compounding pressures that would require more significant correction in future determinations.</w:t>
      </w:r>
    </w:p>
    <w:p w14:paraId="0714E627" w14:textId="3A55D54A" w:rsidR="009046CE" w:rsidRDefault="009046CE" w:rsidP="00FF01FC">
      <w:pPr>
        <w:spacing w:after="120"/>
        <w:rPr>
          <w:rFonts w:cs="Calibri"/>
          <w:szCs w:val="24"/>
        </w:rPr>
      </w:pPr>
      <w:r>
        <w:rPr>
          <w:rFonts w:cs="Calibri"/>
          <w:szCs w:val="24"/>
        </w:rPr>
        <w:t>The Tribunal also considered the importance of the Territory providing competitive and equitable remuneration, allowances and other entitlements so that the Territory can continue to attract and retain high calibre individuals to represent the ACT community. In this context, the Tribunal noted the wage policies and recent remuneration determinations by its Commonwealth and State/Territory counterparts.</w:t>
      </w:r>
    </w:p>
    <w:p w14:paraId="78DFF001" w14:textId="77777777" w:rsidR="006A5362" w:rsidRPr="00922E84" w:rsidRDefault="006A5362" w:rsidP="006A5362">
      <w:pPr>
        <w:spacing w:after="120"/>
        <w:rPr>
          <w:rFonts w:asciiTheme="majorHAnsi" w:hAnsiTheme="majorHAnsi" w:cstheme="majorHAnsi"/>
          <w:szCs w:val="24"/>
        </w:rPr>
      </w:pPr>
      <w:r w:rsidRPr="00922E84">
        <w:rPr>
          <w:rFonts w:asciiTheme="majorHAnsi" w:hAnsiTheme="majorHAnsi" w:cstheme="majorHAnsi"/>
          <w:szCs w:val="24"/>
        </w:rPr>
        <w:t>The Tribunal took note of the national consumer price index in the year to March 2026 of 4.6 per cent, up from 3.7 percent in the year to February 2026</w:t>
      </w:r>
      <w:r w:rsidRPr="00922E84">
        <w:rPr>
          <w:rStyle w:val="FootnoteReference"/>
          <w:rFonts w:asciiTheme="majorHAnsi" w:hAnsiTheme="majorHAnsi" w:cstheme="majorHAnsi"/>
        </w:rPr>
        <w:footnoteReference w:id="1"/>
      </w:r>
      <w:r w:rsidRPr="00922E84">
        <w:rPr>
          <w:rFonts w:asciiTheme="majorHAnsi" w:hAnsiTheme="majorHAnsi" w:cstheme="majorHAnsi"/>
          <w:szCs w:val="24"/>
        </w:rPr>
        <w:t xml:space="preserve">. This meant the headline consumer price index was higher than the current mid-year economic and fiscal outlook released by the federal government in December 2025. The Tribunal also noted that the national trimmed mean inflation remained unchanged at 3.3 per cent. </w:t>
      </w:r>
    </w:p>
    <w:p w14:paraId="42075332" w14:textId="77777777" w:rsidR="006A5362" w:rsidRPr="005E31C6" w:rsidRDefault="006A5362" w:rsidP="006A5362">
      <w:pPr>
        <w:spacing w:after="120"/>
        <w:rPr>
          <w:rFonts w:asciiTheme="majorHAnsi" w:hAnsiTheme="majorHAnsi" w:cstheme="majorHAnsi"/>
          <w:szCs w:val="24"/>
        </w:rPr>
      </w:pPr>
      <w:r w:rsidRPr="00922E84">
        <w:rPr>
          <w:rFonts w:asciiTheme="majorHAnsi" w:hAnsiTheme="majorHAnsi" w:cstheme="majorHAnsi"/>
          <w:szCs w:val="24"/>
        </w:rPr>
        <w:lastRenderedPageBreak/>
        <w:t>The ACT’s Wage Price Index (WPI) grew 3.7 per cent in the year to the December quarter 2025, the equal second highest in Australia. In comparison, Australian WPI growth was 3.4 per cent</w:t>
      </w:r>
      <w:r w:rsidRPr="00922E84">
        <w:rPr>
          <w:rStyle w:val="FootnoteReference"/>
          <w:rFonts w:asciiTheme="majorHAnsi" w:hAnsiTheme="majorHAnsi" w:cstheme="majorHAnsi"/>
        </w:rPr>
        <w:footnoteReference w:id="2"/>
      </w:r>
      <w:r w:rsidRPr="00922E84">
        <w:rPr>
          <w:rFonts w:asciiTheme="majorHAnsi" w:hAnsiTheme="majorHAnsi" w:cstheme="majorHAnsi"/>
          <w:szCs w:val="24"/>
        </w:rPr>
        <w:t>.</w:t>
      </w:r>
      <w:r w:rsidRPr="005E31C6">
        <w:rPr>
          <w:rFonts w:asciiTheme="majorHAnsi" w:hAnsiTheme="majorHAnsi" w:cstheme="majorHAnsi"/>
          <w:szCs w:val="24"/>
        </w:rPr>
        <w:t xml:space="preserve"> </w:t>
      </w:r>
    </w:p>
    <w:p w14:paraId="1D9D9787" w14:textId="77777777" w:rsidR="00811538" w:rsidRDefault="00811538" w:rsidP="00811538">
      <w:pPr>
        <w:spacing w:after="120"/>
        <w:rPr>
          <w:rFonts w:cs="Calibri"/>
          <w:szCs w:val="24"/>
        </w:rPr>
      </w:pPr>
      <w:r>
        <w:rPr>
          <w:rFonts w:cs="Calibri"/>
          <w:szCs w:val="24"/>
        </w:rPr>
        <w:t>T</w:t>
      </w:r>
      <w:r w:rsidRPr="00DF4321">
        <w:rPr>
          <w:rFonts w:cs="Calibri"/>
          <w:szCs w:val="24"/>
        </w:rPr>
        <w:t>he Tribunal considers</w:t>
      </w:r>
      <w:r>
        <w:rPr>
          <w:rFonts w:cs="Calibri"/>
          <w:szCs w:val="24"/>
        </w:rPr>
        <w:t xml:space="preserve"> based on the </w:t>
      </w:r>
      <w:r w:rsidRPr="00070E25">
        <w:rPr>
          <w:rFonts w:cs="Calibri"/>
          <w:szCs w:val="24"/>
        </w:rPr>
        <w:t xml:space="preserve">preceding </w:t>
      </w:r>
      <w:r>
        <w:rPr>
          <w:rFonts w:cs="Calibri"/>
          <w:szCs w:val="24"/>
        </w:rPr>
        <w:t>information</w:t>
      </w:r>
      <w:r w:rsidRPr="00DF4321">
        <w:rPr>
          <w:rFonts w:cs="Calibri"/>
          <w:szCs w:val="24"/>
        </w:rPr>
        <w:t xml:space="preserve"> that a</w:t>
      </w:r>
      <w:r>
        <w:rPr>
          <w:rFonts w:cs="Calibri"/>
          <w:szCs w:val="24"/>
        </w:rPr>
        <w:t xml:space="preserve"> modest</w:t>
      </w:r>
      <w:r w:rsidRPr="00DF4321">
        <w:rPr>
          <w:rFonts w:cs="Calibri"/>
          <w:szCs w:val="24"/>
        </w:rPr>
        <w:t xml:space="preserve"> </w:t>
      </w:r>
      <w:r>
        <w:rPr>
          <w:rFonts w:cs="Calibri"/>
          <w:szCs w:val="24"/>
        </w:rPr>
        <w:t>increase of remuneration for officeholders covered by this determination</w:t>
      </w:r>
      <w:r w:rsidRPr="00DF4321">
        <w:rPr>
          <w:rFonts w:cs="Calibri"/>
          <w:szCs w:val="24"/>
        </w:rPr>
        <w:t xml:space="preserve"> is </w:t>
      </w:r>
      <w:r>
        <w:rPr>
          <w:rFonts w:cs="Calibri"/>
          <w:szCs w:val="24"/>
        </w:rPr>
        <w:t>prudent at this time.</w:t>
      </w:r>
    </w:p>
    <w:p w14:paraId="3AF0A2D5" w14:textId="0FF1B4C8" w:rsidR="002D5DBA" w:rsidRDefault="007219EF" w:rsidP="002D5DBA">
      <w:pPr>
        <w:rPr>
          <w:b/>
          <w:color w:val="000000" w:themeColor="text1"/>
          <w:szCs w:val="24"/>
        </w:rPr>
      </w:pPr>
      <w:r w:rsidRPr="000B41D2">
        <w:rPr>
          <w:rFonts w:cs="Calibri"/>
          <w:szCs w:val="24"/>
        </w:rPr>
        <w:t xml:space="preserve">The Tribunal met with the Clerk of the Legislative Assembly, </w:t>
      </w:r>
      <w:r w:rsidR="00E94CEC">
        <w:rPr>
          <w:rFonts w:cs="Calibri"/>
          <w:szCs w:val="24"/>
        </w:rPr>
        <w:t xml:space="preserve">Mr </w:t>
      </w:r>
      <w:r w:rsidRPr="000B41D2">
        <w:rPr>
          <w:rFonts w:cs="Calibri"/>
          <w:szCs w:val="24"/>
        </w:rPr>
        <w:t>Tom Duncan</w:t>
      </w:r>
      <w:r w:rsidR="00E94CEC">
        <w:rPr>
          <w:rFonts w:cs="Calibri"/>
          <w:szCs w:val="24"/>
        </w:rPr>
        <w:t>,</w:t>
      </w:r>
      <w:r w:rsidRPr="000B41D2">
        <w:rPr>
          <w:rFonts w:cs="Calibri"/>
          <w:szCs w:val="24"/>
        </w:rPr>
        <w:t xml:space="preserve"> who spoke to the </w:t>
      </w:r>
      <w:r w:rsidR="00586526">
        <w:rPr>
          <w:rFonts w:cs="Calibri"/>
          <w:szCs w:val="24"/>
        </w:rPr>
        <w:t>submission regarding the remuneration of the Presiding Officer of the Assembly (the Speaker). The Clerk noted that the Speaker currently receives a loading of 55</w:t>
      </w:r>
      <w:r w:rsidR="002669FA">
        <w:rPr>
          <w:rFonts w:cs="Calibri"/>
          <w:szCs w:val="24"/>
        </w:rPr>
        <w:t xml:space="preserve"> per cent</w:t>
      </w:r>
      <w:r w:rsidR="00586526">
        <w:rPr>
          <w:rFonts w:cs="Calibri"/>
          <w:szCs w:val="24"/>
        </w:rPr>
        <w:t xml:space="preserve"> of a </w:t>
      </w:r>
      <w:proofErr w:type="gramStart"/>
      <w:r w:rsidR="00586526">
        <w:rPr>
          <w:rFonts w:cs="Calibri"/>
          <w:szCs w:val="24"/>
        </w:rPr>
        <w:t>Member’s</w:t>
      </w:r>
      <w:proofErr w:type="gramEnd"/>
      <w:r w:rsidR="00586526">
        <w:rPr>
          <w:rFonts w:cs="Calibri"/>
          <w:szCs w:val="24"/>
        </w:rPr>
        <w:t xml:space="preserve"> salary as additional salary for performing the role of Speaker, and that the responsibilities of this role ha</w:t>
      </w:r>
      <w:r w:rsidR="007E1314">
        <w:rPr>
          <w:rFonts w:cs="Calibri"/>
          <w:szCs w:val="24"/>
        </w:rPr>
        <w:t>ve</w:t>
      </w:r>
      <w:r w:rsidR="00586526">
        <w:rPr>
          <w:rFonts w:cs="Calibri"/>
          <w:szCs w:val="24"/>
        </w:rPr>
        <w:t xml:space="preserve"> expanded by virtue of decisions taken by the Assembly in recent years. The Clerk also raised that the current ratio of additional salary is less than other small or unicameral parliaments. </w:t>
      </w:r>
      <w:bookmarkEnd w:id="4"/>
      <w:bookmarkEnd w:id="5"/>
      <w:bookmarkEnd w:id="6"/>
    </w:p>
    <w:p w14:paraId="66258DF3" w14:textId="77777777" w:rsidR="009F07FB" w:rsidRDefault="009F07FB" w:rsidP="002D5DBA">
      <w:pPr>
        <w:spacing w:before="120" w:after="120"/>
        <w:rPr>
          <w:b/>
          <w:color w:val="000000" w:themeColor="text1"/>
          <w:szCs w:val="24"/>
        </w:rPr>
      </w:pPr>
    </w:p>
    <w:p w14:paraId="10817A1A" w14:textId="5E93C626" w:rsidR="00F24D71" w:rsidRDefault="002D5DBA" w:rsidP="002D5DBA">
      <w:pPr>
        <w:spacing w:before="120" w:after="120"/>
        <w:rPr>
          <w:b/>
          <w:color w:val="000000" w:themeColor="text1"/>
          <w:szCs w:val="24"/>
        </w:rPr>
      </w:pPr>
      <w:r w:rsidRPr="00F73252">
        <w:rPr>
          <w:b/>
          <w:color w:val="000000" w:themeColor="text1"/>
          <w:szCs w:val="24"/>
        </w:rPr>
        <w:t>Decision</w:t>
      </w:r>
    </w:p>
    <w:p w14:paraId="0AB9DEA8" w14:textId="4189CC5E" w:rsidR="007219EF" w:rsidRPr="00093727" w:rsidRDefault="007219EF" w:rsidP="007219EF">
      <w:pPr>
        <w:spacing w:after="120"/>
        <w:rPr>
          <w:rFonts w:cs="Calibri"/>
          <w:szCs w:val="24"/>
          <w:u w:val="single"/>
        </w:rPr>
      </w:pPr>
      <w:r w:rsidRPr="00093727">
        <w:rPr>
          <w:rFonts w:cs="Calibri"/>
          <w:szCs w:val="24"/>
          <w:u w:val="single"/>
        </w:rPr>
        <w:t>The Presiding Officer of the ACT Legislative Assembly (the Speaker)</w:t>
      </w:r>
    </w:p>
    <w:p w14:paraId="559C2DA5" w14:textId="1B604E76" w:rsidR="002669FA" w:rsidRDefault="007219EF" w:rsidP="007219EF">
      <w:pPr>
        <w:spacing w:after="120"/>
        <w:rPr>
          <w:rFonts w:cs="Calibri"/>
          <w:szCs w:val="24"/>
        </w:rPr>
      </w:pPr>
      <w:r w:rsidRPr="002E1068">
        <w:rPr>
          <w:rFonts w:cs="Calibri"/>
          <w:szCs w:val="24"/>
        </w:rPr>
        <w:t xml:space="preserve">The Speaker </w:t>
      </w:r>
      <w:r w:rsidR="002669FA">
        <w:rPr>
          <w:rFonts w:cs="Calibri"/>
          <w:szCs w:val="24"/>
        </w:rPr>
        <w:t xml:space="preserve">of the ACT Legislative Assembly </w:t>
      </w:r>
      <w:r w:rsidRPr="002E1068">
        <w:rPr>
          <w:rFonts w:cs="Calibri"/>
          <w:szCs w:val="24"/>
        </w:rPr>
        <w:t xml:space="preserve">holds significant responsibilities, including oversight of </w:t>
      </w:r>
      <w:r w:rsidR="00827380">
        <w:rPr>
          <w:rFonts w:cs="Calibri"/>
          <w:szCs w:val="24"/>
        </w:rPr>
        <w:t>Officers of the Legislative Assembly.  Additionally, recent</w:t>
      </w:r>
      <w:r>
        <w:rPr>
          <w:rFonts w:cs="Calibri"/>
          <w:szCs w:val="24"/>
        </w:rPr>
        <w:t xml:space="preserve"> </w:t>
      </w:r>
      <w:r w:rsidR="002669FA" w:rsidRPr="000B41D2">
        <w:rPr>
          <w:rFonts w:cs="Calibri"/>
          <w:szCs w:val="24"/>
        </w:rPr>
        <w:t>Legislative changes have formalised the provision of advice through the Office of the Legislative Assembly, and the Speaker now has a dedicated cohort of staff allocated to support these expanded functions. Comparisons with equivalent jurisdictions indicate that the Speaker’s workload and scope of responsibility in the ACT have increased considerably, particularly following the expansion of the Assembly to 25 members and the establishment of eight standing committees.</w:t>
      </w:r>
    </w:p>
    <w:p w14:paraId="37DC726C" w14:textId="52E9FD1D" w:rsidR="007219EF" w:rsidRDefault="002669FA" w:rsidP="009F07FB">
      <w:pPr>
        <w:spacing w:after="120"/>
        <w:rPr>
          <w:rFonts w:cs="Calibri"/>
          <w:szCs w:val="24"/>
        </w:rPr>
      </w:pPr>
      <w:r>
        <w:rPr>
          <w:rFonts w:cs="Calibri"/>
          <w:szCs w:val="24"/>
        </w:rPr>
        <w:t xml:space="preserve">The Tribunal determines that the Speaker will receive an additional 10 per cent loading.  </w:t>
      </w:r>
    </w:p>
    <w:p w14:paraId="1AD0FD58" w14:textId="77777777" w:rsidR="009F07FB" w:rsidRPr="009F07FB" w:rsidRDefault="009F07FB" w:rsidP="009F07FB">
      <w:pPr>
        <w:spacing w:after="120"/>
        <w:rPr>
          <w:rFonts w:cs="Calibri"/>
          <w:szCs w:val="24"/>
        </w:rPr>
      </w:pPr>
    </w:p>
    <w:p w14:paraId="660F9807" w14:textId="35B42792" w:rsidR="002669FA" w:rsidRPr="000B41D2" w:rsidRDefault="002669FA" w:rsidP="002D5DBA">
      <w:pPr>
        <w:spacing w:before="120" w:after="120"/>
        <w:rPr>
          <w:bCs/>
          <w:color w:val="000000" w:themeColor="text1"/>
          <w:szCs w:val="24"/>
          <w:u w:val="single"/>
        </w:rPr>
      </w:pPr>
      <w:r w:rsidRPr="000B41D2">
        <w:rPr>
          <w:bCs/>
          <w:color w:val="000000" w:themeColor="text1"/>
          <w:szCs w:val="24"/>
          <w:u w:val="single"/>
        </w:rPr>
        <w:t>Members of the Legislative Assembly</w:t>
      </w:r>
    </w:p>
    <w:p w14:paraId="6D7329C1" w14:textId="684E44D0" w:rsidR="002D5DBA" w:rsidRPr="008A2A6E" w:rsidRDefault="002D5DBA" w:rsidP="002D5DBA">
      <w:pPr>
        <w:spacing w:after="120"/>
        <w:rPr>
          <w:color w:val="000000" w:themeColor="text1"/>
          <w:szCs w:val="24"/>
        </w:rPr>
      </w:pPr>
      <w:r w:rsidRPr="008A2A6E">
        <w:rPr>
          <w:color w:val="000000" w:themeColor="text1"/>
          <w:szCs w:val="24"/>
        </w:rPr>
        <w:t xml:space="preserve">The Tribunal determines to provide an increase of </w:t>
      </w:r>
      <w:r w:rsidR="00922E84" w:rsidRPr="008A2A6E">
        <w:rPr>
          <w:color w:val="000000" w:themeColor="text1"/>
          <w:szCs w:val="24"/>
        </w:rPr>
        <w:t>3</w:t>
      </w:r>
      <w:r w:rsidRPr="008A2A6E">
        <w:rPr>
          <w:color w:val="000000" w:themeColor="text1"/>
          <w:szCs w:val="24"/>
        </w:rPr>
        <w:t xml:space="preserve"> per cent to the base </w:t>
      </w:r>
      <w:r w:rsidRPr="008A2A6E">
        <w:rPr>
          <w:color w:val="000000" w:themeColor="text1"/>
          <w:szCs w:val="24"/>
          <w:lang w:val="x-none"/>
        </w:rPr>
        <w:t xml:space="preserve">remuneration of </w:t>
      </w:r>
      <w:r w:rsidRPr="008A2A6E">
        <w:rPr>
          <w:color w:val="000000" w:themeColor="text1"/>
          <w:szCs w:val="24"/>
        </w:rPr>
        <w:t>officeholders</w:t>
      </w:r>
      <w:r w:rsidRPr="008A2A6E">
        <w:rPr>
          <w:color w:val="000000" w:themeColor="text1"/>
          <w:szCs w:val="24"/>
          <w:lang w:val="x-none"/>
        </w:rPr>
        <w:t xml:space="preserve"> </w:t>
      </w:r>
      <w:r w:rsidRPr="008A2A6E">
        <w:rPr>
          <w:color w:val="000000" w:themeColor="text1"/>
          <w:szCs w:val="24"/>
        </w:rPr>
        <w:t>covered by this Determination</w:t>
      </w:r>
      <w:r w:rsidRPr="008A2A6E">
        <w:rPr>
          <w:color w:val="000000" w:themeColor="text1"/>
          <w:szCs w:val="24"/>
          <w:lang w:val="x-none"/>
        </w:rPr>
        <w:t xml:space="preserve">. </w:t>
      </w:r>
      <w:r w:rsidRPr="008A2A6E">
        <w:rPr>
          <w:color w:val="000000" w:themeColor="text1"/>
          <w:szCs w:val="24"/>
        </w:rPr>
        <w:t>The increase will commence on 1 July 202</w:t>
      </w:r>
      <w:r w:rsidR="00027B9B" w:rsidRPr="008A2A6E">
        <w:rPr>
          <w:color w:val="000000" w:themeColor="text1"/>
          <w:szCs w:val="24"/>
        </w:rPr>
        <w:t>6</w:t>
      </w:r>
      <w:r w:rsidRPr="008A2A6E">
        <w:rPr>
          <w:color w:val="000000" w:themeColor="text1"/>
          <w:szCs w:val="24"/>
        </w:rPr>
        <w:t>.</w:t>
      </w:r>
    </w:p>
    <w:p w14:paraId="530140FD" w14:textId="7C0DE834" w:rsidR="00F24D71" w:rsidRPr="008A2A6E" w:rsidRDefault="00F24D71" w:rsidP="002D5DBA">
      <w:pPr>
        <w:spacing w:after="120"/>
        <w:rPr>
          <w:color w:val="000000" w:themeColor="text1"/>
          <w:szCs w:val="24"/>
        </w:rPr>
      </w:pPr>
      <w:r w:rsidRPr="008A2A6E">
        <w:rPr>
          <w:color w:val="000000" w:themeColor="text1"/>
          <w:szCs w:val="24"/>
        </w:rPr>
        <w:t>the Tribunal took a decision to determine no increases to allowances and other entitlements for Members of the Legislative Assembly.</w:t>
      </w:r>
    </w:p>
    <w:p w14:paraId="3A180FB2" w14:textId="43546007" w:rsidR="002D5DBA" w:rsidRPr="006E7416" w:rsidRDefault="00922E84" w:rsidP="002D5DBA">
      <w:pPr>
        <w:tabs>
          <w:tab w:val="left" w:pos="4253"/>
          <w:tab w:val="left" w:leader="dot" w:pos="8222"/>
        </w:tabs>
        <w:jc w:val="right"/>
        <w:rPr>
          <w:color w:val="000000" w:themeColor="text1"/>
        </w:rPr>
      </w:pPr>
      <w:r w:rsidRPr="008A2A6E">
        <w:rPr>
          <w:color w:val="000000" w:themeColor="text1"/>
        </w:rPr>
        <w:t>7</w:t>
      </w:r>
      <w:r w:rsidR="00457913" w:rsidRPr="008A2A6E">
        <w:rPr>
          <w:color w:val="000000" w:themeColor="text1"/>
        </w:rPr>
        <w:t xml:space="preserve"> May</w:t>
      </w:r>
      <w:r w:rsidR="00F94104" w:rsidRPr="008A2A6E">
        <w:rPr>
          <w:color w:val="000000" w:themeColor="text1"/>
        </w:rPr>
        <w:t xml:space="preserve"> </w:t>
      </w:r>
      <w:r w:rsidR="002D5DBA" w:rsidRPr="008A2A6E">
        <w:rPr>
          <w:color w:val="000000" w:themeColor="text1"/>
        </w:rPr>
        <w:t>202</w:t>
      </w:r>
      <w:r w:rsidR="00027B9B" w:rsidRPr="008A2A6E">
        <w:rPr>
          <w:color w:val="000000" w:themeColor="text1"/>
        </w:rPr>
        <w:t>6</w:t>
      </w:r>
    </w:p>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7C695B1E" w14:textId="77777777" w:rsidR="00173080" w:rsidRDefault="00173080" w:rsidP="00173080">
      <w:pPr>
        <w:pStyle w:val="Header"/>
        <w:tabs>
          <w:tab w:val="clear" w:pos="2880"/>
          <w:tab w:val="clear" w:pos="4153"/>
          <w:tab w:val="clear" w:pos="8306"/>
          <w:tab w:val="left" w:pos="1848"/>
        </w:tabs>
      </w:pPr>
      <w:r>
        <w:rPr>
          <w:noProof/>
        </w:rPr>
        <w:lastRenderedPageBreak/>
        <w:drawing>
          <wp:anchor distT="0" distB="0" distL="114300" distR="114300" simplePos="0" relativeHeight="251665408" behindDoc="1" locked="0" layoutInCell="1" allowOverlap="1" wp14:anchorId="66AB9BEA" wp14:editId="608954D2">
            <wp:simplePos x="0" y="0"/>
            <wp:positionH relativeFrom="column">
              <wp:posOffset>5171</wp:posOffset>
            </wp:positionH>
            <wp:positionV relativeFrom="page">
              <wp:posOffset>810986</wp:posOffset>
            </wp:positionV>
            <wp:extent cx="864870" cy="856615"/>
            <wp:effectExtent l="0" t="0" r="0" b="635"/>
            <wp:wrapSquare wrapText="bothSides"/>
            <wp:docPr id="1588460466" name="Picture 1"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2299" name="Picture 1" descr="A black circle with a white and black logo&#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70D99810" w14:textId="77777777" w:rsidR="00173080" w:rsidRDefault="00173080" w:rsidP="00173080">
      <w:pPr>
        <w:pStyle w:val="Header"/>
        <w:tabs>
          <w:tab w:val="clear" w:pos="2880"/>
          <w:tab w:val="clear" w:pos="4153"/>
          <w:tab w:val="clear" w:pos="8306"/>
          <w:tab w:val="left" w:pos="1848"/>
        </w:tabs>
        <w:rPr>
          <w:rFonts w:cs="Arial"/>
          <w:sz w:val="32"/>
          <w:szCs w:val="32"/>
        </w:rPr>
      </w:pPr>
      <w:r w:rsidRPr="00A63274">
        <w:rPr>
          <w:rFonts w:cs="Arial"/>
          <w:sz w:val="32"/>
          <w:szCs w:val="32"/>
        </w:rPr>
        <w:t>Australian Capital Territory Remuneration Tribunal</w:t>
      </w:r>
    </w:p>
    <w:p w14:paraId="06DC9BCA" w14:textId="77777777" w:rsidR="001C7C9C" w:rsidRDefault="001C7C9C" w:rsidP="00204A61">
      <w:pPr>
        <w:pStyle w:val="Heading1"/>
        <w:keepLines/>
        <w:pageBreakBefore w:val="0"/>
        <w:pBdr>
          <w:bottom w:val="none" w:sz="0" w:space="0" w:color="auto"/>
        </w:pBdr>
        <w:spacing w:before="240"/>
        <w:rPr>
          <w:color w:val="000000" w:themeColor="text1"/>
        </w:rPr>
      </w:pPr>
    </w:p>
    <w:p w14:paraId="2E8B688D" w14:textId="337CEC94" w:rsidR="00204A61" w:rsidRPr="00467BA6" w:rsidRDefault="00204A61" w:rsidP="00204A61">
      <w:pPr>
        <w:pStyle w:val="Heading1"/>
        <w:keepLines/>
        <w:pageBreakBefore w:val="0"/>
        <w:pBdr>
          <w:bottom w:val="none" w:sz="0" w:space="0" w:color="auto"/>
        </w:pBdr>
        <w:spacing w:before="240"/>
        <w:rPr>
          <w:color w:val="000000" w:themeColor="text1"/>
        </w:rPr>
      </w:pPr>
      <w:r w:rsidRPr="00467BA6">
        <w:rPr>
          <w:color w:val="000000" w:themeColor="text1"/>
        </w:rPr>
        <w:t xml:space="preserve">Determination </w:t>
      </w:r>
      <w:r w:rsidR="00FC2703">
        <w:rPr>
          <w:color w:val="000000" w:themeColor="text1"/>
        </w:rPr>
        <w:t>4</w:t>
      </w:r>
      <w:r w:rsidR="007E424C" w:rsidRPr="00467BA6">
        <w:rPr>
          <w:color w:val="000000" w:themeColor="text1"/>
        </w:rPr>
        <w:t xml:space="preserve"> </w:t>
      </w:r>
      <w:r w:rsidRPr="00467BA6">
        <w:rPr>
          <w:color w:val="000000" w:themeColor="text1"/>
        </w:rPr>
        <w:t xml:space="preserve">of </w:t>
      </w:r>
      <w:r w:rsidR="007E424C" w:rsidRPr="00467BA6">
        <w:rPr>
          <w:color w:val="000000" w:themeColor="text1"/>
        </w:rPr>
        <w:t>20</w:t>
      </w:r>
      <w:r w:rsidR="004A61D9" w:rsidRPr="00467BA6">
        <w:rPr>
          <w:color w:val="000000" w:themeColor="text1"/>
        </w:rPr>
        <w:t>2</w:t>
      </w:r>
      <w:r w:rsidR="00027B9B">
        <w:rPr>
          <w:color w:val="000000" w:themeColor="text1"/>
        </w:rPr>
        <w:t>6</w:t>
      </w:r>
    </w:p>
    <w:p w14:paraId="3536AA69" w14:textId="6CA65BA2" w:rsidR="00E71B34" w:rsidRPr="00540F3A" w:rsidRDefault="002E1B57" w:rsidP="00E71B34">
      <w:pPr>
        <w:pStyle w:val="Heading1"/>
        <w:keepLines/>
        <w:pageBreakBefore w:val="0"/>
        <w:pBdr>
          <w:bottom w:val="none" w:sz="0" w:space="0" w:color="auto"/>
        </w:pBdr>
        <w:spacing w:before="240"/>
        <w:rPr>
          <w:color w:val="000000" w:themeColor="text1"/>
        </w:rPr>
      </w:pPr>
      <w:r>
        <w:rPr>
          <w:color w:val="000000" w:themeColor="text1"/>
        </w:rPr>
        <w:t>Members of the Legislative Assembly</w:t>
      </w:r>
    </w:p>
    <w:p w14:paraId="0DBD91A6" w14:textId="77777777" w:rsidR="001C7C9C" w:rsidRPr="003B1A08" w:rsidRDefault="001C7C9C" w:rsidP="001C7C9C">
      <w:pPr>
        <w:pStyle w:val="madeunder"/>
        <w:spacing w:before="120" w:after="120"/>
      </w:pPr>
      <w:bookmarkStart w:id="10" w:name="_Hlk191560186"/>
      <w:r w:rsidRPr="003B1A08">
        <w:t xml:space="preserve">made under the </w:t>
      </w:r>
    </w:p>
    <w:p w14:paraId="3C894281" w14:textId="2912089B" w:rsidR="001C7C9C" w:rsidRPr="003B1A08" w:rsidRDefault="001C7C9C" w:rsidP="001C7C9C">
      <w:pPr>
        <w:pStyle w:val="CoverActName"/>
        <w:spacing w:after="120"/>
      </w:pPr>
      <w:r w:rsidRPr="003B1A08">
        <w:rPr>
          <w:rFonts w:ascii="Calibri" w:hAnsi="Calibri" w:cs="Arial"/>
        </w:rPr>
        <w:t xml:space="preserve">Remuneration Tribunal Act 1995, section </w:t>
      </w:r>
      <w:r>
        <w:rPr>
          <w:rFonts w:ascii="Calibri" w:hAnsi="Calibri" w:cs="Arial"/>
        </w:rPr>
        <w:t>9</w:t>
      </w:r>
      <w:r w:rsidRPr="003B1A08">
        <w:rPr>
          <w:rFonts w:ascii="Calibri" w:hAnsi="Calibri" w:cs="Arial"/>
        </w:rPr>
        <w:t xml:space="preserve"> (</w:t>
      </w:r>
      <w:r w:rsidRPr="00641CB6">
        <w:rPr>
          <w:rFonts w:ascii="Calibri" w:hAnsi="Calibri" w:cs="Arial"/>
        </w:rPr>
        <w:t xml:space="preserve">Inquiries about </w:t>
      </w:r>
      <w:r>
        <w:rPr>
          <w:rFonts w:ascii="Calibri" w:hAnsi="Calibri" w:cs="Arial"/>
        </w:rPr>
        <w:t>members of Legislative Assembly)</w:t>
      </w:r>
    </w:p>
    <w:p w14:paraId="78C9275A" w14:textId="77777777" w:rsidR="001C7C9C" w:rsidRPr="003B469E" w:rsidRDefault="001C7C9C" w:rsidP="001C7C9C">
      <w:pPr>
        <w:pStyle w:val="N-line3"/>
        <w:pBdr>
          <w:top w:val="single" w:sz="12" w:space="1" w:color="auto"/>
          <w:bottom w:val="none" w:sz="0" w:space="0" w:color="auto"/>
        </w:pBdr>
        <w:rPr>
          <w:sz w:val="12"/>
          <w:szCs w:val="12"/>
        </w:rPr>
      </w:pPr>
    </w:p>
    <w:p w14:paraId="57F79564" w14:textId="77777777" w:rsidR="001C7C9C" w:rsidRPr="00366D86" w:rsidRDefault="001C7C9C" w:rsidP="001C7C9C">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502AF42B" w14:textId="39967D0C" w:rsidR="001C7C9C" w:rsidRPr="006E7416" w:rsidRDefault="001C7C9C" w:rsidP="001C7C9C">
      <w:pPr>
        <w:numPr>
          <w:ilvl w:val="1"/>
          <w:numId w:val="4"/>
        </w:numPr>
        <w:tabs>
          <w:tab w:val="clear" w:pos="720"/>
        </w:tabs>
        <w:spacing w:before="80" w:after="60"/>
        <w:ind w:left="709" w:hanging="709"/>
        <w:rPr>
          <w:color w:val="000000" w:themeColor="text1"/>
          <w:szCs w:val="24"/>
        </w:rPr>
      </w:pPr>
      <w:r w:rsidRPr="00366D86">
        <w:rPr>
          <w:color w:val="000000" w:themeColor="text1"/>
          <w:szCs w:val="24"/>
        </w:rPr>
        <w:t xml:space="preserve">This </w:t>
      </w:r>
      <w:r w:rsidRPr="006E7416">
        <w:rPr>
          <w:color w:val="000000" w:themeColor="text1"/>
          <w:szCs w:val="24"/>
        </w:rPr>
        <w:t xml:space="preserve">instrument is taken to have commenced on </w:t>
      </w:r>
      <w:r>
        <w:rPr>
          <w:color w:val="000000" w:themeColor="text1"/>
        </w:rPr>
        <w:t>1 July 202</w:t>
      </w:r>
      <w:r w:rsidR="00027B9B">
        <w:rPr>
          <w:color w:val="000000" w:themeColor="text1"/>
        </w:rPr>
        <w:t>6</w:t>
      </w:r>
      <w:r w:rsidRPr="006E7416">
        <w:rPr>
          <w:color w:val="000000" w:themeColor="text1"/>
          <w:szCs w:val="24"/>
        </w:rPr>
        <w:t>.</w:t>
      </w:r>
    </w:p>
    <w:bookmarkEnd w:id="10"/>
    <w:p w14:paraId="1B0A95BF" w14:textId="7E489207" w:rsidR="00FC56F1" w:rsidRPr="00540F3A" w:rsidRDefault="002E1B57" w:rsidP="00FC56F1">
      <w:pPr>
        <w:pStyle w:val="Heading3"/>
        <w:keepLines w:val="0"/>
        <w:tabs>
          <w:tab w:val="clear" w:pos="720"/>
        </w:tabs>
        <w:ind w:left="0" w:firstLine="0"/>
        <w:rPr>
          <w:rFonts w:cs="Arial"/>
          <w:color w:val="000000" w:themeColor="text1"/>
          <w:szCs w:val="26"/>
        </w:rPr>
      </w:pPr>
      <w:r>
        <w:rPr>
          <w:rFonts w:cs="Arial"/>
          <w:color w:val="000000" w:themeColor="text1"/>
          <w:szCs w:val="26"/>
        </w:rPr>
        <w:t>Base remuneration</w:t>
      </w:r>
    </w:p>
    <w:p w14:paraId="423F1C41" w14:textId="756752F2" w:rsidR="00FC56F1" w:rsidRPr="00901AFE" w:rsidRDefault="002E1B57" w:rsidP="00901AFE">
      <w:pPr>
        <w:pStyle w:val="ListParagraph"/>
        <w:numPr>
          <w:ilvl w:val="1"/>
          <w:numId w:val="4"/>
        </w:numPr>
        <w:spacing w:before="80" w:after="60"/>
        <w:rPr>
          <w:color w:val="000000" w:themeColor="text1"/>
          <w:sz w:val="24"/>
          <w:szCs w:val="24"/>
        </w:rPr>
      </w:pPr>
      <w:r w:rsidRPr="00901AFE">
        <w:rPr>
          <w:color w:val="000000" w:themeColor="text1"/>
          <w:sz w:val="24"/>
          <w:szCs w:val="24"/>
        </w:rPr>
        <w:t>The base remuneration for Members of the Legislative Assembly (</w:t>
      </w:r>
      <w:r w:rsidRPr="00901AFE">
        <w:rPr>
          <w:b/>
          <w:bCs/>
          <w:i/>
          <w:iCs/>
          <w:color w:val="000000" w:themeColor="text1"/>
          <w:sz w:val="24"/>
          <w:szCs w:val="24"/>
        </w:rPr>
        <w:t>Member</w:t>
      </w:r>
      <w:r w:rsidRPr="00901AFE">
        <w:rPr>
          <w:color w:val="000000" w:themeColor="text1"/>
          <w:sz w:val="24"/>
          <w:szCs w:val="24"/>
        </w:rPr>
        <w:t xml:space="preserve">) is </w:t>
      </w:r>
      <w:r w:rsidR="001968D9" w:rsidRPr="00901AFE">
        <w:rPr>
          <w:color w:val="000000" w:themeColor="text1"/>
          <w:sz w:val="24"/>
          <w:szCs w:val="24"/>
        </w:rPr>
        <w:t>$</w:t>
      </w:r>
      <w:r w:rsidR="009258DF">
        <w:rPr>
          <w:color w:val="000000" w:themeColor="text1"/>
          <w:sz w:val="24"/>
          <w:szCs w:val="24"/>
        </w:rPr>
        <w:t>198,351</w:t>
      </w:r>
      <w:r w:rsidR="001968D9" w:rsidRPr="00901AFE">
        <w:rPr>
          <w:color w:val="000000" w:themeColor="text1"/>
          <w:sz w:val="24"/>
          <w:szCs w:val="24"/>
        </w:rPr>
        <w:t xml:space="preserve"> </w:t>
      </w:r>
      <w:r w:rsidR="00401241" w:rsidRPr="00901AFE">
        <w:rPr>
          <w:color w:val="000000" w:themeColor="text1"/>
          <w:sz w:val="24"/>
          <w:szCs w:val="24"/>
        </w:rPr>
        <w:t>per annum.</w:t>
      </w:r>
    </w:p>
    <w:p w14:paraId="0A2BB54B" w14:textId="60182329" w:rsidR="00DC6C6D" w:rsidRPr="00540F3A" w:rsidRDefault="00401241" w:rsidP="00675113">
      <w:pPr>
        <w:pStyle w:val="Heading3"/>
        <w:keepLines w:val="0"/>
        <w:tabs>
          <w:tab w:val="clear" w:pos="720"/>
        </w:tabs>
        <w:rPr>
          <w:rFonts w:cs="Arial"/>
          <w:color w:val="000000" w:themeColor="text1"/>
          <w:szCs w:val="26"/>
        </w:rPr>
      </w:pPr>
      <w:r>
        <w:rPr>
          <w:rFonts w:cs="Arial"/>
          <w:color w:val="000000" w:themeColor="text1"/>
          <w:szCs w:val="26"/>
        </w:rPr>
        <w:t>Additional annual salary</w:t>
      </w:r>
    </w:p>
    <w:p w14:paraId="404DA817" w14:textId="372A71BB" w:rsidR="00401241" w:rsidRDefault="00401241" w:rsidP="001461C0">
      <w:pPr>
        <w:numPr>
          <w:ilvl w:val="1"/>
          <w:numId w:val="4"/>
        </w:numPr>
        <w:tabs>
          <w:tab w:val="clear" w:pos="720"/>
        </w:tabs>
        <w:spacing w:before="80" w:after="60"/>
        <w:ind w:left="709" w:hanging="709"/>
        <w:rPr>
          <w:color w:val="000000" w:themeColor="text1"/>
        </w:rPr>
      </w:pPr>
      <w:r>
        <w:rPr>
          <w:color w:val="000000" w:themeColor="text1"/>
        </w:rPr>
        <w:t xml:space="preserve">A person holding an office mentioned in Column 1 of Table 3.1 is entitled to the additional remuneration mentioned in Column 2 of Table 3.1. </w:t>
      </w:r>
    </w:p>
    <w:p w14:paraId="7E2B019E" w14:textId="77777777" w:rsidR="009F07FB" w:rsidRDefault="009F07FB" w:rsidP="009F07FB">
      <w:pPr>
        <w:spacing w:before="80" w:after="60"/>
        <w:ind w:left="709"/>
        <w:rPr>
          <w:color w:val="000000" w:themeColor="text1"/>
        </w:rPr>
      </w:pPr>
    </w:p>
    <w:p w14:paraId="401D5D04" w14:textId="79CF5F37" w:rsidR="00401241" w:rsidRPr="00401241" w:rsidRDefault="00401241" w:rsidP="00401241">
      <w:pPr>
        <w:spacing w:before="80" w:after="60"/>
        <w:ind w:left="709"/>
        <w:rPr>
          <w:b/>
          <w:bCs/>
          <w:color w:val="000000" w:themeColor="text1"/>
        </w:rPr>
      </w:pPr>
      <w:r w:rsidRPr="00401241">
        <w:rPr>
          <w:b/>
          <w:bCs/>
          <w:color w:val="000000" w:themeColor="text1"/>
        </w:rPr>
        <w:t>TABLE 3.1</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38"/>
        <w:gridCol w:w="1600"/>
        <w:gridCol w:w="1790"/>
      </w:tblGrid>
      <w:tr w:rsidR="00901AFE" w14:paraId="04D73F45" w14:textId="77777777" w:rsidTr="00C249AB">
        <w:trPr>
          <w:trHeight w:val="448"/>
        </w:trPr>
        <w:tc>
          <w:tcPr>
            <w:tcW w:w="2552" w:type="dxa"/>
          </w:tcPr>
          <w:p w14:paraId="1BA6D5D8" w14:textId="77777777" w:rsidR="00901AFE" w:rsidRPr="00401241" w:rsidRDefault="00901AFE" w:rsidP="00C249AB">
            <w:pPr>
              <w:rPr>
                <w:bCs/>
                <w:szCs w:val="24"/>
              </w:rPr>
            </w:pPr>
            <w:r w:rsidRPr="00401241">
              <w:rPr>
                <w:bCs/>
                <w:szCs w:val="24"/>
              </w:rPr>
              <w:t>Column 1</w:t>
            </w:r>
          </w:p>
          <w:p w14:paraId="6A667231" w14:textId="77777777" w:rsidR="00901AFE" w:rsidRPr="00EE0E41" w:rsidRDefault="00901AFE" w:rsidP="00C249AB">
            <w:pPr>
              <w:rPr>
                <w:b/>
                <w:szCs w:val="24"/>
              </w:rPr>
            </w:pPr>
            <w:r w:rsidRPr="00EE0E41">
              <w:rPr>
                <w:b/>
                <w:szCs w:val="24"/>
              </w:rPr>
              <w:t>Office</w:t>
            </w:r>
          </w:p>
        </w:tc>
        <w:tc>
          <w:tcPr>
            <w:tcW w:w="2138" w:type="dxa"/>
          </w:tcPr>
          <w:p w14:paraId="7737C0E0" w14:textId="77777777" w:rsidR="00901AFE" w:rsidRPr="00401241" w:rsidRDefault="00901AFE" w:rsidP="00C249AB">
            <w:pPr>
              <w:rPr>
                <w:bCs/>
                <w:szCs w:val="24"/>
              </w:rPr>
            </w:pPr>
            <w:r w:rsidRPr="00401241">
              <w:rPr>
                <w:bCs/>
                <w:szCs w:val="24"/>
              </w:rPr>
              <w:t>Column 2</w:t>
            </w:r>
          </w:p>
          <w:p w14:paraId="30EF53FA" w14:textId="77777777" w:rsidR="00901AFE" w:rsidRPr="00EE0E41" w:rsidRDefault="00901AFE" w:rsidP="00C249AB">
            <w:pPr>
              <w:rPr>
                <w:b/>
                <w:szCs w:val="24"/>
              </w:rPr>
            </w:pPr>
            <w:r>
              <w:rPr>
                <w:b/>
                <w:szCs w:val="24"/>
              </w:rPr>
              <w:t>Additional remuneration above the rate set out in clause 2.1</w:t>
            </w:r>
          </w:p>
        </w:tc>
        <w:tc>
          <w:tcPr>
            <w:tcW w:w="1600" w:type="dxa"/>
          </w:tcPr>
          <w:p w14:paraId="6875685F" w14:textId="77777777" w:rsidR="00901AFE" w:rsidRPr="00401241" w:rsidRDefault="00901AFE" w:rsidP="00C249AB">
            <w:pPr>
              <w:rPr>
                <w:bCs/>
                <w:szCs w:val="24"/>
              </w:rPr>
            </w:pPr>
            <w:r w:rsidRPr="00401241">
              <w:rPr>
                <w:bCs/>
                <w:szCs w:val="24"/>
              </w:rPr>
              <w:t>Column 3</w:t>
            </w:r>
          </w:p>
          <w:p w14:paraId="7B31FA72" w14:textId="77777777" w:rsidR="00901AFE" w:rsidRDefault="00901AFE" w:rsidP="00C249AB">
            <w:pPr>
              <w:rPr>
                <w:b/>
                <w:szCs w:val="24"/>
              </w:rPr>
            </w:pPr>
            <w:r>
              <w:rPr>
                <w:b/>
                <w:szCs w:val="24"/>
              </w:rPr>
              <w:t>% base remuneration</w:t>
            </w:r>
          </w:p>
        </w:tc>
        <w:tc>
          <w:tcPr>
            <w:tcW w:w="1790" w:type="dxa"/>
          </w:tcPr>
          <w:p w14:paraId="4761E3DF" w14:textId="77777777" w:rsidR="00901AFE" w:rsidRPr="00401241" w:rsidRDefault="00901AFE" w:rsidP="00C249AB">
            <w:pPr>
              <w:rPr>
                <w:bCs/>
                <w:szCs w:val="24"/>
              </w:rPr>
            </w:pPr>
            <w:r w:rsidRPr="00401241">
              <w:rPr>
                <w:bCs/>
                <w:szCs w:val="24"/>
              </w:rPr>
              <w:t>Column 4</w:t>
            </w:r>
          </w:p>
          <w:p w14:paraId="116FB09D" w14:textId="77777777" w:rsidR="00901AFE" w:rsidRDefault="00901AFE" w:rsidP="00C249AB">
            <w:pPr>
              <w:rPr>
                <w:b/>
                <w:szCs w:val="24"/>
              </w:rPr>
            </w:pPr>
            <w:r>
              <w:rPr>
                <w:b/>
                <w:szCs w:val="24"/>
              </w:rPr>
              <w:t>Total remuneration</w:t>
            </w:r>
          </w:p>
        </w:tc>
      </w:tr>
      <w:tr w:rsidR="009C04DE" w:rsidRPr="00F118CE" w14:paraId="5A76E95D" w14:textId="77777777" w:rsidTr="009C04DE">
        <w:tc>
          <w:tcPr>
            <w:tcW w:w="2552" w:type="dxa"/>
            <w:vAlign w:val="center"/>
          </w:tcPr>
          <w:p w14:paraId="50A2F170" w14:textId="77777777" w:rsidR="009C04DE" w:rsidRPr="00F118CE" w:rsidRDefault="009C04DE" w:rsidP="009C04DE">
            <w:r w:rsidRPr="00F118CE">
              <w:t>Chief Minister</w:t>
            </w:r>
          </w:p>
        </w:tc>
        <w:tc>
          <w:tcPr>
            <w:tcW w:w="2138" w:type="dxa"/>
            <w:vAlign w:val="center"/>
          </w:tcPr>
          <w:p w14:paraId="16153872" w14:textId="56FCB872"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$218,186</w:t>
            </w:r>
          </w:p>
        </w:tc>
        <w:tc>
          <w:tcPr>
            <w:tcW w:w="1600" w:type="dxa"/>
            <w:vAlign w:val="center"/>
          </w:tcPr>
          <w:p w14:paraId="47233053" w14:textId="77777777"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(110%)</w:t>
            </w:r>
          </w:p>
        </w:tc>
        <w:tc>
          <w:tcPr>
            <w:tcW w:w="1790" w:type="dxa"/>
            <w:vAlign w:val="center"/>
          </w:tcPr>
          <w:p w14:paraId="2C01C1DC" w14:textId="40AF7BB1" w:rsidR="009C04DE" w:rsidRPr="009C04DE" w:rsidRDefault="009C04DE" w:rsidP="009C04DE">
            <w:pPr>
              <w:spacing w:before="120" w:after="60"/>
              <w:jc w:val="center"/>
              <w:rPr>
                <w:rFonts w:asciiTheme="majorHAnsi" w:hAnsiTheme="majorHAnsi" w:cstheme="majorHAnsi"/>
                <w:color w:val="000000" w:themeColor="text1"/>
                <w:szCs w:val="24"/>
                <w:highlight w:val="yellow"/>
              </w:rPr>
            </w:pPr>
            <w:r w:rsidRPr="009C04DE">
              <w:rPr>
                <w:rFonts w:asciiTheme="majorHAnsi" w:hAnsiTheme="majorHAnsi" w:cstheme="majorHAnsi"/>
                <w:color w:val="000000"/>
                <w:szCs w:val="24"/>
              </w:rPr>
              <w:t>$416,538</w:t>
            </w:r>
          </w:p>
        </w:tc>
      </w:tr>
      <w:tr w:rsidR="009C04DE" w:rsidRPr="00F118CE" w14:paraId="63956244" w14:textId="77777777" w:rsidTr="009C04DE">
        <w:tc>
          <w:tcPr>
            <w:tcW w:w="2552" w:type="dxa"/>
            <w:vAlign w:val="center"/>
          </w:tcPr>
          <w:p w14:paraId="1EE389D3" w14:textId="77777777" w:rsidR="009C04DE" w:rsidRPr="00F118CE" w:rsidRDefault="009C04DE" w:rsidP="009C04DE">
            <w:r w:rsidRPr="00F118CE">
              <w:t>Deputy Chief Minister</w:t>
            </w:r>
          </w:p>
        </w:tc>
        <w:tc>
          <w:tcPr>
            <w:tcW w:w="2138" w:type="dxa"/>
            <w:vAlign w:val="center"/>
          </w:tcPr>
          <w:p w14:paraId="1A2B32DB" w14:textId="10FC6009"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$158,681</w:t>
            </w:r>
          </w:p>
        </w:tc>
        <w:tc>
          <w:tcPr>
            <w:tcW w:w="1600" w:type="dxa"/>
            <w:vAlign w:val="center"/>
          </w:tcPr>
          <w:p w14:paraId="064AAED0" w14:textId="77777777"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(80%)</w:t>
            </w:r>
          </w:p>
        </w:tc>
        <w:tc>
          <w:tcPr>
            <w:tcW w:w="1790" w:type="dxa"/>
            <w:vAlign w:val="center"/>
          </w:tcPr>
          <w:p w14:paraId="7A211E53" w14:textId="6D08ABD1" w:rsidR="009C04DE" w:rsidRPr="009C04DE" w:rsidRDefault="009C04DE" w:rsidP="009C04DE">
            <w:pPr>
              <w:spacing w:before="120" w:after="60"/>
              <w:jc w:val="center"/>
              <w:rPr>
                <w:rFonts w:asciiTheme="majorHAnsi" w:hAnsiTheme="majorHAnsi" w:cstheme="majorHAnsi"/>
                <w:color w:val="000000" w:themeColor="text1"/>
                <w:szCs w:val="24"/>
                <w:highlight w:val="yellow"/>
              </w:rPr>
            </w:pPr>
            <w:r w:rsidRPr="009C04DE">
              <w:rPr>
                <w:rFonts w:asciiTheme="majorHAnsi" w:hAnsiTheme="majorHAnsi" w:cstheme="majorHAnsi"/>
                <w:color w:val="000000"/>
                <w:szCs w:val="24"/>
              </w:rPr>
              <w:t>$357,032</w:t>
            </w:r>
          </w:p>
        </w:tc>
      </w:tr>
      <w:tr w:rsidR="009C04DE" w:rsidRPr="00F118CE" w14:paraId="6836ABC3" w14:textId="77777777" w:rsidTr="009C04DE">
        <w:tc>
          <w:tcPr>
            <w:tcW w:w="2552" w:type="dxa"/>
            <w:vAlign w:val="center"/>
          </w:tcPr>
          <w:p w14:paraId="74E7BE51" w14:textId="77777777" w:rsidR="009C04DE" w:rsidRPr="00F118CE" w:rsidRDefault="009C04DE" w:rsidP="009C04DE">
            <w:r w:rsidRPr="00F118CE">
              <w:t>Minister</w:t>
            </w:r>
          </w:p>
        </w:tc>
        <w:tc>
          <w:tcPr>
            <w:tcW w:w="2138" w:type="dxa"/>
            <w:vAlign w:val="center"/>
          </w:tcPr>
          <w:p w14:paraId="797D0DAD" w14:textId="4F1E8108"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$138,846</w:t>
            </w:r>
          </w:p>
        </w:tc>
        <w:tc>
          <w:tcPr>
            <w:tcW w:w="1600" w:type="dxa"/>
            <w:vAlign w:val="center"/>
          </w:tcPr>
          <w:p w14:paraId="4D82A78C" w14:textId="77777777"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(70%)</w:t>
            </w:r>
          </w:p>
        </w:tc>
        <w:tc>
          <w:tcPr>
            <w:tcW w:w="1790" w:type="dxa"/>
            <w:vAlign w:val="center"/>
          </w:tcPr>
          <w:p w14:paraId="28628FE2" w14:textId="23B5A423" w:rsidR="009C04DE" w:rsidRPr="009C04DE" w:rsidRDefault="009C04DE" w:rsidP="009C04DE">
            <w:pPr>
              <w:spacing w:before="120" w:after="60"/>
              <w:jc w:val="center"/>
              <w:rPr>
                <w:rFonts w:asciiTheme="majorHAnsi" w:hAnsiTheme="majorHAnsi" w:cstheme="majorHAnsi"/>
                <w:color w:val="000000" w:themeColor="text1"/>
                <w:szCs w:val="24"/>
                <w:highlight w:val="yellow"/>
              </w:rPr>
            </w:pPr>
            <w:r w:rsidRPr="009C04DE">
              <w:rPr>
                <w:rFonts w:asciiTheme="majorHAnsi" w:hAnsiTheme="majorHAnsi" w:cstheme="majorHAnsi"/>
                <w:color w:val="000000"/>
                <w:szCs w:val="24"/>
              </w:rPr>
              <w:t>$337,197</w:t>
            </w:r>
          </w:p>
        </w:tc>
      </w:tr>
      <w:tr w:rsidR="009C04DE" w:rsidRPr="00F118CE" w14:paraId="7AB41D8D" w14:textId="77777777" w:rsidTr="009C04DE">
        <w:tc>
          <w:tcPr>
            <w:tcW w:w="2552" w:type="dxa"/>
            <w:vAlign w:val="center"/>
          </w:tcPr>
          <w:p w14:paraId="14684FCE" w14:textId="77777777" w:rsidR="009C04DE" w:rsidRPr="00F118CE" w:rsidRDefault="009C04DE" w:rsidP="009C04DE">
            <w:r w:rsidRPr="00F118CE">
              <w:t xml:space="preserve">Presiding Officer </w:t>
            </w:r>
          </w:p>
        </w:tc>
        <w:tc>
          <w:tcPr>
            <w:tcW w:w="2138" w:type="dxa"/>
            <w:vAlign w:val="center"/>
          </w:tcPr>
          <w:p w14:paraId="00CA3DE6" w14:textId="68393630"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$128,928</w:t>
            </w:r>
          </w:p>
        </w:tc>
        <w:tc>
          <w:tcPr>
            <w:tcW w:w="1600" w:type="dxa"/>
            <w:vAlign w:val="center"/>
          </w:tcPr>
          <w:p w14:paraId="69B54C89" w14:textId="19C52FC9"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(65%)</w:t>
            </w:r>
          </w:p>
        </w:tc>
        <w:tc>
          <w:tcPr>
            <w:tcW w:w="1790" w:type="dxa"/>
            <w:vAlign w:val="center"/>
          </w:tcPr>
          <w:p w14:paraId="6B461582" w14:textId="1BD7B039" w:rsidR="009C04DE" w:rsidRPr="009C04DE" w:rsidRDefault="009C04DE" w:rsidP="009C04DE">
            <w:pPr>
              <w:spacing w:before="120" w:after="60"/>
              <w:jc w:val="center"/>
              <w:rPr>
                <w:rFonts w:asciiTheme="majorHAnsi" w:hAnsiTheme="majorHAnsi" w:cstheme="majorHAnsi"/>
                <w:color w:val="000000" w:themeColor="text1"/>
                <w:szCs w:val="24"/>
                <w:highlight w:val="yellow"/>
              </w:rPr>
            </w:pPr>
            <w:r w:rsidRPr="009C04DE">
              <w:rPr>
                <w:rFonts w:asciiTheme="majorHAnsi" w:hAnsiTheme="majorHAnsi" w:cstheme="majorHAnsi"/>
                <w:color w:val="000000"/>
                <w:szCs w:val="24"/>
              </w:rPr>
              <w:t>$327,280</w:t>
            </w:r>
          </w:p>
        </w:tc>
      </w:tr>
      <w:tr w:rsidR="009C04DE" w:rsidRPr="00F118CE" w14:paraId="38944324" w14:textId="77777777" w:rsidTr="009C04DE">
        <w:trPr>
          <w:trHeight w:val="480"/>
        </w:trPr>
        <w:tc>
          <w:tcPr>
            <w:tcW w:w="2552" w:type="dxa"/>
          </w:tcPr>
          <w:p w14:paraId="6ADE97D7" w14:textId="77777777" w:rsidR="009C04DE" w:rsidRPr="006F0578" w:rsidRDefault="009C04DE" w:rsidP="009C04DE">
            <w:r w:rsidRPr="00F118CE">
              <w:t>Leader of the Opposition</w:t>
            </w:r>
          </w:p>
        </w:tc>
        <w:tc>
          <w:tcPr>
            <w:tcW w:w="2138" w:type="dxa"/>
            <w:vAlign w:val="center"/>
          </w:tcPr>
          <w:p w14:paraId="7874096A" w14:textId="4757B421"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$138,846</w:t>
            </w:r>
          </w:p>
        </w:tc>
        <w:tc>
          <w:tcPr>
            <w:tcW w:w="1600" w:type="dxa"/>
            <w:vAlign w:val="center"/>
          </w:tcPr>
          <w:p w14:paraId="169A2085" w14:textId="36D2F5AB"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(70%)</w:t>
            </w:r>
          </w:p>
        </w:tc>
        <w:tc>
          <w:tcPr>
            <w:tcW w:w="1790" w:type="dxa"/>
            <w:vAlign w:val="center"/>
          </w:tcPr>
          <w:p w14:paraId="31DE4F48" w14:textId="06D90E2E" w:rsidR="009C04DE" w:rsidRPr="009C04DE" w:rsidRDefault="009C04DE" w:rsidP="009C04DE">
            <w:pPr>
              <w:spacing w:before="120" w:after="60"/>
              <w:jc w:val="center"/>
              <w:rPr>
                <w:rFonts w:asciiTheme="majorHAnsi" w:hAnsiTheme="majorHAnsi" w:cstheme="majorHAnsi"/>
                <w:color w:val="000000" w:themeColor="text1"/>
                <w:szCs w:val="24"/>
                <w:highlight w:val="yellow"/>
              </w:rPr>
            </w:pPr>
            <w:r w:rsidRPr="009C04DE">
              <w:rPr>
                <w:rFonts w:asciiTheme="majorHAnsi" w:hAnsiTheme="majorHAnsi" w:cstheme="majorHAnsi"/>
                <w:color w:val="000000"/>
                <w:szCs w:val="24"/>
              </w:rPr>
              <w:t>$337,197</w:t>
            </w:r>
          </w:p>
        </w:tc>
      </w:tr>
      <w:tr w:rsidR="009C04DE" w:rsidRPr="00F118CE" w14:paraId="1D0A97E1" w14:textId="77777777" w:rsidTr="009C04DE">
        <w:tc>
          <w:tcPr>
            <w:tcW w:w="2552" w:type="dxa"/>
          </w:tcPr>
          <w:p w14:paraId="2AE08895" w14:textId="77777777" w:rsidR="009C04DE" w:rsidRPr="00F118CE" w:rsidRDefault="009C04DE" w:rsidP="009C04DE">
            <w:r w:rsidRPr="00F118CE">
              <w:t>Deputy Leader of the Opposition</w:t>
            </w:r>
          </w:p>
        </w:tc>
        <w:tc>
          <w:tcPr>
            <w:tcW w:w="2138" w:type="dxa"/>
            <w:vAlign w:val="center"/>
          </w:tcPr>
          <w:p w14:paraId="02E48111" w14:textId="22F33BCC"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$39,670</w:t>
            </w:r>
          </w:p>
        </w:tc>
        <w:tc>
          <w:tcPr>
            <w:tcW w:w="1600" w:type="dxa"/>
            <w:vAlign w:val="center"/>
          </w:tcPr>
          <w:p w14:paraId="133820DA" w14:textId="77777777"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(20%)</w:t>
            </w:r>
          </w:p>
        </w:tc>
        <w:tc>
          <w:tcPr>
            <w:tcW w:w="1790" w:type="dxa"/>
            <w:vAlign w:val="center"/>
          </w:tcPr>
          <w:p w14:paraId="6B50FD19" w14:textId="6A7EA4E0"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$238,021</w:t>
            </w:r>
          </w:p>
        </w:tc>
      </w:tr>
      <w:tr w:rsidR="009C04DE" w:rsidRPr="00F118CE" w14:paraId="0EF22014" w14:textId="77777777" w:rsidTr="009C04DE">
        <w:tc>
          <w:tcPr>
            <w:tcW w:w="2552" w:type="dxa"/>
          </w:tcPr>
          <w:p w14:paraId="3A714684" w14:textId="77777777" w:rsidR="009C04DE" w:rsidRPr="00F118CE" w:rsidRDefault="009C04DE" w:rsidP="009C04DE">
            <w:r w:rsidRPr="00F118CE">
              <w:t>Deputy Presiding Officer</w:t>
            </w:r>
          </w:p>
        </w:tc>
        <w:tc>
          <w:tcPr>
            <w:tcW w:w="2138" w:type="dxa"/>
            <w:vAlign w:val="center"/>
          </w:tcPr>
          <w:p w14:paraId="26AAFD23" w14:textId="6EC9EE5A"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$29,753</w:t>
            </w:r>
          </w:p>
        </w:tc>
        <w:tc>
          <w:tcPr>
            <w:tcW w:w="1600" w:type="dxa"/>
            <w:vAlign w:val="center"/>
          </w:tcPr>
          <w:p w14:paraId="08BDF0A0" w14:textId="77777777"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(15%)</w:t>
            </w:r>
          </w:p>
        </w:tc>
        <w:tc>
          <w:tcPr>
            <w:tcW w:w="1790" w:type="dxa"/>
            <w:vAlign w:val="center"/>
          </w:tcPr>
          <w:p w14:paraId="79C4D37B" w14:textId="5BBAA016"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$228,104</w:t>
            </w:r>
          </w:p>
        </w:tc>
      </w:tr>
      <w:tr w:rsidR="009C04DE" w:rsidRPr="00F118CE" w14:paraId="58582295" w14:textId="77777777" w:rsidTr="009C04DE">
        <w:trPr>
          <w:trHeight w:val="625"/>
        </w:trPr>
        <w:tc>
          <w:tcPr>
            <w:tcW w:w="2552" w:type="dxa"/>
            <w:vAlign w:val="center"/>
          </w:tcPr>
          <w:p w14:paraId="79C5659F" w14:textId="77777777" w:rsidR="009C04DE" w:rsidRPr="00F118CE" w:rsidRDefault="009C04DE" w:rsidP="009C04DE">
            <w:r w:rsidRPr="00F118CE">
              <w:lastRenderedPageBreak/>
              <w:t>Government Whip</w:t>
            </w:r>
          </w:p>
        </w:tc>
        <w:tc>
          <w:tcPr>
            <w:tcW w:w="2138" w:type="dxa"/>
            <w:vAlign w:val="center"/>
          </w:tcPr>
          <w:p w14:paraId="24D8741B" w14:textId="02815573"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$19,835</w:t>
            </w:r>
          </w:p>
        </w:tc>
        <w:tc>
          <w:tcPr>
            <w:tcW w:w="1600" w:type="dxa"/>
            <w:vAlign w:val="center"/>
          </w:tcPr>
          <w:p w14:paraId="1EEB06A7" w14:textId="49CD77ED"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(10%)</w:t>
            </w:r>
          </w:p>
        </w:tc>
        <w:tc>
          <w:tcPr>
            <w:tcW w:w="1790" w:type="dxa"/>
            <w:vAlign w:val="center"/>
          </w:tcPr>
          <w:p w14:paraId="396AFC26" w14:textId="031BAEF6"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$218,186</w:t>
            </w:r>
          </w:p>
        </w:tc>
      </w:tr>
      <w:tr w:rsidR="009C04DE" w:rsidRPr="00F118CE" w14:paraId="19C4ECEB" w14:textId="77777777" w:rsidTr="009C04DE">
        <w:trPr>
          <w:trHeight w:val="625"/>
        </w:trPr>
        <w:tc>
          <w:tcPr>
            <w:tcW w:w="2552" w:type="dxa"/>
            <w:vAlign w:val="center"/>
          </w:tcPr>
          <w:p w14:paraId="483393BB" w14:textId="77777777" w:rsidR="009C04DE" w:rsidRPr="00F118CE" w:rsidRDefault="009C04DE" w:rsidP="009C04DE">
            <w:r>
              <w:t>Opposition Whip</w:t>
            </w:r>
          </w:p>
        </w:tc>
        <w:tc>
          <w:tcPr>
            <w:tcW w:w="2138" w:type="dxa"/>
            <w:vAlign w:val="center"/>
          </w:tcPr>
          <w:p w14:paraId="7DB75275" w14:textId="42085E75"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$19,835</w:t>
            </w:r>
          </w:p>
        </w:tc>
        <w:tc>
          <w:tcPr>
            <w:tcW w:w="1600" w:type="dxa"/>
            <w:vAlign w:val="center"/>
          </w:tcPr>
          <w:p w14:paraId="7CE3576C" w14:textId="593B46DA"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(10%)</w:t>
            </w:r>
          </w:p>
        </w:tc>
        <w:tc>
          <w:tcPr>
            <w:tcW w:w="1790" w:type="dxa"/>
            <w:vAlign w:val="center"/>
          </w:tcPr>
          <w:p w14:paraId="389DD36E" w14:textId="0841CF59"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$218,186</w:t>
            </w:r>
          </w:p>
        </w:tc>
      </w:tr>
      <w:tr w:rsidR="009C04DE" w:rsidRPr="00F118CE" w14:paraId="4E0722B3" w14:textId="77777777" w:rsidTr="009C04DE">
        <w:tc>
          <w:tcPr>
            <w:tcW w:w="2552" w:type="dxa"/>
          </w:tcPr>
          <w:p w14:paraId="32C1B190" w14:textId="77777777" w:rsidR="009C04DE" w:rsidRPr="00F118CE" w:rsidRDefault="009C04DE" w:rsidP="009C04DE">
            <w:r>
              <w:t>Whip in the Legislative Assembly of a registered party (other than the party to which the Chief Minister or Leader of the Opposition belongs) if at least 4 members of the Legislative Assembly are members of the party</w:t>
            </w:r>
          </w:p>
        </w:tc>
        <w:tc>
          <w:tcPr>
            <w:tcW w:w="2138" w:type="dxa"/>
            <w:vAlign w:val="center"/>
          </w:tcPr>
          <w:p w14:paraId="4BC5B203" w14:textId="1CA50C4D"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$19,835</w:t>
            </w:r>
          </w:p>
        </w:tc>
        <w:tc>
          <w:tcPr>
            <w:tcW w:w="1600" w:type="dxa"/>
            <w:vAlign w:val="center"/>
          </w:tcPr>
          <w:p w14:paraId="7A4AE89D" w14:textId="73D6C56F"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(10%)</w:t>
            </w:r>
          </w:p>
        </w:tc>
        <w:tc>
          <w:tcPr>
            <w:tcW w:w="1790" w:type="dxa"/>
            <w:vAlign w:val="center"/>
          </w:tcPr>
          <w:p w14:paraId="26CAD2D6" w14:textId="52BDAB26"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$218,186</w:t>
            </w:r>
          </w:p>
        </w:tc>
      </w:tr>
      <w:tr w:rsidR="009C04DE" w:rsidRPr="00F118CE" w14:paraId="647097D1" w14:textId="77777777" w:rsidTr="009C04DE">
        <w:tc>
          <w:tcPr>
            <w:tcW w:w="2552" w:type="dxa"/>
          </w:tcPr>
          <w:p w14:paraId="02CB0765" w14:textId="77777777" w:rsidR="009C04DE" w:rsidRPr="00F118CE" w:rsidRDefault="009C04DE" w:rsidP="009C04DE">
            <w:r w:rsidRPr="00F118CE">
              <w:t>Presiding member of a committee concerned with public affairs</w:t>
            </w:r>
            <w:r>
              <w:t xml:space="preserve"> rather than affairs of the Legislative Assembly</w:t>
            </w:r>
          </w:p>
        </w:tc>
        <w:tc>
          <w:tcPr>
            <w:tcW w:w="2138" w:type="dxa"/>
            <w:vAlign w:val="center"/>
          </w:tcPr>
          <w:p w14:paraId="41E7636A" w14:textId="5BE4AEFA"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$19,835</w:t>
            </w:r>
          </w:p>
        </w:tc>
        <w:tc>
          <w:tcPr>
            <w:tcW w:w="1600" w:type="dxa"/>
            <w:vAlign w:val="center"/>
          </w:tcPr>
          <w:p w14:paraId="64DDBC6A" w14:textId="77777777" w:rsidR="009C04DE" w:rsidRPr="005300AB" w:rsidRDefault="009C04DE" w:rsidP="009C04DE">
            <w:pPr>
              <w:jc w:val="center"/>
              <w:rPr>
                <w:rFonts w:asciiTheme="majorHAnsi" w:hAnsiTheme="majorHAnsi" w:cstheme="majorHAnsi"/>
                <w:szCs w:val="24"/>
              </w:rPr>
            </w:pPr>
            <w:r w:rsidRPr="005300AB">
              <w:rPr>
                <w:rFonts w:asciiTheme="majorHAnsi" w:hAnsiTheme="majorHAnsi" w:cstheme="majorHAnsi"/>
                <w:szCs w:val="24"/>
              </w:rPr>
              <w:t>(10%)</w:t>
            </w:r>
          </w:p>
        </w:tc>
        <w:tc>
          <w:tcPr>
            <w:tcW w:w="1790" w:type="dxa"/>
            <w:vAlign w:val="center"/>
          </w:tcPr>
          <w:p w14:paraId="2992165C" w14:textId="43E516AB" w:rsidR="009C04DE" w:rsidRPr="009C04DE" w:rsidRDefault="009C04DE" w:rsidP="009C04DE">
            <w:pPr>
              <w:jc w:val="center"/>
              <w:rPr>
                <w:rFonts w:asciiTheme="majorHAnsi" w:hAnsiTheme="majorHAnsi" w:cstheme="majorHAnsi"/>
                <w:szCs w:val="24"/>
                <w:highlight w:val="yellow"/>
              </w:rPr>
            </w:pPr>
            <w:r w:rsidRPr="009C04DE">
              <w:rPr>
                <w:rFonts w:asciiTheme="majorHAnsi" w:hAnsiTheme="majorHAnsi" w:cstheme="majorHAnsi"/>
                <w:color w:val="000000"/>
                <w:szCs w:val="24"/>
              </w:rPr>
              <w:t>$218,186</w:t>
            </w:r>
          </w:p>
        </w:tc>
      </w:tr>
    </w:tbl>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3F82D9ED" w:rsidR="0069220A" w:rsidRDefault="005E45FF" w:rsidP="0069220A">
      <w:pPr>
        <w:numPr>
          <w:ilvl w:val="1"/>
          <w:numId w:val="4"/>
        </w:numPr>
        <w:tabs>
          <w:tab w:val="clear" w:pos="720"/>
          <w:tab w:val="num" w:pos="0"/>
        </w:tabs>
        <w:spacing w:before="80" w:after="60"/>
        <w:ind w:left="709" w:hanging="709"/>
      </w:pPr>
      <w:r>
        <w:t>A Member may elect to take their base salary and/or their additional annual salary as:</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5ACE545A" w14:textId="77777777" w:rsidR="005E45FF" w:rsidRDefault="0069220A" w:rsidP="005E45FF">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rsidR="005E45FF">
        <w:t xml:space="preserve"> </w:t>
      </w:r>
      <w:r w:rsidRPr="00BF6FC8">
        <w:t>taxation laws and guidelines issued by</w:t>
      </w:r>
      <w:r>
        <w:t xml:space="preserve"> the Australian Taxation Office</w:t>
      </w:r>
      <w:r w:rsidR="005E45FF">
        <w:t>.</w:t>
      </w:r>
    </w:p>
    <w:p w14:paraId="2654BA64" w14:textId="72DB7E41" w:rsidR="0069220A" w:rsidRPr="005C2122" w:rsidRDefault="005E45FF" w:rsidP="005E45FF">
      <w:pPr>
        <w:keepNext/>
        <w:keepLines/>
        <w:numPr>
          <w:ilvl w:val="1"/>
          <w:numId w:val="4"/>
        </w:numPr>
        <w:tabs>
          <w:tab w:val="clear" w:pos="720"/>
          <w:tab w:val="num" w:pos="0"/>
        </w:tabs>
        <w:spacing w:before="80" w:after="60"/>
        <w:ind w:left="709" w:hanging="709"/>
      </w:pPr>
      <w:r>
        <w:t>U</w:t>
      </w:r>
      <w:r w:rsidR="0069220A" w:rsidRPr="005C2122">
        <w:t xml:space="preserve">p to 100% of remuneration </w:t>
      </w:r>
      <w:r>
        <w:t xml:space="preserve">can be </w:t>
      </w:r>
      <w:r w:rsidR="0069220A" w:rsidRPr="005C2122">
        <w:t xml:space="preserve">taken as benefits and related costs </w:t>
      </w:r>
      <w:r w:rsidR="0069220A">
        <w:t>such as</w:t>
      </w:r>
      <w:r w:rsidR="0069220A" w:rsidRPr="005C2122">
        <w:t xml:space="preserve"> </w:t>
      </w:r>
      <w:r w:rsidR="0069220A">
        <w:t>f</w:t>
      </w:r>
      <w:r w:rsidR="0069220A" w:rsidRPr="005C2122">
        <w:t xml:space="preserve">ringe </w:t>
      </w:r>
      <w:r w:rsidR="0069220A">
        <w:t>b</w:t>
      </w:r>
      <w:r w:rsidR="0069220A" w:rsidRPr="005C2122">
        <w:t xml:space="preserve">enefits </w:t>
      </w:r>
      <w:r w:rsidR="0069220A">
        <w:t>t</w:t>
      </w:r>
      <w:r w:rsidR="0069220A" w:rsidRPr="005C2122">
        <w:t xml:space="preserve">ax. </w:t>
      </w:r>
    </w:p>
    <w:p w14:paraId="1B7F5B0F" w14:textId="484B32E7" w:rsidR="0069220A"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rsidR="005E45FF">
        <w:t>ACT Government</w:t>
      </w:r>
      <w:r>
        <w:t xml:space="preserve">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07EC9F10" w14:textId="18BB5C70" w:rsidR="005E45FF" w:rsidRDefault="005E45FF" w:rsidP="0069220A">
      <w:pPr>
        <w:numPr>
          <w:ilvl w:val="1"/>
          <w:numId w:val="4"/>
        </w:numPr>
        <w:tabs>
          <w:tab w:val="clear" w:pos="720"/>
          <w:tab w:val="num" w:pos="0"/>
        </w:tabs>
        <w:spacing w:before="80" w:after="60"/>
        <w:ind w:left="709" w:hanging="709"/>
      </w:pPr>
      <w:r>
        <w:t>The Chief Minister may provide guidelines about the administration of this entitlement for Executive Members.</w:t>
      </w:r>
    </w:p>
    <w:p w14:paraId="2692EC92" w14:textId="4F1A9753" w:rsidR="005E45FF" w:rsidRDefault="005E45FF" w:rsidP="0069220A">
      <w:pPr>
        <w:numPr>
          <w:ilvl w:val="1"/>
          <w:numId w:val="4"/>
        </w:numPr>
        <w:tabs>
          <w:tab w:val="clear" w:pos="720"/>
          <w:tab w:val="num" w:pos="0"/>
        </w:tabs>
        <w:spacing w:before="80" w:after="60"/>
        <w:ind w:left="709" w:hanging="709"/>
      </w:pPr>
      <w:r>
        <w:t>The Presiding Officer may provide guidelines about the administration of this entitlement for non-Executive Members.</w:t>
      </w:r>
    </w:p>
    <w:p w14:paraId="314AAAB7" w14:textId="77777777" w:rsidR="0055096F" w:rsidRPr="00F853F9" w:rsidRDefault="0055096F" w:rsidP="0055096F">
      <w:pPr>
        <w:pStyle w:val="Heading3"/>
        <w:tabs>
          <w:tab w:val="clear" w:pos="720"/>
        </w:tabs>
        <w:spacing w:before="120"/>
        <w:ind w:left="709" w:hanging="709"/>
        <w:rPr>
          <w:rFonts w:cs="Arial"/>
        </w:rPr>
      </w:pPr>
      <w:r w:rsidRPr="00F853F9">
        <w:rPr>
          <w:rFonts w:cs="Arial"/>
        </w:rPr>
        <w:t>Resettlement Allowance</w:t>
      </w:r>
    </w:p>
    <w:p w14:paraId="1883F644" w14:textId="77777777" w:rsidR="0055096F" w:rsidRPr="00060754" w:rsidRDefault="0055096F" w:rsidP="0055096F">
      <w:pPr>
        <w:numPr>
          <w:ilvl w:val="1"/>
          <w:numId w:val="4"/>
        </w:numPr>
        <w:spacing w:before="120" w:after="60"/>
        <w:rPr>
          <w:color w:val="000000" w:themeColor="text1"/>
        </w:rPr>
      </w:pPr>
      <w:r w:rsidRPr="00060754">
        <w:rPr>
          <w:color w:val="000000" w:themeColor="text1"/>
        </w:rPr>
        <w:t xml:space="preserve">All Members are entitled to payment of two weeks’ salary for every completed year of service plus a pro rata payment for completed months of service since the last completed year of continuous service, capped at a maximum of twelve weeks’ salary, if they retire, resign or stand for re-election and are unsuccessful. </w:t>
      </w:r>
    </w:p>
    <w:p w14:paraId="198B42A2" w14:textId="77777777" w:rsidR="0055096F" w:rsidRPr="00060754" w:rsidRDefault="0055096F" w:rsidP="0055096F">
      <w:pPr>
        <w:numPr>
          <w:ilvl w:val="1"/>
          <w:numId w:val="4"/>
        </w:numPr>
        <w:spacing w:before="120" w:after="60"/>
        <w:rPr>
          <w:color w:val="000000" w:themeColor="text1"/>
        </w:rPr>
      </w:pPr>
      <w:r w:rsidRPr="00060754">
        <w:rPr>
          <w:color w:val="000000" w:themeColor="text1"/>
        </w:rPr>
        <w:lastRenderedPageBreak/>
        <w:t xml:space="preserve">The rate of pay of resettlement allowance will be calculated at the base rate of a </w:t>
      </w:r>
      <w:proofErr w:type="gramStart"/>
      <w:r w:rsidRPr="00060754">
        <w:rPr>
          <w:color w:val="000000" w:themeColor="text1"/>
        </w:rPr>
        <w:t>Member</w:t>
      </w:r>
      <w:proofErr w:type="gramEnd"/>
      <w:r w:rsidRPr="00060754">
        <w:rPr>
          <w:color w:val="000000" w:themeColor="text1"/>
        </w:rPr>
        <w:t>, viz., without any extra loadings for office holders.</w:t>
      </w:r>
    </w:p>
    <w:p w14:paraId="0E87EF9C" w14:textId="77777777" w:rsidR="0055096F" w:rsidRPr="00F853F9" w:rsidRDefault="0055096F" w:rsidP="0055096F">
      <w:pPr>
        <w:pStyle w:val="Heading3"/>
        <w:tabs>
          <w:tab w:val="clear" w:pos="720"/>
        </w:tabs>
        <w:spacing w:before="120"/>
        <w:ind w:left="709" w:hanging="709"/>
        <w:rPr>
          <w:rFonts w:cs="Arial"/>
        </w:rPr>
      </w:pPr>
      <w:r w:rsidRPr="00F853F9">
        <w:t>Travelling allowance—within Australia</w:t>
      </w:r>
    </w:p>
    <w:p w14:paraId="0FFFF457" w14:textId="77777777" w:rsidR="0055096F" w:rsidRPr="00F853F9" w:rsidRDefault="0055096F" w:rsidP="0055096F">
      <w:pPr>
        <w:numPr>
          <w:ilvl w:val="1"/>
          <w:numId w:val="4"/>
        </w:numPr>
        <w:tabs>
          <w:tab w:val="clear" w:pos="720"/>
        </w:tabs>
        <w:spacing w:before="120" w:after="60"/>
        <w:ind w:left="709" w:hanging="709"/>
      </w:pPr>
      <w:r w:rsidRPr="00F853F9">
        <w:t>In this clause:</w:t>
      </w:r>
    </w:p>
    <w:p w14:paraId="694D57B7" w14:textId="77777777" w:rsidR="0055096F" w:rsidRPr="00F853F9" w:rsidRDefault="0055096F" w:rsidP="0055096F">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14:paraId="572AE477" w14:textId="77777777" w:rsidR="0055096F" w:rsidRPr="00F853F9" w:rsidRDefault="0055096F" w:rsidP="0055096F">
      <w:pPr>
        <w:spacing w:before="120" w:after="60"/>
        <w:ind w:left="709"/>
      </w:pPr>
      <w:r w:rsidRPr="00F853F9">
        <w:rPr>
          <w:b/>
          <w:i/>
        </w:rPr>
        <w:t>commercial accommodation</w:t>
      </w:r>
      <w:r w:rsidRPr="00F853F9">
        <w:t xml:space="preserve"> includes a hotel, motel or serviced apartment.</w:t>
      </w:r>
    </w:p>
    <w:p w14:paraId="238B9308" w14:textId="77777777" w:rsidR="0055096F" w:rsidRPr="00F853F9" w:rsidRDefault="0055096F" w:rsidP="0055096F">
      <w:pPr>
        <w:spacing w:before="120" w:after="60"/>
        <w:ind w:left="709"/>
      </w:pPr>
      <w:r w:rsidRPr="00F853F9">
        <w:rPr>
          <w:b/>
          <w:i/>
        </w:rPr>
        <w:t xml:space="preserve">office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14:paraId="3C945FAA" w14:textId="77777777" w:rsidR="0055096F" w:rsidRPr="00F853F9" w:rsidRDefault="0055096F" w:rsidP="0055096F">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 relevant Australian Taxation Office Taxation Determination relating to reasonable travel and overtime meal allowance expense amounts for each income year, for:</w:t>
      </w:r>
    </w:p>
    <w:p w14:paraId="2326DAB8" w14:textId="77777777" w:rsidR="0055096F" w:rsidRPr="00F853F9" w:rsidRDefault="0055096F" w:rsidP="0055096F">
      <w:pPr>
        <w:numPr>
          <w:ilvl w:val="2"/>
          <w:numId w:val="4"/>
        </w:numPr>
        <w:tabs>
          <w:tab w:val="clear" w:pos="720"/>
        </w:tabs>
        <w:spacing w:before="120" w:after="60"/>
        <w:ind w:left="1134" w:hanging="436"/>
      </w:pPr>
      <w:r w:rsidRPr="00F853F9">
        <w:t>accommodation; and</w:t>
      </w:r>
    </w:p>
    <w:p w14:paraId="24A19625" w14:textId="77777777" w:rsidR="0055096F" w:rsidRPr="00F853F9" w:rsidRDefault="0055096F" w:rsidP="0055096F">
      <w:pPr>
        <w:numPr>
          <w:ilvl w:val="2"/>
          <w:numId w:val="4"/>
        </w:numPr>
        <w:tabs>
          <w:tab w:val="clear" w:pos="720"/>
        </w:tabs>
        <w:spacing w:before="120" w:after="60"/>
        <w:ind w:left="1134" w:hanging="436"/>
      </w:pPr>
      <w:r w:rsidRPr="00F853F9">
        <w:t xml:space="preserve">meals; and </w:t>
      </w:r>
    </w:p>
    <w:p w14:paraId="6609BFFD" w14:textId="77777777" w:rsidR="0055096F" w:rsidRPr="00F853F9" w:rsidRDefault="0055096F" w:rsidP="0055096F">
      <w:pPr>
        <w:numPr>
          <w:ilvl w:val="2"/>
          <w:numId w:val="4"/>
        </w:numPr>
        <w:tabs>
          <w:tab w:val="clear" w:pos="720"/>
        </w:tabs>
        <w:spacing w:before="120" w:after="60"/>
        <w:ind w:left="1134" w:hanging="436"/>
      </w:pPr>
      <w:r w:rsidRPr="00F853F9">
        <w:t xml:space="preserve">incidental expenses.  </w:t>
      </w:r>
    </w:p>
    <w:p w14:paraId="1F172FBE" w14:textId="77777777" w:rsidR="0055096F" w:rsidRPr="00F853F9" w:rsidRDefault="0055096F" w:rsidP="0055096F">
      <w:pPr>
        <w:numPr>
          <w:ilvl w:val="1"/>
          <w:numId w:val="4"/>
        </w:numPr>
        <w:tabs>
          <w:tab w:val="clear" w:pos="720"/>
        </w:tabs>
        <w:spacing w:before="120" w:after="60"/>
        <w:ind w:left="709" w:hanging="709"/>
      </w:pPr>
      <w:r w:rsidRPr="00F853F9">
        <w:t xml:space="preserve">Travelling allowance is payable if a </w:t>
      </w:r>
      <w:proofErr w:type="gramStart"/>
      <w:r w:rsidRPr="00F853F9">
        <w:t>Member</w:t>
      </w:r>
      <w:proofErr w:type="gramEnd"/>
      <w:r w:rsidRPr="00F853F9">
        <w:t xml:space="preserve"> must stay overnight:</w:t>
      </w:r>
    </w:p>
    <w:p w14:paraId="578F55E7" w14:textId="77777777" w:rsidR="0055096F" w:rsidRPr="00F853F9" w:rsidRDefault="0055096F" w:rsidP="0055096F">
      <w:pPr>
        <w:numPr>
          <w:ilvl w:val="2"/>
          <w:numId w:val="4"/>
        </w:numPr>
        <w:tabs>
          <w:tab w:val="clear" w:pos="720"/>
        </w:tabs>
        <w:spacing w:before="120" w:after="60"/>
        <w:ind w:left="1134" w:hanging="436"/>
      </w:pPr>
      <w:r w:rsidRPr="00F853F9">
        <w:t>on Assembly business; or</w:t>
      </w:r>
    </w:p>
    <w:p w14:paraId="30DF5C81" w14:textId="77777777" w:rsidR="0055096F" w:rsidRPr="00F853F9" w:rsidRDefault="0055096F" w:rsidP="0055096F">
      <w:pPr>
        <w:numPr>
          <w:ilvl w:val="2"/>
          <w:numId w:val="4"/>
        </w:numPr>
        <w:tabs>
          <w:tab w:val="clear" w:pos="720"/>
        </w:tabs>
        <w:spacing w:before="120" w:after="60"/>
        <w:ind w:left="1134" w:hanging="436"/>
      </w:pPr>
      <w:r w:rsidRPr="00F853F9">
        <w:t>for an office holder — on official business as an office holder; or</w:t>
      </w:r>
    </w:p>
    <w:p w14:paraId="03EC95B0" w14:textId="77777777" w:rsidR="0055096F" w:rsidRPr="00F853F9" w:rsidRDefault="0055096F" w:rsidP="0055096F">
      <w:pPr>
        <w:numPr>
          <w:ilvl w:val="2"/>
          <w:numId w:val="4"/>
        </w:numPr>
        <w:tabs>
          <w:tab w:val="clear" w:pos="720"/>
        </w:tabs>
        <w:spacing w:before="120" w:after="60"/>
        <w:ind w:left="1134" w:hanging="436"/>
      </w:pPr>
      <w:r w:rsidRPr="00F853F9">
        <w:t xml:space="preserve">for a </w:t>
      </w:r>
      <w:proofErr w:type="gramStart"/>
      <w:r w:rsidRPr="00F853F9">
        <w:t>Me</w:t>
      </w:r>
      <w:r w:rsidRPr="00F853F9">
        <w:rPr>
          <w:iCs/>
        </w:rPr>
        <w:t>mber</w:t>
      </w:r>
      <w:proofErr w:type="gramEnd"/>
      <w:r w:rsidRPr="00F853F9">
        <w:rPr>
          <w:iCs/>
        </w:rPr>
        <w:t xml:space="preserve"> other than an office holder </w:t>
      </w:r>
      <w:r w:rsidRPr="00F853F9">
        <w:rPr>
          <w:bCs/>
        </w:rPr>
        <w:t xml:space="preserve">— </w:t>
      </w:r>
      <w:r w:rsidRPr="00F853F9">
        <w:rPr>
          <w:iCs/>
        </w:rPr>
        <w:t>on official business on behalf of an office holder.</w:t>
      </w:r>
    </w:p>
    <w:p w14:paraId="263725BB" w14:textId="77777777" w:rsidR="0055096F" w:rsidRPr="00F853F9" w:rsidRDefault="0055096F" w:rsidP="0055096F">
      <w:pPr>
        <w:numPr>
          <w:ilvl w:val="1"/>
          <w:numId w:val="4"/>
        </w:numPr>
        <w:spacing w:before="120" w:after="60"/>
      </w:pPr>
      <w:r w:rsidRPr="00F853F9">
        <w:rPr>
          <w:iCs/>
        </w:rPr>
        <w:t xml:space="preserve">Travelling allowance is not payable for travel for party political purposes. </w:t>
      </w:r>
    </w:p>
    <w:p w14:paraId="2CAF3187" w14:textId="77777777" w:rsidR="0055096F" w:rsidRPr="00F853F9" w:rsidRDefault="0055096F" w:rsidP="0055096F">
      <w:pPr>
        <w:numPr>
          <w:ilvl w:val="1"/>
          <w:numId w:val="4"/>
        </w:numPr>
        <w:tabs>
          <w:tab w:val="clear" w:pos="720"/>
        </w:tabs>
        <w:spacing w:before="120" w:after="60"/>
        <w:ind w:left="709" w:hanging="709"/>
      </w:pPr>
      <w:r w:rsidRPr="00F853F9">
        <w:t xml:space="preserve">An office holder or a </w:t>
      </w:r>
      <w:proofErr w:type="gramStart"/>
      <w:r w:rsidRPr="00F853F9">
        <w:t>Member</w:t>
      </w:r>
      <w:proofErr w:type="gramEnd"/>
      <w:r w:rsidRPr="00F853F9">
        <w:t xml:space="preserve">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580BE387" w14:textId="77777777" w:rsidR="0055096F" w:rsidRPr="00F853F9" w:rsidRDefault="0055096F" w:rsidP="0055096F">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14:paraId="5B24A9ED" w14:textId="77777777" w:rsidR="0055096F" w:rsidRPr="00F853F9" w:rsidRDefault="0055096F" w:rsidP="0055096F">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2897DAEA" w14:textId="77777777" w:rsidR="0055096F" w:rsidRPr="00F853F9" w:rsidRDefault="0055096F" w:rsidP="0055096F">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64B61979" w14:textId="77777777" w:rsidR="0055096F" w:rsidRPr="00F853F9" w:rsidRDefault="0055096F" w:rsidP="0055096F">
      <w:pPr>
        <w:numPr>
          <w:ilvl w:val="2"/>
          <w:numId w:val="4"/>
        </w:numPr>
        <w:tabs>
          <w:tab w:val="clear" w:pos="720"/>
        </w:tabs>
        <w:spacing w:before="120" w:after="60"/>
        <w:ind w:left="1134" w:hanging="436"/>
      </w:pPr>
      <w:r w:rsidRPr="00F853F9">
        <w:t>there are exceptional circumstances.</w:t>
      </w:r>
    </w:p>
    <w:p w14:paraId="38FC2853" w14:textId="77777777" w:rsidR="0055096F" w:rsidRPr="00F853F9" w:rsidRDefault="0055096F" w:rsidP="0055096F">
      <w:pPr>
        <w:numPr>
          <w:ilvl w:val="1"/>
          <w:numId w:val="4"/>
        </w:numPr>
        <w:tabs>
          <w:tab w:val="clear" w:pos="720"/>
        </w:tabs>
        <w:spacing w:before="120" w:after="60"/>
        <w:ind w:left="709" w:hanging="709"/>
      </w:pPr>
      <w:r w:rsidRPr="00F853F9">
        <w:lastRenderedPageBreak/>
        <w:t xml:space="preserve">If a </w:t>
      </w:r>
      <w:proofErr w:type="gramStart"/>
      <w:r w:rsidRPr="00F853F9">
        <w:t>Member</w:t>
      </w:r>
      <w:proofErr w:type="gramEnd"/>
      <w:r w:rsidRPr="00F853F9">
        <w:t xml:space="preserve">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CA3CB2C" w14:textId="77777777" w:rsidR="0055096F" w:rsidRPr="00F853F9" w:rsidRDefault="0055096F" w:rsidP="0055096F">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14:paraId="72B63AB6" w14:textId="77777777" w:rsidR="0055096F" w:rsidRPr="00F853F9" w:rsidRDefault="0055096F" w:rsidP="0055096F">
      <w:pPr>
        <w:keepNext/>
        <w:numPr>
          <w:ilvl w:val="1"/>
          <w:numId w:val="4"/>
        </w:numPr>
        <w:tabs>
          <w:tab w:val="clear" w:pos="720"/>
        </w:tabs>
        <w:spacing w:before="120" w:after="60"/>
        <w:ind w:left="709" w:hanging="709"/>
        <w:rPr>
          <w:bCs/>
        </w:rPr>
      </w:pPr>
      <w:r w:rsidRPr="00F853F9">
        <w:t>A Member who travels overseas on office holder or Assembly business may:</w:t>
      </w:r>
    </w:p>
    <w:p w14:paraId="53F74F41" w14:textId="77777777" w:rsidR="0055096F" w:rsidRPr="00F853F9" w:rsidRDefault="0055096F" w:rsidP="0055096F">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w:t>
      </w:r>
      <w:proofErr w:type="gramStart"/>
      <w:r w:rsidRPr="00F853F9">
        <w:t>Determination;</w:t>
      </w:r>
      <w:proofErr w:type="gramEnd"/>
      <w:r w:rsidRPr="00F853F9">
        <w:t xml:space="preserve"> </w:t>
      </w:r>
    </w:p>
    <w:p w14:paraId="51A84342" w14:textId="77777777" w:rsidR="0055096F" w:rsidRPr="00F853F9" w:rsidRDefault="0055096F" w:rsidP="0055096F">
      <w:pPr>
        <w:numPr>
          <w:ilvl w:val="2"/>
          <w:numId w:val="4"/>
        </w:numPr>
        <w:tabs>
          <w:tab w:val="clear" w:pos="720"/>
        </w:tabs>
        <w:spacing w:before="120" w:after="60"/>
        <w:ind w:left="1134" w:hanging="436"/>
      </w:pPr>
      <w:r w:rsidRPr="00F853F9">
        <w:t>be provided with a per diem allowance for meals and incidentals as set out in the relevant Australian Taxation Office Taxation Determination; and</w:t>
      </w:r>
    </w:p>
    <w:p w14:paraId="3F29223A" w14:textId="77777777" w:rsidR="0055096F" w:rsidRPr="00F853F9" w:rsidRDefault="0055096F" w:rsidP="0055096F">
      <w:pPr>
        <w:numPr>
          <w:ilvl w:val="2"/>
          <w:numId w:val="4"/>
        </w:numPr>
        <w:tabs>
          <w:tab w:val="clear" w:pos="720"/>
        </w:tabs>
        <w:spacing w:before="120" w:after="60"/>
        <w:ind w:left="1134" w:hanging="436"/>
      </w:pPr>
      <w:r w:rsidRPr="00F853F9">
        <w:t xml:space="preserve">be provided a cash advance for anticipated costs for accommodation </w:t>
      </w:r>
      <w:proofErr w:type="gramStart"/>
      <w:r w:rsidRPr="00F853F9">
        <w:t>and  travel</w:t>
      </w:r>
      <w:proofErr w:type="gramEnd"/>
      <w:r w:rsidRPr="00F853F9">
        <w:t xml:space="preserve"> costs which must be acquitted within eight weeks of returning to Canberra.</w:t>
      </w:r>
    </w:p>
    <w:p w14:paraId="2812F073" w14:textId="77777777" w:rsidR="0055096F" w:rsidRPr="00F853F9" w:rsidRDefault="0055096F" w:rsidP="0055096F">
      <w:pPr>
        <w:pStyle w:val="Heading3"/>
        <w:tabs>
          <w:tab w:val="clear" w:pos="720"/>
        </w:tabs>
        <w:spacing w:before="120"/>
        <w:ind w:left="709" w:hanging="709"/>
      </w:pPr>
      <w:r w:rsidRPr="00F853F9">
        <w:t>Class of air travel</w:t>
      </w:r>
    </w:p>
    <w:p w14:paraId="799F3C66" w14:textId="77777777" w:rsidR="0055096F" w:rsidRPr="00F853F9" w:rsidRDefault="0055096F" w:rsidP="0055096F">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6CDCFFFA" w14:textId="77777777" w:rsidR="0055096F" w:rsidRPr="00F853F9" w:rsidRDefault="0055096F" w:rsidP="0055096F">
      <w:pPr>
        <w:numPr>
          <w:ilvl w:val="1"/>
          <w:numId w:val="4"/>
        </w:numPr>
        <w:tabs>
          <w:tab w:val="clear" w:pos="720"/>
        </w:tabs>
        <w:spacing w:before="120" w:after="60"/>
        <w:ind w:left="709" w:hanging="709"/>
      </w:pPr>
      <w:r w:rsidRPr="00F853F9">
        <w:t>Members are provided with one airline lounge membership of their choice.</w:t>
      </w:r>
    </w:p>
    <w:p w14:paraId="7554FB73"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all travel entitlements for Executive Members contained in this Determination.</w:t>
      </w:r>
    </w:p>
    <w:p w14:paraId="583F5EB1" w14:textId="77777777" w:rsidR="0055096F" w:rsidRPr="00F853F9" w:rsidRDefault="0055096F" w:rsidP="0055096F">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12208625" w14:textId="77777777" w:rsidR="0055096F" w:rsidRPr="00F853F9" w:rsidRDefault="0055096F" w:rsidP="0055096F">
      <w:pPr>
        <w:pStyle w:val="Heading3"/>
        <w:tabs>
          <w:tab w:val="clear" w:pos="720"/>
        </w:tabs>
        <w:spacing w:before="120"/>
        <w:ind w:left="709" w:hanging="709"/>
      </w:pPr>
      <w:r w:rsidRPr="00F853F9">
        <w:t>Incidental travel in conjunction with Official travel</w:t>
      </w:r>
    </w:p>
    <w:p w14:paraId="04C6E4C1" w14:textId="77777777" w:rsidR="0055096F" w:rsidRPr="00F853F9" w:rsidRDefault="0055096F" w:rsidP="0055096F">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5D427323" w14:textId="77777777" w:rsidR="0055096F" w:rsidRPr="00F853F9" w:rsidRDefault="0055096F" w:rsidP="0055096F">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14:paraId="5947FA4D"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395A4E17" w14:textId="77777777" w:rsidR="0055096F" w:rsidRPr="00F853F9" w:rsidRDefault="0055096F" w:rsidP="0055096F">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14:paraId="58729455" w14:textId="77777777" w:rsidR="0055096F" w:rsidRPr="00F853F9" w:rsidRDefault="0055096F" w:rsidP="0055096F">
      <w:pPr>
        <w:pStyle w:val="Heading3"/>
        <w:tabs>
          <w:tab w:val="clear" w:pos="720"/>
        </w:tabs>
        <w:spacing w:before="120"/>
        <w:ind w:left="709" w:hanging="709"/>
      </w:pPr>
      <w:r w:rsidRPr="00F853F9">
        <w:t xml:space="preserve">Motor vehicle </w:t>
      </w:r>
    </w:p>
    <w:p w14:paraId="3EB161C3" w14:textId="77777777" w:rsidR="0055096F" w:rsidRPr="00F853F9" w:rsidRDefault="0055096F" w:rsidP="0055096F">
      <w:pPr>
        <w:numPr>
          <w:ilvl w:val="1"/>
          <w:numId w:val="4"/>
        </w:numPr>
        <w:tabs>
          <w:tab w:val="clear" w:pos="720"/>
        </w:tabs>
        <w:spacing w:before="120" w:after="60"/>
        <w:ind w:left="709" w:hanging="709"/>
      </w:pPr>
      <w:r w:rsidRPr="00F853F9">
        <w:t>All Members are entitled to:</w:t>
      </w:r>
    </w:p>
    <w:p w14:paraId="36004A5C" w14:textId="77777777" w:rsidR="0055096F" w:rsidRPr="000D0DBD" w:rsidRDefault="0055096F" w:rsidP="0055096F">
      <w:pPr>
        <w:numPr>
          <w:ilvl w:val="2"/>
          <w:numId w:val="4"/>
        </w:numPr>
        <w:tabs>
          <w:tab w:val="clear" w:pos="720"/>
        </w:tabs>
        <w:spacing w:before="120" w:after="60"/>
        <w:ind w:left="1134" w:hanging="436"/>
      </w:pPr>
      <w:r w:rsidRPr="000D0DBD">
        <w:t>an allowance of $25,500 per annum (a privately plated motor vehicle will no longer be offered as an option); and</w:t>
      </w:r>
    </w:p>
    <w:p w14:paraId="44318111" w14:textId="3E9EBE45" w:rsidR="0055096F" w:rsidRPr="000D0DBD" w:rsidRDefault="0055096F" w:rsidP="0055096F">
      <w:pPr>
        <w:numPr>
          <w:ilvl w:val="2"/>
          <w:numId w:val="4"/>
        </w:numPr>
        <w:tabs>
          <w:tab w:val="clear" w:pos="720"/>
        </w:tabs>
        <w:spacing w:before="120" w:after="60"/>
        <w:ind w:left="1134" w:hanging="436"/>
      </w:pPr>
      <w:r w:rsidRPr="000D0DBD">
        <w:lastRenderedPageBreak/>
        <w:t>an allowance of $</w:t>
      </w:r>
      <w:r>
        <w:t>3,000</w:t>
      </w:r>
      <w:r w:rsidRPr="000D0DBD">
        <w:t xml:space="preserve"> per annum for taxis/hire cars to travel to and from official functions where private transport may not be appropriate in the interests of workplace safety and/or security; and</w:t>
      </w:r>
    </w:p>
    <w:p w14:paraId="3A313441" w14:textId="77777777" w:rsidR="0055096F" w:rsidRPr="000D0DBD" w:rsidRDefault="0055096F" w:rsidP="0055096F">
      <w:pPr>
        <w:numPr>
          <w:ilvl w:val="2"/>
          <w:numId w:val="4"/>
        </w:numPr>
        <w:tabs>
          <w:tab w:val="clear" w:pos="720"/>
        </w:tabs>
        <w:spacing w:before="120" w:after="60"/>
        <w:ind w:left="1134" w:hanging="436"/>
      </w:pPr>
      <w:r w:rsidRPr="000D0DBD">
        <w:t>a car parking space at or near the Legislative Assembly.</w:t>
      </w:r>
    </w:p>
    <w:p w14:paraId="0CAE7B9B" w14:textId="77777777" w:rsidR="0055096F" w:rsidRPr="00F853F9" w:rsidRDefault="0055096F" w:rsidP="0055096F">
      <w:pPr>
        <w:numPr>
          <w:ilvl w:val="1"/>
          <w:numId w:val="4"/>
        </w:numPr>
        <w:tabs>
          <w:tab w:val="clear" w:pos="720"/>
        </w:tabs>
        <w:spacing w:before="120" w:after="60"/>
        <w:ind w:left="709" w:hanging="709"/>
      </w:pPr>
      <w:r w:rsidRPr="00F853F9">
        <w:t xml:space="preserve">Where a Member already has a vehicle lease in place at the time of this Determination, the lease </w:t>
      </w:r>
      <w:proofErr w:type="gramStart"/>
      <w:r w:rsidRPr="00F853F9">
        <w:t>is able to</w:t>
      </w:r>
      <w:proofErr w:type="gramEnd"/>
      <w:r w:rsidRPr="00F853F9">
        <w:t xml:space="preserve"> continue but shall not be renewed. </w:t>
      </w:r>
    </w:p>
    <w:p w14:paraId="1CC8A28E" w14:textId="681EFAC9" w:rsidR="0055096F" w:rsidRPr="00F853F9" w:rsidRDefault="0055096F" w:rsidP="0055096F">
      <w:pPr>
        <w:numPr>
          <w:ilvl w:val="1"/>
          <w:numId w:val="4"/>
        </w:numPr>
        <w:tabs>
          <w:tab w:val="clear" w:pos="720"/>
        </w:tabs>
        <w:spacing w:before="120" w:after="60"/>
        <w:ind w:left="709" w:hanging="709"/>
      </w:pPr>
      <w:r w:rsidRPr="00F853F9">
        <w:t xml:space="preserve">The allowance at 10.1(a) is not payable to Members who have leased vehicles at the time of the determination, until any existing vehicle lease has </w:t>
      </w:r>
      <w:r w:rsidR="00BA2991" w:rsidRPr="00F853F9">
        <w:t>expired,</w:t>
      </w:r>
      <w:r w:rsidRPr="00F853F9">
        <w:t xml:space="preserve"> and the vehicle is surrendered.</w:t>
      </w:r>
    </w:p>
    <w:p w14:paraId="5810F2BB"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D3CE546" w14:textId="77777777" w:rsidR="0055096F" w:rsidRPr="00F853F9" w:rsidRDefault="0055096F" w:rsidP="0055096F">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44347324" w14:textId="77777777" w:rsidR="0055096F" w:rsidRPr="00F853F9" w:rsidRDefault="0055096F" w:rsidP="0055096F">
      <w:pPr>
        <w:pStyle w:val="Heading3"/>
        <w:spacing w:before="120"/>
      </w:pPr>
      <w:r w:rsidRPr="00F853F9">
        <w:t>Revocation of previous determination</w:t>
      </w:r>
    </w:p>
    <w:p w14:paraId="2B31F536" w14:textId="6A6E800A" w:rsidR="0055096F" w:rsidRPr="00F853F9" w:rsidRDefault="0055096F" w:rsidP="0055096F">
      <w:pPr>
        <w:spacing w:before="120" w:after="60"/>
      </w:pPr>
      <w:r w:rsidRPr="00F853F9">
        <w:t>1</w:t>
      </w:r>
      <w:r>
        <w:t>1</w:t>
      </w:r>
      <w:r w:rsidRPr="00F853F9">
        <w:t xml:space="preserve">.1 </w:t>
      </w:r>
      <w:r w:rsidRPr="00F853F9">
        <w:tab/>
      </w:r>
      <w:r w:rsidRPr="00141BF3">
        <w:rPr>
          <w:color w:val="000000" w:themeColor="text1"/>
        </w:rPr>
        <w:t xml:space="preserve">Determination </w:t>
      </w:r>
      <w:r w:rsidR="00027B9B">
        <w:rPr>
          <w:color w:val="000000" w:themeColor="text1"/>
        </w:rPr>
        <w:t>4</w:t>
      </w:r>
      <w:r w:rsidR="0085002F">
        <w:rPr>
          <w:color w:val="000000" w:themeColor="text1"/>
        </w:rPr>
        <w:t xml:space="preserve"> of 202</w:t>
      </w:r>
      <w:r w:rsidR="00027B9B">
        <w:rPr>
          <w:color w:val="000000" w:themeColor="text1"/>
        </w:rPr>
        <w:t>5</w:t>
      </w:r>
      <w:r w:rsidRPr="00141BF3">
        <w:rPr>
          <w:color w:val="000000" w:themeColor="text1"/>
        </w:rPr>
        <w:t xml:space="preserve"> is revoked</w:t>
      </w:r>
      <w:r w:rsidRPr="00F853F9">
        <w:t>.</w:t>
      </w:r>
    </w:p>
    <w:tbl>
      <w:tblPr>
        <w:tblW w:w="13505" w:type="dxa"/>
        <w:tblLook w:val="04A0" w:firstRow="1" w:lastRow="0" w:firstColumn="1" w:lastColumn="0" w:noHBand="0" w:noVBand="1"/>
      </w:tblPr>
      <w:tblGrid>
        <w:gridCol w:w="13721"/>
        <w:gridCol w:w="222"/>
        <w:gridCol w:w="9"/>
        <w:gridCol w:w="214"/>
      </w:tblGrid>
      <w:tr w:rsidR="00D207C9" w:rsidRPr="006A51E8" w14:paraId="0E045258" w14:textId="77777777" w:rsidTr="00A17EE2">
        <w:tc>
          <w:tcPr>
            <w:tcW w:w="4529" w:type="dxa"/>
          </w:tcPr>
          <w:p w14:paraId="542CA495" w14:textId="004ED364" w:rsidR="00D207C9" w:rsidRPr="000F41B0" w:rsidRDefault="00D207C9" w:rsidP="00D207C9">
            <w:pPr>
              <w:tabs>
                <w:tab w:val="left" w:pos="7230"/>
              </w:tabs>
              <w:rPr>
                <w:szCs w:val="24"/>
              </w:rPr>
            </w:pPr>
          </w:p>
        </w:tc>
        <w:tc>
          <w:tcPr>
            <w:tcW w:w="4488" w:type="dxa"/>
          </w:tcPr>
          <w:p w14:paraId="678DF7E9" w14:textId="77777777" w:rsidR="00D207C9" w:rsidRDefault="00D207C9" w:rsidP="00D207C9">
            <w:pPr>
              <w:tabs>
                <w:tab w:val="left" w:pos="3059"/>
                <w:tab w:val="left" w:pos="7230"/>
              </w:tabs>
              <w:rPr>
                <w:noProof/>
              </w:rPr>
            </w:pPr>
          </w:p>
          <w:p w14:paraId="7F097FAB" w14:textId="77777777" w:rsidR="00D207C9" w:rsidRDefault="00D207C9" w:rsidP="00D207C9">
            <w:pPr>
              <w:tabs>
                <w:tab w:val="left" w:pos="3059"/>
                <w:tab w:val="left" w:pos="7230"/>
              </w:tabs>
              <w:rPr>
                <w:noProof/>
              </w:rPr>
            </w:pPr>
          </w:p>
          <w:p w14:paraId="4FB2C0C5" w14:textId="64F1AF1D" w:rsidR="00D207C9" w:rsidRPr="006A51E8" w:rsidRDefault="00D207C9" w:rsidP="00D207C9">
            <w:pPr>
              <w:tabs>
                <w:tab w:val="left" w:pos="3059"/>
                <w:tab w:val="left" w:pos="7230"/>
              </w:tabs>
            </w:pPr>
          </w:p>
        </w:tc>
        <w:tc>
          <w:tcPr>
            <w:tcW w:w="4488" w:type="dxa"/>
            <w:gridSpan w:val="2"/>
          </w:tcPr>
          <w:p w14:paraId="179A1AD6" w14:textId="77777777" w:rsidR="00D207C9" w:rsidRPr="006A51E8" w:rsidRDefault="00D207C9" w:rsidP="00D207C9">
            <w:pPr>
              <w:tabs>
                <w:tab w:val="left" w:pos="3059"/>
                <w:tab w:val="left" w:pos="7230"/>
              </w:tabs>
              <w:spacing w:before="120"/>
            </w:pPr>
          </w:p>
        </w:tc>
      </w:tr>
      <w:tr w:rsidR="00D207C9" w:rsidRPr="006A51E8" w14:paraId="5E13E408" w14:textId="77777777" w:rsidTr="00A17EE2">
        <w:trPr>
          <w:gridAfter w:val="1"/>
          <w:wAfter w:w="4447" w:type="dxa"/>
        </w:trPr>
        <w:tc>
          <w:tcPr>
            <w:tcW w:w="4529" w:type="dxa"/>
          </w:tcPr>
          <w:tbl>
            <w:tblPr>
              <w:tblW w:w="13505" w:type="dxa"/>
              <w:tblLook w:val="04A0" w:firstRow="1" w:lastRow="0" w:firstColumn="1" w:lastColumn="0" w:noHBand="0" w:noVBand="1"/>
            </w:tblPr>
            <w:tblGrid>
              <w:gridCol w:w="4529"/>
              <w:gridCol w:w="4488"/>
              <w:gridCol w:w="41"/>
              <w:gridCol w:w="4447"/>
            </w:tblGrid>
            <w:tr w:rsidR="00D207C9" w:rsidRPr="00712E44" w14:paraId="2A9E0C29" w14:textId="77777777" w:rsidTr="0063139C">
              <w:tc>
                <w:tcPr>
                  <w:tcW w:w="4529" w:type="dxa"/>
                </w:tcPr>
                <w:p w14:paraId="0C433070" w14:textId="77777777" w:rsidR="00D207C9" w:rsidRPr="00712E44" w:rsidRDefault="00D207C9" w:rsidP="00D207C9">
                  <w:pPr>
                    <w:tabs>
                      <w:tab w:val="left" w:pos="4253"/>
                      <w:tab w:val="left" w:pos="7230"/>
                      <w:tab w:val="left" w:leader="dot" w:pos="8222"/>
                    </w:tabs>
                    <w:rPr>
                      <w:szCs w:val="24"/>
                    </w:rPr>
                  </w:pPr>
                  <w:r w:rsidRPr="00712E44">
                    <w:rPr>
                      <w:szCs w:val="24"/>
                    </w:rPr>
                    <w:t>Ms Sandra Lambert AM</w:t>
                  </w:r>
                </w:p>
                <w:p w14:paraId="08A5FC34" w14:textId="77777777" w:rsidR="00D207C9" w:rsidRPr="00712E44" w:rsidRDefault="00D207C9" w:rsidP="00D207C9">
                  <w:pPr>
                    <w:tabs>
                      <w:tab w:val="left" w:pos="7230"/>
                    </w:tabs>
                    <w:rPr>
                      <w:szCs w:val="24"/>
                    </w:rPr>
                  </w:pPr>
                  <w:r w:rsidRPr="00712E44">
                    <w:rPr>
                      <w:szCs w:val="24"/>
                    </w:rPr>
                    <w:t>Chair</w:t>
                  </w:r>
                </w:p>
                <w:p w14:paraId="62C9143F" w14:textId="77777777" w:rsidR="00D207C9" w:rsidRPr="00712E44" w:rsidRDefault="00D207C9" w:rsidP="00D207C9">
                  <w:pPr>
                    <w:tabs>
                      <w:tab w:val="left" w:pos="7230"/>
                    </w:tabs>
                    <w:rPr>
                      <w:szCs w:val="24"/>
                    </w:rPr>
                  </w:pPr>
                </w:p>
              </w:tc>
              <w:tc>
                <w:tcPr>
                  <w:tcW w:w="4488" w:type="dxa"/>
                </w:tcPr>
                <w:p w14:paraId="571A9CC4" w14:textId="77777777" w:rsidR="00D207C9" w:rsidRPr="00712E44" w:rsidRDefault="00D207C9" w:rsidP="00D207C9">
                  <w:pPr>
                    <w:tabs>
                      <w:tab w:val="left" w:pos="3059"/>
                      <w:tab w:val="left" w:pos="7230"/>
                    </w:tabs>
                  </w:pPr>
                </w:p>
              </w:tc>
              <w:tc>
                <w:tcPr>
                  <w:tcW w:w="4488" w:type="dxa"/>
                  <w:gridSpan w:val="2"/>
                </w:tcPr>
                <w:p w14:paraId="32FCE305" w14:textId="77777777" w:rsidR="00D207C9" w:rsidRPr="00712E44" w:rsidRDefault="00D207C9" w:rsidP="00D207C9">
                  <w:pPr>
                    <w:tabs>
                      <w:tab w:val="left" w:pos="3059"/>
                      <w:tab w:val="left" w:pos="7230"/>
                    </w:tabs>
                    <w:spacing w:before="120"/>
                  </w:pPr>
                </w:p>
              </w:tc>
            </w:tr>
            <w:tr w:rsidR="00D207C9" w:rsidRPr="00712E44" w14:paraId="42CBD78B" w14:textId="77777777" w:rsidTr="0063139C">
              <w:trPr>
                <w:gridAfter w:val="1"/>
                <w:wAfter w:w="4447" w:type="dxa"/>
              </w:trPr>
              <w:tc>
                <w:tcPr>
                  <w:tcW w:w="4529" w:type="dxa"/>
                </w:tcPr>
                <w:p w14:paraId="0C455677" w14:textId="6B1059CC" w:rsidR="00D207C9" w:rsidRPr="0025035E" w:rsidRDefault="00D207C9" w:rsidP="00D207C9">
                  <w:pPr>
                    <w:tabs>
                      <w:tab w:val="left" w:pos="4253"/>
                      <w:tab w:val="left" w:leader="dot" w:pos="8222"/>
                    </w:tabs>
                    <w:rPr>
                      <w:szCs w:val="24"/>
                    </w:rPr>
                  </w:pPr>
                </w:p>
                <w:p w14:paraId="5B12D757" w14:textId="77777777" w:rsidR="00D207C9" w:rsidRPr="00712E44" w:rsidRDefault="00D207C9" w:rsidP="00D207C9">
                  <w:pPr>
                    <w:tabs>
                      <w:tab w:val="left" w:pos="4253"/>
                      <w:tab w:val="left" w:leader="dot" w:pos="8222"/>
                    </w:tabs>
                    <w:rPr>
                      <w:szCs w:val="24"/>
                    </w:rPr>
                  </w:pPr>
                </w:p>
                <w:p w14:paraId="7CDC02B6" w14:textId="77777777" w:rsidR="00D207C9" w:rsidRPr="00712E44" w:rsidRDefault="00D207C9" w:rsidP="00D207C9">
                  <w:pPr>
                    <w:tabs>
                      <w:tab w:val="left" w:pos="4253"/>
                      <w:tab w:val="left" w:leader="dot" w:pos="8222"/>
                    </w:tabs>
                    <w:rPr>
                      <w:szCs w:val="24"/>
                    </w:rPr>
                  </w:pPr>
                  <w:r w:rsidRPr="00712E44">
                    <w:rPr>
                      <w:szCs w:val="24"/>
                    </w:rPr>
                    <w:t>Ms Pam Davoren PSM</w:t>
                  </w:r>
                  <w:r w:rsidRPr="00712E44">
                    <w:rPr>
                      <w:szCs w:val="24"/>
                    </w:rPr>
                    <w:tab/>
                  </w:r>
                </w:p>
                <w:p w14:paraId="1F6105B7" w14:textId="77777777" w:rsidR="00D207C9" w:rsidRPr="00712E44" w:rsidRDefault="00D207C9" w:rsidP="00D207C9">
                  <w:pPr>
                    <w:tabs>
                      <w:tab w:val="left" w:pos="4253"/>
                      <w:tab w:val="left" w:leader="dot" w:pos="8222"/>
                    </w:tabs>
                    <w:rPr>
                      <w:szCs w:val="24"/>
                    </w:rPr>
                  </w:pPr>
                  <w:r w:rsidRPr="00712E44">
                    <w:rPr>
                      <w:szCs w:val="24"/>
                    </w:rPr>
                    <w:t xml:space="preserve">Member </w:t>
                  </w:r>
                </w:p>
                <w:p w14:paraId="68251239" w14:textId="6D51E955" w:rsidR="00D207C9" w:rsidRDefault="00D207C9" w:rsidP="00D207C9">
                  <w:pPr>
                    <w:tabs>
                      <w:tab w:val="left" w:pos="4253"/>
                      <w:tab w:val="left" w:leader="dot" w:pos="8222"/>
                    </w:tabs>
                    <w:rPr>
                      <w:szCs w:val="24"/>
                    </w:rPr>
                  </w:pPr>
                </w:p>
                <w:p w14:paraId="6B2E4CFA" w14:textId="77777777" w:rsidR="001228CA" w:rsidRDefault="001228CA" w:rsidP="00D207C9">
                  <w:pPr>
                    <w:tabs>
                      <w:tab w:val="left" w:pos="4253"/>
                      <w:tab w:val="left" w:leader="dot" w:pos="8222"/>
                    </w:tabs>
                    <w:rPr>
                      <w:szCs w:val="24"/>
                    </w:rPr>
                  </w:pPr>
                </w:p>
                <w:p w14:paraId="57AD1AFE" w14:textId="77777777" w:rsidR="001228CA" w:rsidRPr="00712E44" w:rsidRDefault="001228CA" w:rsidP="00D207C9">
                  <w:pPr>
                    <w:tabs>
                      <w:tab w:val="left" w:pos="4253"/>
                      <w:tab w:val="left" w:leader="dot" w:pos="8222"/>
                    </w:tabs>
                    <w:rPr>
                      <w:szCs w:val="24"/>
                    </w:rPr>
                  </w:pPr>
                </w:p>
                <w:p w14:paraId="7138FF41" w14:textId="77777777" w:rsidR="00D207C9" w:rsidRPr="00712E44" w:rsidRDefault="00D207C9" w:rsidP="00D207C9">
                  <w:pPr>
                    <w:tabs>
                      <w:tab w:val="left" w:pos="4253"/>
                      <w:tab w:val="left" w:leader="dot" w:pos="8222"/>
                    </w:tabs>
                    <w:rPr>
                      <w:szCs w:val="24"/>
                    </w:rPr>
                  </w:pPr>
                  <w:r w:rsidRPr="00712E44">
                    <w:rPr>
                      <w:szCs w:val="24"/>
                    </w:rPr>
                    <w:t>Mr Michael Manthorpe PSM FIPAA</w:t>
                  </w:r>
                  <w:r w:rsidRPr="00712E44">
                    <w:rPr>
                      <w:szCs w:val="24"/>
                    </w:rPr>
                    <w:tab/>
                  </w:r>
                </w:p>
                <w:p w14:paraId="32A545B1" w14:textId="77777777" w:rsidR="00D207C9" w:rsidRPr="00712E44" w:rsidRDefault="00D207C9" w:rsidP="00D207C9">
                  <w:pPr>
                    <w:tabs>
                      <w:tab w:val="left" w:pos="4253"/>
                      <w:tab w:val="left" w:leader="dot" w:pos="8222"/>
                    </w:tabs>
                    <w:rPr>
                      <w:szCs w:val="24"/>
                    </w:rPr>
                  </w:pPr>
                  <w:r w:rsidRPr="00712E44">
                    <w:rPr>
                      <w:szCs w:val="24"/>
                    </w:rPr>
                    <w:t>Member</w:t>
                  </w:r>
                </w:p>
              </w:tc>
              <w:tc>
                <w:tcPr>
                  <w:tcW w:w="4529" w:type="dxa"/>
                  <w:gridSpan w:val="2"/>
                </w:tcPr>
                <w:p w14:paraId="096F727E" w14:textId="77777777" w:rsidR="00D207C9" w:rsidRPr="00712E44" w:rsidRDefault="00D207C9" w:rsidP="00D207C9">
                  <w:pPr>
                    <w:tabs>
                      <w:tab w:val="left" w:pos="4026"/>
                      <w:tab w:val="left" w:pos="7230"/>
                    </w:tabs>
                  </w:pPr>
                </w:p>
                <w:p w14:paraId="1388016D" w14:textId="77777777" w:rsidR="00D207C9" w:rsidRPr="00712E44" w:rsidRDefault="00D207C9" w:rsidP="00D207C9">
                  <w:pPr>
                    <w:tabs>
                      <w:tab w:val="left" w:pos="4026"/>
                      <w:tab w:val="left" w:pos="7230"/>
                    </w:tabs>
                    <w:rPr>
                      <w:noProof/>
                    </w:rPr>
                  </w:pPr>
                </w:p>
                <w:p w14:paraId="63AB682B" w14:textId="77777777" w:rsidR="00D207C9" w:rsidRPr="00712E44" w:rsidRDefault="00D207C9" w:rsidP="00D207C9"/>
                <w:p w14:paraId="41C834F4" w14:textId="77777777" w:rsidR="00D207C9" w:rsidRPr="00712E44" w:rsidRDefault="00D207C9" w:rsidP="00D207C9"/>
                <w:p w14:paraId="38A44DBB" w14:textId="77777777" w:rsidR="00D207C9" w:rsidRPr="00712E44" w:rsidRDefault="00D207C9" w:rsidP="00D207C9"/>
                <w:p w14:paraId="1246D7A7" w14:textId="77777777" w:rsidR="00D207C9" w:rsidRPr="00712E44" w:rsidRDefault="00D207C9" w:rsidP="00D207C9"/>
              </w:tc>
            </w:tr>
            <w:tr w:rsidR="00D207C9" w:rsidRPr="00712E44" w14:paraId="2EBA20B7" w14:textId="77777777" w:rsidTr="0063139C">
              <w:trPr>
                <w:gridAfter w:val="1"/>
                <w:wAfter w:w="4447" w:type="dxa"/>
              </w:trPr>
              <w:tc>
                <w:tcPr>
                  <w:tcW w:w="4529" w:type="dxa"/>
                </w:tcPr>
                <w:p w14:paraId="2118B9FA" w14:textId="77777777" w:rsidR="00D207C9" w:rsidRPr="00712E44" w:rsidRDefault="00D207C9" w:rsidP="00D207C9">
                  <w:pPr>
                    <w:tabs>
                      <w:tab w:val="left" w:pos="4253"/>
                      <w:tab w:val="left" w:pos="7230"/>
                      <w:tab w:val="left" w:leader="dot" w:pos="8222"/>
                    </w:tabs>
                    <w:rPr>
                      <w:szCs w:val="24"/>
                    </w:rPr>
                  </w:pPr>
                </w:p>
                <w:p w14:paraId="4CA3746D" w14:textId="77777777" w:rsidR="00D207C9" w:rsidRPr="00712E44" w:rsidRDefault="00D207C9" w:rsidP="00D207C9">
                  <w:pPr>
                    <w:tabs>
                      <w:tab w:val="left" w:pos="4253"/>
                      <w:tab w:val="left" w:pos="7230"/>
                      <w:tab w:val="left" w:leader="dot" w:pos="8222"/>
                    </w:tabs>
                    <w:rPr>
                      <w:szCs w:val="24"/>
                    </w:rPr>
                  </w:pPr>
                </w:p>
              </w:tc>
              <w:tc>
                <w:tcPr>
                  <w:tcW w:w="4529" w:type="dxa"/>
                  <w:gridSpan w:val="2"/>
                </w:tcPr>
                <w:p w14:paraId="35B653D0" w14:textId="77777777" w:rsidR="00D207C9" w:rsidRPr="00712E44" w:rsidRDefault="00D207C9" w:rsidP="00D207C9">
                  <w:pPr>
                    <w:tabs>
                      <w:tab w:val="left" w:pos="4253"/>
                      <w:tab w:val="left" w:pos="7230"/>
                      <w:tab w:val="left" w:leader="dot" w:pos="8222"/>
                    </w:tabs>
                    <w:rPr>
                      <w:szCs w:val="24"/>
                    </w:rPr>
                  </w:pPr>
                </w:p>
              </w:tc>
            </w:tr>
          </w:tbl>
          <w:p w14:paraId="18FBF360" w14:textId="034514FF" w:rsidR="00D207C9" w:rsidRPr="000F41B0" w:rsidRDefault="00D207C9" w:rsidP="00D207C9">
            <w:pPr>
              <w:tabs>
                <w:tab w:val="left" w:pos="4253"/>
                <w:tab w:val="left" w:leader="dot" w:pos="8222"/>
              </w:tabs>
              <w:rPr>
                <w:szCs w:val="24"/>
              </w:rPr>
            </w:pPr>
          </w:p>
        </w:tc>
        <w:tc>
          <w:tcPr>
            <w:tcW w:w="4529" w:type="dxa"/>
            <w:gridSpan w:val="2"/>
          </w:tcPr>
          <w:p w14:paraId="14B45796" w14:textId="4CF6EC7B" w:rsidR="00D207C9" w:rsidRDefault="00D207C9" w:rsidP="00D207C9">
            <w:pPr>
              <w:tabs>
                <w:tab w:val="left" w:pos="4026"/>
                <w:tab w:val="left" w:pos="7230"/>
              </w:tabs>
            </w:pPr>
          </w:p>
          <w:p w14:paraId="347B2B86" w14:textId="77777777" w:rsidR="00D207C9" w:rsidRDefault="00D207C9" w:rsidP="00D207C9">
            <w:pPr>
              <w:tabs>
                <w:tab w:val="left" w:pos="4026"/>
                <w:tab w:val="left" w:pos="7230"/>
              </w:tabs>
              <w:rPr>
                <w:noProof/>
              </w:rPr>
            </w:pPr>
          </w:p>
          <w:p w14:paraId="6590C153" w14:textId="498A6319" w:rsidR="00D207C9" w:rsidRDefault="00D207C9" w:rsidP="00D207C9">
            <w:pPr>
              <w:tabs>
                <w:tab w:val="left" w:pos="4026"/>
                <w:tab w:val="left" w:pos="7230"/>
              </w:tabs>
              <w:rPr>
                <w:noProof/>
              </w:rPr>
            </w:pPr>
          </w:p>
          <w:p w14:paraId="7D5570F4" w14:textId="77777777" w:rsidR="00D207C9" w:rsidRPr="00920C37" w:rsidRDefault="00D207C9" w:rsidP="00D207C9"/>
          <w:p w14:paraId="51DB3EBF" w14:textId="77777777" w:rsidR="00D207C9" w:rsidRPr="00920C37" w:rsidRDefault="00D207C9" w:rsidP="00D207C9"/>
          <w:p w14:paraId="6302F3D6" w14:textId="77777777" w:rsidR="00D207C9" w:rsidRPr="00920C37" w:rsidRDefault="00D207C9" w:rsidP="00D207C9"/>
          <w:p w14:paraId="48C5A71C" w14:textId="77777777" w:rsidR="00D207C9" w:rsidRDefault="00D207C9" w:rsidP="00D207C9">
            <w:pPr>
              <w:rPr>
                <w:noProof/>
              </w:rPr>
            </w:pPr>
          </w:p>
          <w:p w14:paraId="03513967" w14:textId="5D08A007" w:rsidR="00D207C9" w:rsidRPr="00920C37" w:rsidRDefault="00D207C9" w:rsidP="00D207C9"/>
        </w:tc>
      </w:tr>
    </w:tbl>
    <w:p w14:paraId="75AA1E85" w14:textId="4C63C6CE" w:rsidR="00A17EE2" w:rsidRDefault="0085002F" w:rsidP="0085002F">
      <w:pPr>
        <w:tabs>
          <w:tab w:val="left" w:pos="204"/>
          <w:tab w:val="left" w:pos="4320"/>
        </w:tabs>
      </w:pPr>
      <w:bookmarkStart w:id="11" w:name="_Hlk90826441"/>
      <w:r>
        <w:tab/>
      </w:r>
    </w:p>
    <w:p w14:paraId="35622CA7" w14:textId="77777777" w:rsidR="00A17EE2" w:rsidRDefault="00A17EE2" w:rsidP="00E7449B">
      <w:pPr>
        <w:tabs>
          <w:tab w:val="left" w:pos="4320"/>
        </w:tabs>
        <w:jc w:val="right"/>
      </w:pPr>
    </w:p>
    <w:p w14:paraId="2A0C385A" w14:textId="29380042" w:rsidR="0055096F" w:rsidRPr="006937F2" w:rsidRDefault="00922E84" w:rsidP="00E7449B">
      <w:pPr>
        <w:tabs>
          <w:tab w:val="left" w:pos="4320"/>
        </w:tabs>
        <w:jc w:val="right"/>
      </w:pPr>
      <w:r w:rsidRPr="008A2A6E">
        <w:t>7</w:t>
      </w:r>
      <w:r w:rsidR="00D03AE2" w:rsidRPr="008A2A6E">
        <w:t xml:space="preserve"> May</w:t>
      </w:r>
      <w:r w:rsidR="0085002F" w:rsidRPr="008A2A6E">
        <w:t xml:space="preserve"> 202</w:t>
      </w:r>
      <w:r w:rsidR="00027B9B" w:rsidRPr="008A2A6E">
        <w:t>6</w:t>
      </w:r>
      <w:bookmarkEnd w:id="1"/>
      <w:bookmarkEnd w:id="11"/>
    </w:p>
    <w:sectPr w:rsidR="0055096F" w:rsidRPr="006937F2"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8DEA" w14:textId="77777777" w:rsidR="0057785D" w:rsidRDefault="0057785D">
      <w:r>
        <w:separator/>
      </w:r>
    </w:p>
  </w:endnote>
  <w:endnote w:type="continuationSeparator" w:id="0">
    <w:p w14:paraId="30E34CEB" w14:textId="77777777" w:rsidR="0057785D" w:rsidRDefault="0057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AB48" w14:textId="77777777" w:rsidR="00857483" w:rsidRDefault="0085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4748CC">
      <w:rPr>
        <w:rFonts w:ascii="Calibri" w:hAnsi="Calibri"/>
        <w:noProof/>
      </w:rPr>
      <w:t>3</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E2FD" w14:textId="77777777" w:rsidR="00857483" w:rsidRDefault="008574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4748CC">
      <w:rPr>
        <w:rFonts w:ascii="Calibri" w:hAnsi="Calibri"/>
        <w:noProof/>
      </w:rPr>
      <w:t>12</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70A7" w14:textId="77777777" w:rsidR="0057785D" w:rsidRDefault="0057785D">
      <w:r>
        <w:separator/>
      </w:r>
    </w:p>
  </w:footnote>
  <w:footnote w:type="continuationSeparator" w:id="0">
    <w:p w14:paraId="2059A73F" w14:textId="77777777" w:rsidR="0057785D" w:rsidRDefault="0057785D">
      <w:r>
        <w:continuationSeparator/>
      </w:r>
    </w:p>
  </w:footnote>
  <w:footnote w:id="1">
    <w:p w14:paraId="2E0F7052" w14:textId="77777777" w:rsidR="006A5362" w:rsidRPr="00F21A48" w:rsidRDefault="006A5362" w:rsidP="006A5362">
      <w:pPr>
        <w:pStyle w:val="FootnoteText"/>
        <w:rPr>
          <w:sz w:val="18"/>
          <w:szCs w:val="18"/>
        </w:rPr>
      </w:pPr>
      <w:r w:rsidRPr="00F21A48">
        <w:rPr>
          <w:rStyle w:val="FootnoteReference"/>
          <w:sz w:val="18"/>
          <w:szCs w:val="18"/>
        </w:rPr>
        <w:footnoteRef/>
      </w:r>
      <w:r w:rsidRPr="00F21A48">
        <w:rPr>
          <w:sz w:val="18"/>
          <w:szCs w:val="18"/>
        </w:rPr>
        <w:t xml:space="preserve"> </w:t>
      </w:r>
      <w:hyperlink r:id="rId1" w:history="1">
        <w:r w:rsidRPr="00F21A48">
          <w:rPr>
            <w:rStyle w:val="Hyperlink"/>
            <w:sz w:val="18"/>
            <w:szCs w:val="18"/>
          </w:rPr>
          <w:t>Consumer Price Index, Australia, March 2026 | Australian Bureau of Statistics</w:t>
        </w:r>
      </w:hyperlink>
    </w:p>
  </w:footnote>
  <w:footnote w:id="2">
    <w:p w14:paraId="2154B463" w14:textId="77777777" w:rsidR="006A5362" w:rsidRPr="00F21A48" w:rsidRDefault="006A5362" w:rsidP="006A5362">
      <w:pPr>
        <w:pStyle w:val="FootnoteText"/>
        <w:rPr>
          <w:sz w:val="18"/>
          <w:szCs w:val="18"/>
          <w:lang w:val="en-AU"/>
        </w:rPr>
      </w:pPr>
      <w:r w:rsidRPr="00F21A48">
        <w:rPr>
          <w:rStyle w:val="FootnoteReference"/>
          <w:sz w:val="18"/>
          <w:szCs w:val="18"/>
        </w:rPr>
        <w:footnoteRef/>
      </w:r>
      <w:r w:rsidRPr="00F21A48">
        <w:rPr>
          <w:sz w:val="18"/>
          <w:szCs w:val="18"/>
        </w:rPr>
        <w:t xml:space="preserve"> </w:t>
      </w:r>
      <w:hyperlink r:id="rId2" w:history="1">
        <w:r w:rsidRPr="00F21A48">
          <w:rPr>
            <w:rStyle w:val="Hyperlink"/>
            <w:sz w:val="18"/>
            <w:szCs w:val="18"/>
          </w:rPr>
          <w:t>Wage Price Index, Australia, December 2025 | Australian Bureau of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05E8" w14:textId="39ADB496" w:rsidR="00857483" w:rsidRDefault="00857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D543" w14:textId="64070C99" w:rsidR="00857483" w:rsidRDefault="00857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EAEA" w14:textId="3CD45AD7" w:rsidR="00857483" w:rsidRDefault="008574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B3DC" w14:textId="6C00E5C2" w:rsidR="00EE3961" w:rsidRDefault="00EE3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E010" w14:textId="797B2E9F" w:rsidR="00EE3961" w:rsidRDefault="00EE3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42CA" w14:textId="0618444D"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6356C"/>
    <w:multiLevelType w:val="hybridMultilevel"/>
    <w:tmpl w:val="5DC48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4"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1"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0"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2"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B17BA9"/>
    <w:multiLevelType w:val="hybridMultilevel"/>
    <w:tmpl w:val="9B12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7"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31"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40"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68659415">
    <w:abstractNumId w:val="10"/>
  </w:num>
  <w:num w:numId="2" w16cid:durableId="89552585">
    <w:abstractNumId w:val="19"/>
  </w:num>
  <w:num w:numId="3" w16cid:durableId="1238131949">
    <w:abstractNumId w:val="3"/>
  </w:num>
  <w:num w:numId="4" w16cid:durableId="2040161534">
    <w:abstractNumId w:val="41"/>
  </w:num>
  <w:num w:numId="5" w16cid:durableId="237789915">
    <w:abstractNumId w:val="27"/>
  </w:num>
  <w:num w:numId="6" w16cid:durableId="1234197892">
    <w:abstractNumId w:val="32"/>
  </w:num>
  <w:num w:numId="7" w16cid:durableId="1414232727">
    <w:abstractNumId w:val="21"/>
  </w:num>
  <w:num w:numId="8" w16cid:durableId="480390934">
    <w:abstractNumId w:val="38"/>
  </w:num>
  <w:num w:numId="9" w16cid:durableId="271858770">
    <w:abstractNumId w:val="41"/>
  </w:num>
  <w:num w:numId="10" w16cid:durableId="1762068993">
    <w:abstractNumId w:val="41"/>
  </w:num>
  <w:num w:numId="11" w16cid:durableId="434715047">
    <w:abstractNumId w:val="39"/>
  </w:num>
  <w:num w:numId="12" w16cid:durableId="1366830453">
    <w:abstractNumId w:val="29"/>
  </w:num>
  <w:num w:numId="13" w16cid:durableId="51390544">
    <w:abstractNumId w:val="30"/>
  </w:num>
  <w:num w:numId="14" w16cid:durableId="1907645965">
    <w:abstractNumId w:val="23"/>
  </w:num>
  <w:num w:numId="15" w16cid:durableId="1866358986">
    <w:abstractNumId w:val="42"/>
  </w:num>
  <w:num w:numId="16" w16cid:durableId="100998895">
    <w:abstractNumId w:val="26"/>
  </w:num>
  <w:num w:numId="17" w16cid:durableId="2039816397">
    <w:abstractNumId w:val="11"/>
  </w:num>
  <w:num w:numId="18" w16cid:durableId="1519926954">
    <w:abstractNumId w:val="18"/>
  </w:num>
  <w:num w:numId="19" w16cid:durableId="900480263">
    <w:abstractNumId w:val="0"/>
  </w:num>
  <w:num w:numId="20" w16cid:durableId="1536624503">
    <w:abstractNumId w:val="20"/>
  </w:num>
  <w:num w:numId="21" w16cid:durableId="1054357013">
    <w:abstractNumId w:val="33"/>
  </w:num>
  <w:num w:numId="22" w16cid:durableId="1980185383">
    <w:abstractNumId w:val="40"/>
  </w:num>
  <w:num w:numId="23" w16cid:durableId="2082822468">
    <w:abstractNumId w:val="16"/>
  </w:num>
  <w:num w:numId="24" w16cid:durableId="978263306">
    <w:abstractNumId w:val="5"/>
  </w:num>
  <w:num w:numId="25" w16cid:durableId="1736732445">
    <w:abstractNumId w:val="17"/>
  </w:num>
  <w:num w:numId="26" w16cid:durableId="110710135">
    <w:abstractNumId w:val="36"/>
  </w:num>
  <w:num w:numId="27" w16cid:durableId="646858794">
    <w:abstractNumId w:val="37"/>
  </w:num>
  <w:num w:numId="28" w16cid:durableId="921526991">
    <w:abstractNumId w:val="31"/>
  </w:num>
  <w:num w:numId="29" w16cid:durableId="1537615991">
    <w:abstractNumId w:val="4"/>
  </w:num>
  <w:num w:numId="30" w16cid:durableId="439180175">
    <w:abstractNumId w:val="13"/>
  </w:num>
  <w:num w:numId="31" w16cid:durableId="627706107">
    <w:abstractNumId w:val="8"/>
  </w:num>
  <w:num w:numId="32" w16cid:durableId="969094981">
    <w:abstractNumId w:val="22"/>
  </w:num>
  <w:num w:numId="33" w16cid:durableId="947738472">
    <w:abstractNumId w:val="7"/>
  </w:num>
  <w:num w:numId="34" w16cid:durableId="1110776879">
    <w:abstractNumId w:val="34"/>
  </w:num>
  <w:num w:numId="35" w16cid:durableId="2032533585">
    <w:abstractNumId w:val="35"/>
  </w:num>
  <w:num w:numId="36" w16cid:durableId="475755276">
    <w:abstractNumId w:val="43"/>
  </w:num>
  <w:num w:numId="37" w16cid:durableId="1995186036">
    <w:abstractNumId w:val="9"/>
  </w:num>
  <w:num w:numId="38" w16cid:durableId="1701852333">
    <w:abstractNumId w:val="28"/>
  </w:num>
  <w:num w:numId="39" w16cid:durableId="20514707">
    <w:abstractNumId w:val="12"/>
  </w:num>
  <w:num w:numId="40" w16cid:durableId="1998652313">
    <w:abstractNumId w:val="2"/>
  </w:num>
  <w:num w:numId="41" w16cid:durableId="447046313">
    <w:abstractNumId w:val="41"/>
  </w:num>
  <w:num w:numId="42" w16cid:durableId="1722820658">
    <w:abstractNumId w:val="24"/>
  </w:num>
  <w:num w:numId="43" w16cid:durableId="420302074">
    <w:abstractNumId w:val="41"/>
  </w:num>
  <w:num w:numId="44" w16cid:durableId="200825786">
    <w:abstractNumId w:val="14"/>
  </w:num>
  <w:num w:numId="45" w16cid:durableId="456262352">
    <w:abstractNumId w:val="6"/>
  </w:num>
  <w:num w:numId="46" w16cid:durableId="12116490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7420277">
    <w:abstractNumId w:val="41"/>
  </w:num>
  <w:num w:numId="48" w16cid:durableId="1962498004">
    <w:abstractNumId w:val="15"/>
  </w:num>
  <w:num w:numId="49" w16cid:durableId="1082918363">
    <w:abstractNumId w:val="1"/>
  </w:num>
  <w:num w:numId="50" w16cid:durableId="25705841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15021"/>
    <w:rsid w:val="000235E0"/>
    <w:rsid w:val="0002391C"/>
    <w:rsid w:val="00023FF7"/>
    <w:rsid w:val="00027B9B"/>
    <w:rsid w:val="000301AC"/>
    <w:rsid w:val="00031CFC"/>
    <w:rsid w:val="0004555F"/>
    <w:rsid w:val="0005152C"/>
    <w:rsid w:val="0005314A"/>
    <w:rsid w:val="000556CB"/>
    <w:rsid w:val="00056206"/>
    <w:rsid w:val="00056F1E"/>
    <w:rsid w:val="00061EFC"/>
    <w:rsid w:val="000656D9"/>
    <w:rsid w:val="00070D49"/>
    <w:rsid w:val="000739D1"/>
    <w:rsid w:val="00073FA6"/>
    <w:rsid w:val="0008057D"/>
    <w:rsid w:val="00082806"/>
    <w:rsid w:val="00090A4E"/>
    <w:rsid w:val="00093727"/>
    <w:rsid w:val="000945B5"/>
    <w:rsid w:val="00094C9A"/>
    <w:rsid w:val="00097FB9"/>
    <w:rsid w:val="000A0399"/>
    <w:rsid w:val="000A50B7"/>
    <w:rsid w:val="000B0E53"/>
    <w:rsid w:val="000B41D2"/>
    <w:rsid w:val="000B67A3"/>
    <w:rsid w:val="000B7D21"/>
    <w:rsid w:val="000C0FBA"/>
    <w:rsid w:val="000C1A0F"/>
    <w:rsid w:val="000D063D"/>
    <w:rsid w:val="000D2E7C"/>
    <w:rsid w:val="000E19B1"/>
    <w:rsid w:val="000F1F6B"/>
    <w:rsid w:val="000F5176"/>
    <w:rsid w:val="000F5D3A"/>
    <w:rsid w:val="000F73D3"/>
    <w:rsid w:val="000F74E9"/>
    <w:rsid w:val="00100184"/>
    <w:rsid w:val="001012E5"/>
    <w:rsid w:val="00102DCE"/>
    <w:rsid w:val="001049CD"/>
    <w:rsid w:val="00104D2C"/>
    <w:rsid w:val="0010519E"/>
    <w:rsid w:val="0010590D"/>
    <w:rsid w:val="001061FA"/>
    <w:rsid w:val="00107976"/>
    <w:rsid w:val="0011446D"/>
    <w:rsid w:val="00115BFE"/>
    <w:rsid w:val="0012152F"/>
    <w:rsid w:val="001228CA"/>
    <w:rsid w:val="00122DBF"/>
    <w:rsid w:val="001236F3"/>
    <w:rsid w:val="00123A63"/>
    <w:rsid w:val="001250F6"/>
    <w:rsid w:val="00127666"/>
    <w:rsid w:val="0013477F"/>
    <w:rsid w:val="00134E9D"/>
    <w:rsid w:val="0013640A"/>
    <w:rsid w:val="001370FA"/>
    <w:rsid w:val="0014047F"/>
    <w:rsid w:val="00145B8A"/>
    <w:rsid w:val="001461C0"/>
    <w:rsid w:val="001463EB"/>
    <w:rsid w:val="00151F0C"/>
    <w:rsid w:val="0015430B"/>
    <w:rsid w:val="00163FC8"/>
    <w:rsid w:val="0016506F"/>
    <w:rsid w:val="00170CB2"/>
    <w:rsid w:val="00173080"/>
    <w:rsid w:val="001745F0"/>
    <w:rsid w:val="0018040E"/>
    <w:rsid w:val="0018099A"/>
    <w:rsid w:val="00181BC6"/>
    <w:rsid w:val="00182B00"/>
    <w:rsid w:val="00182E8A"/>
    <w:rsid w:val="00182E98"/>
    <w:rsid w:val="001874F3"/>
    <w:rsid w:val="00192151"/>
    <w:rsid w:val="00195E09"/>
    <w:rsid w:val="00195F46"/>
    <w:rsid w:val="001968D9"/>
    <w:rsid w:val="001A7100"/>
    <w:rsid w:val="001B0BA5"/>
    <w:rsid w:val="001B4DE2"/>
    <w:rsid w:val="001B685B"/>
    <w:rsid w:val="001C306B"/>
    <w:rsid w:val="001C56AB"/>
    <w:rsid w:val="001C79EF"/>
    <w:rsid w:val="001C7C9C"/>
    <w:rsid w:val="001D03AE"/>
    <w:rsid w:val="001D1882"/>
    <w:rsid w:val="001D4A27"/>
    <w:rsid w:val="001D69BE"/>
    <w:rsid w:val="001E4877"/>
    <w:rsid w:val="001E5FEF"/>
    <w:rsid w:val="001E60A6"/>
    <w:rsid w:val="00204A61"/>
    <w:rsid w:val="002070EE"/>
    <w:rsid w:val="00210349"/>
    <w:rsid w:val="0021099D"/>
    <w:rsid w:val="00216DB6"/>
    <w:rsid w:val="00217DF1"/>
    <w:rsid w:val="00220C1E"/>
    <w:rsid w:val="002211C5"/>
    <w:rsid w:val="002413FF"/>
    <w:rsid w:val="0024270A"/>
    <w:rsid w:val="00252CF8"/>
    <w:rsid w:val="0025372B"/>
    <w:rsid w:val="00253D0C"/>
    <w:rsid w:val="00260189"/>
    <w:rsid w:val="00263E02"/>
    <w:rsid w:val="002667F1"/>
    <w:rsid w:val="002669FA"/>
    <w:rsid w:val="0026764E"/>
    <w:rsid w:val="0026798E"/>
    <w:rsid w:val="002740B6"/>
    <w:rsid w:val="00274C3E"/>
    <w:rsid w:val="00286A41"/>
    <w:rsid w:val="002A134C"/>
    <w:rsid w:val="002A4ADA"/>
    <w:rsid w:val="002B329C"/>
    <w:rsid w:val="002B391E"/>
    <w:rsid w:val="002B43F3"/>
    <w:rsid w:val="002B4D3C"/>
    <w:rsid w:val="002B4F37"/>
    <w:rsid w:val="002B5A12"/>
    <w:rsid w:val="002C0635"/>
    <w:rsid w:val="002C0A51"/>
    <w:rsid w:val="002C2272"/>
    <w:rsid w:val="002C2521"/>
    <w:rsid w:val="002C2963"/>
    <w:rsid w:val="002C3B13"/>
    <w:rsid w:val="002C469B"/>
    <w:rsid w:val="002C5A60"/>
    <w:rsid w:val="002C785E"/>
    <w:rsid w:val="002D2697"/>
    <w:rsid w:val="002D40AF"/>
    <w:rsid w:val="002D5DBA"/>
    <w:rsid w:val="002D6B74"/>
    <w:rsid w:val="002D7B30"/>
    <w:rsid w:val="002E1068"/>
    <w:rsid w:val="002E1B57"/>
    <w:rsid w:val="002E23E7"/>
    <w:rsid w:val="002E3F01"/>
    <w:rsid w:val="002E43F5"/>
    <w:rsid w:val="002F6073"/>
    <w:rsid w:val="002F76C6"/>
    <w:rsid w:val="003019CD"/>
    <w:rsid w:val="003057DE"/>
    <w:rsid w:val="003114FB"/>
    <w:rsid w:val="00316F20"/>
    <w:rsid w:val="0032490E"/>
    <w:rsid w:val="00324CE1"/>
    <w:rsid w:val="0033335A"/>
    <w:rsid w:val="00335D5A"/>
    <w:rsid w:val="00335FA1"/>
    <w:rsid w:val="00336564"/>
    <w:rsid w:val="00344B5B"/>
    <w:rsid w:val="00347A7E"/>
    <w:rsid w:val="00347DA0"/>
    <w:rsid w:val="00351C1B"/>
    <w:rsid w:val="00355BD4"/>
    <w:rsid w:val="0036438B"/>
    <w:rsid w:val="003661F9"/>
    <w:rsid w:val="003715E6"/>
    <w:rsid w:val="00372DD3"/>
    <w:rsid w:val="00373E37"/>
    <w:rsid w:val="00377C0D"/>
    <w:rsid w:val="00381CF4"/>
    <w:rsid w:val="00382C46"/>
    <w:rsid w:val="00383A02"/>
    <w:rsid w:val="00391051"/>
    <w:rsid w:val="003B0300"/>
    <w:rsid w:val="003B0856"/>
    <w:rsid w:val="003B1335"/>
    <w:rsid w:val="003B1A08"/>
    <w:rsid w:val="003C1E16"/>
    <w:rsid w:val="003C2BD3"/>
    <w:rsid w:val="003D0831"/>
    <w:rsid w:val="003D2774"/>
    <w:rsid w:val="003D2D25"/>
    <w:rsid w:val="003D4E8A"/>
    <w:rsid w:val="003D59CB"/>
    <w:rsid w:val="003E18F4"/>
    <w:rsid w:val="003E1BB3"/>
    <w:rsid w:val="003E745D"/>
    <w:rsid w:val="003E79F7"/>
    <w:rsid w:val="003F4842"/>
    <w:rsid w:val="003F5154"/>
    <w:rsid w:val="003F6933"/>
    <w:rsid w:val="003F7A76"/>
    <w:rsid w:val="004004FA"/>
    <w:rsid w:val="00401241"/>
    <w:rsid w:val="00403DB9"/>
    <w:rsid w:val="0040431A"/>
    <w:rsid w:val="00411B0D"/>
    <w:rsid w:val="00417BB5"/>
    <w:rsid w:val="004213D9"/>
    <w:rsid w:val="00431604"/>
    <w:rsid w:val="0043370C"/>
    <w:rsid w:val="0043477C"/>
    <w:rsid w:val="00435B2B"/>
    <w:rsid w:val="00437715"/>
    <w:rsid w:val="00440A32"/>
    <w:rsid w:val="00441444"/>
    <w:rsid w:val="00444138"/>
    <w:rsid w:val="004455DD"/>
    <w:rsid w:val="0045748E"/>
    <w:rsid w:val="00457913"/>
    <w:rsid w:val="00461506"/>
    <w:rsid w:val="00467BA6"/>
    <w:rsid w:val="00470F0C"/>
    <w:rsid w:val="004748CC"/>
    <w:rsid w:val="00475AF5"/>
    <w:rsid w:val="004832A4"/>
    <w:rsid w:val="00483BDC"/>
    <w:rsid w:val="00484224"/>
    <w:rsid w:val="004857B8"/>
    <w:rsid w:val="004A2467"/>
    <w:rsid w:val="004A61D9"/>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15E2"/>
    <w:rsid w:val="004E4757"/>
    <w:rsid w:val="004F0900"/>
    <w:rsid w:val="004F66BD"/>
    <w:rsid w:val="004F6AA2"/>
    <w:rsid w:val="004F75A6"/>
    <w:rsid w:val="004F77CB"/>
    <w:rsid w:val="00500C2D"/>
    <w:rsid w:val="00500C47"/>
    <w:rsid w:val="00501D7C"/>
    <w:rsid w:val="00510BDD"/>
    <w:rsid w:val="00512EA2"/>
    <w:rsid w:val="00513C42"/>
    <w:rsid w:val="005152BC"/>
    <w:rsid w:val="00516063"/>
    <w:rsid w:val="0051729C"/>
    <w:rsid w:val="005210C7"/>
    <w:rsid w:val="00521DCD"/>
    <w:rsid w:val="005300AB"/>
    <w:rsid w:val="005305C6"/>
    <w:rsid w:val="00531274"/>
    <w:rsid w:val="00531B4E"/>
    <w:rsid w:val="00531C63"/>
    <w:rsid w:val="005372BD"/>
    <w:rsid w:val="00540F3A"/>
    <w:rsid w:val="005422D0"/>
    <w:rsid w:val="0055096F"/>
    <w:rsid w:val="005515EE"/>
    <w:rsid w:val="00557E3B"/>
    <w:rsid w:val="00561117"/>
    <w:rsid w:val="005708C7"/>
    <w:rsid w:val="005720DA"/>
    <w:rsid w:val="00572AB6"/>
    <w:rsid w:val="00575656"/>
    <w:rsid w:val="0057785D"/>
    <w:rsid w:val="00582CFF"/>
    <w:rsid w:val="00586526"/>
    <w:rsid w:val="0059383C"/>
    <w:rsid w:val="0059463C"/>
    <w:rsid w:val="005A1AA7"/>
    <w:rsid w:val="005B466F"/>
    <w:rsid w:val="005B596D"/>
    <w:rsid w:val="005C08FE"/>
    <w:rsid w:val="005C692E"/>
    <w:rsid w:val="005D23A4"/>
    <w:rsid w:val="005E45FF"/>
    <w:rsid w:val="005E66E2"/>
    <w:rsid w:val="005E7A3E"/>
    <w:rsid w:val="005F2627"/>
    <w:rsid w:val="005F35AD"/>
    <w:rsid w:val="005F3BF1"/>
    <w:rsid w:val="005F3CDF"/>
    <w:rsid w:val="00600A48"/>
    <w:rsid w:val="00600E92"/>
    <w:rsid w:val="00604F0B"/>
    <w:rsid w:val="00605519"/>
    <w:rsid w:val="00606EF2"/>
    <w:rsid w:val="00607349"/>
    <w:rsid w:val="00610CB6"/>
    <w:rsid w:val="006132B4"/>
    <w:rsid w:val="00616924"/>
    <w:rsid w:val="0061777D"/>
    <w:rsid w:val="00621F10"/>
    <w:rsid w:val="00624501"/>
    <w:rsid w:val="00630FB5"/>
    <w:rsid w:val="00645E0D"/>
    <w:rsid w:val="006460C5"/>
    <w:rsid w:val="00647F0A"/>
    <w:rsid w:val="00655120"/>
    <w:rsid w:val="006637AB"/>
    <w:rsid w:val="00667D31"/>
    <w:rsid w:val="0067357E"/>
    <w:rsid w:val="00674580"/>
    <w:rsid w:val="00674A79"/>
    <w:rsid w:val="00674BD0"/>
    <w:rsid w:val="00675113"/>
    <w:rsid w:val="00677B60"/>
    <w:rsid w:val="0069037C"/>
    <w:rsid w:val="006921C0"/>
    <w:rsid w:val="0069220A"/>
    <w:rsid w:val="00692462"/>
    <w:rsid w:val="00697229"/>
    <w:rsid w:val="00697933"/>
    <w:rsid w:val="006A0464"/>
    <w:rsid w:val="006A4555"/>
    <w:rsid w:val="006A5149"/>
    <w:rsid w:val="006A5362"/>
    <w:rsid w:val="006B1254"/>
    <w:rsid w:val="006B1541"/>
    <w:rsid w:val="006B231A"/>
    <w:rsid w:val="006B2E82"/>
    <w:rsid w:val="006B5738"/>
    <w:rsid w:val="006B5DCE"/>
    <w:rsid w:val="006B62E4"/>
    <w:rsid w:val="006C74E2"/>
    <w:rsid w:val="006C7757"/>
    <w:rsid w:val="006D1DB1"/>
    <w:rsid w:val="006D2040"/>
    <w:rsid w:val="006D20A2"/>
    <w:rsid w:val="006D2D2C"/>
    <w:rsid w:val="006D6312"/>
    <w:rsid w:val="006D79D3"/>
    <w:rsid w:val="006E1141"/>
    <w:rsid w:val="006E4F44"/>
    <w:rsid w:val="006E53A9"/>
    <w:rsid w:val="006E6165"/>
    <w:rsid w:val="006F1565"/>
    <w:rsid w:val="006F28A2"/>
    <w:rsid w:val="006F6444"/>
    <w:rsid w:val="00700E75"/>
    <w:rsid w:val="00703DE7"/>
    <w:rsid w:val="00714C87"/>
    <w:rsid w:val="0071674A"/>
    <w:rsid w:val="007219EF"/>
    <w:rsid w:val="00730C82"/>
    <w:rsid w:val="00732D04"/>
    <w:rsid w:val="007351B8"/>
    <w:rsid w:val="00735CE4"/>
    <w:rsid w:val="00746C96"/>
    <w:rsid w:val="007534BC"/>
    <w:rsid w:val="00757287"/>
    <w:rsid w:val="007612FA"/>
    <w:rsid w:val="00764843"/>
    <w:rsid w:val="00764A8D"/>
    <w:rsid w:val="007653BC"/>
    <w:rsid w:val="00774F91"/>
    <w:rsid w:val="00775190"/>
    <w:rsid w:val="0078119F"/>
    <w:rsid w:val="007853A6"/>
    <w:rsid w:val="00791C85"/>
    <w:rsid w:val="00793F8D"/>
    <w:rsid w:val="007A0CEA"/>
    <w:rsid w:val="007A3978"/>
    <w:rsid w:val="007A44ED"/>
    <w:rsid w:val="007B2F07"/>
    <w:rsid w:val="007B3033"/>
    <w:rsid w:val="007B3D4C"/>
    <w:rsid w:val="007B444B"/>
    <w:rsid w:val="007B5A4D"/>
    <w:rsid w:val="007B7D04"/>
    <w:rsid w:val="007C050D"/>
    <w:rsid w:val="007C22C6"/>
    <w:rsid w:val="007D0169"/>
    <w:rsid w:val="007D57D5"/>
    <w:rsid w:val="007E11E5"/>
    <w:rsid w:val="007E1314"/>
    <w:rsid w:val="007E3378"/>
    <w:rsid w:val="007E424C"/>
    <w:rsid w:val="007E4C05"/>
    <w:rsid w:val="007E6AB7"/>
    <w:rsid w:val="00802958"/>
    <w:rsid w:val="00802ACA"/>
    <w:rsid w:val="008035C3"/>
    <w:rsid w:val="0080694B"/>
    <w:rsid w:val="00811538"/>
    <w:rsid w:val="00811707"/>
    <w:rsid w:val="00813A81"/>
    <w:rsid w:val="0081580E"/>
    <w:rsid w:val="00816B0C"/>
    <w:rsid w:val="00816BA9"/>
    <w:rsid w:val="00823301"/>
    <w:rsid w:val="008236B1"/>
    <w:rsid w:val="0082575E"/>
    <w:rsid w:val="00827380"/>
    <w:rsid w:val="00830CF9"/>
    <w:rsid w:val="008316A3"/>
    <w:rsid w:val="00840B00"/>
    <w:rsid w:val="00842AA2"/>
    <w:rsid w:val="00846D8E"/>
    <w:rsid w:val="0085002F"/>
    <w:rsid w:val="00852DD7"/>
    <w:rsid w:val="00856FC8"/>
    <w:rsid w:val="00857483"/>
    <w:rsid w:val="00861DF6"/>
    <w:rsid w:val="0086483E"/>
    <w:rsid w:val="00865598"/>
    <w:rsid w:val="00867A92"/>
    <w:rsid w:val="00867B9E"/>
    <w:rsid w:val="00870068"/>
    <w:rsid w:val="00877EB0"/>
    <w:rsid w:val="00882C73"/>
    <w:rsid w:val="00883CEC"/>
    <w:rsid w:val="00884608"/>
    <w:rsid w:val="00891859"/>
    <w:rsid w:val="00895565"/>
    <w:rsid w:val="0089656C"/>
    <w:rsid w:val="0089720F"/>
    <w:rsid w:val="008A2A6E"/>
    <w:rsid w:val="008A43CC"/>
    <w:rsid w:val="008A4A64"/>
    <w:rsid w:val="008A7C15"/>
    <w:rsid w:val="008B36C4"/>
    <w:rsid w:val="008B5E76"/>
    <w:rsid w:val="008B6DDC"/>
    <w:rsid w:val="008C43AB"/>
    <w:rsid w:val="008C5BE2"/>
    <w:rsid w:val="008D0A3D"/>
    <w:rsid w:val="008D2952"/>
    <w:rsid w:val="008D5909"/>
    <w:rsid w:val="008E7C16"/>
    <w:rsid w:val="008F24DC"/>
    <w:rsid w:val="00901AFE"/>
    <w:rsid w:val="009031DC"/>
    <w:rsid w:val="009046CE"/>
    <w:rsid w:val="0090590E"/>
    <w:rsid w:val="009074E1"/>
    <w:rsid w:val="0091032A"/>
    <w:rsid w:val="009118FF"/>
    <w:rsid w:val="00912FF7"/>
    <w:rsid w:val="00913857"/>
    <w:rsid w:val="0092035A"/>
    <w:rsid w:val="009203C3"/>
    <w:rsid w:val="00921A48"/>
    <w:rsid w:val="00922E84"/>
    <w:rsid w:val="009258DF"/>
    <w:rsid w:val="00926988"/>
    <w:rsid w:val="00934A13"/>
    <w:rsid w:val="00935862"/>
    <w:rsid w:val="00940F71"/>
    <w:rsid w:val="00943B30"/>
    <w:rsid w:val="00944A2C"/>
    <w:rsid w:val="009468BC"/>
    <w:rsid w:val="00946CD2"/>
    <w:rsid w:val="009472F5"/>
    <w:rsid w:val="00953C7A"/>
    <w:rsid w:val="00960FDB"/>
    <w:rsid w:val="00962FCD"/>
    <w:rsid w:val="0096360C"/>
    <w:rsid w:val="00964233"/>
    <w:rsid w:val="00964EB1"/>
    <w:rsid w:val="009651FF"/>
    <w:rsid w:val="00965615"/>
    <w:rsid w:val="00970733"/>
    <w:rsid w:val="009844CE"/>
    <w:rsid w:val="0098544D"/>
    <w:rsid w:val="009859F7"/>
    <w:rsid w:val="00991FB8"/>
    <w:rsid w:val="00992018"/>
    <w:rsid w:val="009A108C"/>
    <w:rsid w:val="009A24F2"/>
    <w:rsid w:val="009A4B5B"/>
    <w:rsid w:val="009B0002"/>
    <w:rsid w:val="009B0020"/>
    <w:rsid w:val="009C04DE"/>
    <w:rsid w:val="009D1A1F"/>
    <w:rsid w:val="009D5748"/>
    <w:rsid w:val="009D72B0"/>
    <w:rsid w:val="009D7B52"/>
    <w:rsid w:val="009E34DA"/>
    <w:rsid w:val="009E4C67"/>
    <w:rsid w:val="009E65ED"/>
    <w:rsid w:val="009E735F"/>
    <w:rsid w:val="009F07FB"/>
    <w:rsid w:val="009F1E09"/>
    <w:rsid w:val="009F6241"/>
    <w:rsid w:val="00A01575"/>
    <w:rsid w:val="00A10D88"/>
    <w:rsid w:val="00A17EE2"/>
    <w:rsid w:val="00A35E49"/>
    <w:rsid w:val="00A3755C"/>
    <w:rsid w:val="00A403CA"/>
    <w:rsid w:val="00A4108A"/>
    <w:rsid w:val="00A41CAA"/>
    <w:rsid w:val="00A508E6"/>
    <w:rsid w:val="00A53C1D"/>
    <w:rsid w:val="00A62067"/>
    <w:rsid w:val="00A63882"/>
    <w:rsid w:val="00A7057A"/>
    <w:rsid w:val="00A72561"/>
    <w:rsid w:val="00A750B6"/>
    <w:rsid w:val="00A760A2"/>
    <w:rsid w:val="00A77538"/>
    <w:rsid w:val="00A80CD8"/>
    <w:rsid w:val="00A83297"/>
    <w:rsid w:val="00A878FB"/>
    <w:rsid w:val="00A90AB7"/>
    <w:rsid w:val="00A9679B"/>
    <w:rsid w:val="00AA3C18"/>
    <w:rsid w:val="00AA5597"/>
    <w:rsid w:val="00AB02E2"/>
    <w:rsid w:val="00AB3372"/>
    <w:rsid w:val="00AC1C71"/>
    <w:rsid w:val="00AC729A"/>
    <w:rsid w:val="00AD45E6"/>
    <w:rsid w:val="00AD5324"/>
    <w:rsid w:val="00AE2CF2"/>
    <w:rsid w:val="00AE689E"/>
    <w:rsid w:val="00AE77C3"/>
    <w:rsid w:val="00B258EE"/>
    <w:rsid w:val="00B36F10"/>
    <w:rsid w:val="00B373AF"/>
    <w:rsid w:val="00B3771A"/>
    <w:rsid w:val="00B40DE4"/>
    <w:rsid w:val="00B41011"/>
    <w:rsid w:val="00B42918"/>
    <w:rsid w:val="00B50DAA"/>
    <w:rsid w:val="00B51C15"/>
    <w:rsid w:val="00B543C2"/>
    <w:rsid w:val="00B569F4"/>
    <w:rsid w:val="00B602B7"/>
    <w:rsid w:val="00B61E76"/>
    <w:rsid w:val="00B634A3"/>
    <w:rsid w:val="00B7173F"/>
    <w:rsid w:val="00B7359A"/>
    <w:rsid w:val="00B748D0"/>
    <w:rsid w:val="00B76438"/>
    <w:rsid w:val="00B7661C"/>
    <w:rsid w:val="00B80186"/>
    <w:rsid w:val="00B83610"/>
    <w:rsid w:val="00B90A5E"/>
    <w:rsid w:val="00B90F0B"/>
    <w:rsid w:val="00B94E3B"/>
    <w:rsid w:val="00B960E0"/>
    <w:rsid w:val="00B96194"/>
    <w:rsid w:val="00B97BF2"/>
    <w:rsid w:val="00BA15E9"/>
    <w:rsid w:val="00BA23CF"/>
    <w:rsid w:val="00BA2991"/>
    <w:rsid w:val="00BA3A88"/>
    <w:rsid w:val="00BA5DCE"/>
    <w:rsid w:val="00BA7F15"/>
    <w:rsid w:val="00BB3562"/>
    <w:rsid w:val="00BB5E73"/>
    <w:rsid w:val="00BB7044"/>
    <w:rsid w:val="00BC0E5B"/>
    <w:rsid w:val="00BC2ABD"/>
    <w:rsid w:val="00BC3333"/>
    <w:rsid w:val="00BC44F7"/>
    <w:rsid w:val="00BD126D"/>
    <w:rsid w:val="00BD1CE2"/>
    <w:rsid w:val="00BD5F55"/>
    <w:rsid w:val="00BE3052"/>
    <w:rsid w:val="00BE4B52"/>
    <w:rsid w:val="00BF676E"/>
    <w:rsid w:val="00BF7D35"/>
    <w:rsid w:val="00C03DBD"/>
    <w:rsid w:val="00C04309"/>
    <w:rsid w:val="00C0486A"/>
    <w:rsid w:val="00C05120"/>
    <w:rsid w:val="00C078FD"/>
    <w:rsid w:val="00C10C16"/>
    <w:rsid w:val="00C1296C"/>
    <w:rsid w:val="00C15BC0"/>
    <w:rsid w:val="00C22742"/>
    <w:rsid w:val="00C22C53"/>
    <w:rsid w:val="00C23982"/>
    <w:rsid w:val="00C2538E"/>
    <w:rsid w:val="00C32396"/>
    <w:rsid w:val="00C40059"/>
    <w:rsid w:val="00C420E9"/>
    <w:rsid w:val="00C51E83"/>
    <w:rsid w:val="00C51F45"/>
    <w:rsid w:val="00C523C3"/>
    <w:rsid w:val="00C5322A"/>
    <w:rsid w:val="00C561B4"/>
    <w:rsid w:val="00C6114B"/>
    <w:rsid w:val="00C616D7"/>
    <w:rsid w:val="00C6525C"/>
    <w:rsid w:val="00C74542"/>
    <w:rsid w:val="00C76A53"/>
    <w:rsid w:val="00C76EB0"/>
    <w:rsid w:val="00C8026E"/>
    <w:rsid w:val="00C810A6"/>
    <w:rsid w:val="00C82054"/>
    <w:rsid w:val="00C85F11"/>
    <w:rsid w:val="00C90DE3"/>
    <w:rsid w:val="00C91627"/>
    <w:rsid w:val="00C95977"/>
    <w:rsid w:val="00CA01A6"/>
    <w:rsid w:val="00CA0760"/>
    <w:rsid w:val="00CA0D6A"/>
    <w:rsid w:val="00CA0E47"/>
    <w:rsid w:val="00CA1FB8"/>
    <w:rsid w:val="00CA682D"/>
    <w:rsid w:val="00CA7769"/>
    <w:rsid w:val="00CB1C7E"/>
    <w:rsid w:val="00CB3A78"/>
    <w:rsid w:val="00CB49F4"/>
    <w:rsid w:val="00CB61D3"/>
    <w:rsid w:val="00CB6CD9"/>
    <w:rsid w:val="00CB7D64"/>
    <w:rsid w:val="00CB7ED3"/>
    <w:rsid w:val="00CC13BB"/>
    <w:rsid w:val="00CC57FE"/>
    <w:rsid w:val="00CD1EAD"/>
    <w:rsid w:val="00CE4B09"/>
    <w:rsid w:val="00CF2E46"/>
    <w:rsid w:val="00D003B9"/>
    <w:rsid w:val="00D018AF"/>
    <w:rsid w:val="00D03AE2"/>
    <w:rsid w:val="00D04F1B"/>
    <w:rsid w:val="00D057F8"/>
    <w:rsid w:val="00D10381"/>
    <w:rsid w:val="00D118CE"/>
    <w:rsid w:val="00D202D4"/>
    <w:rsid w:val="00D207C9"/>
    <w:rsid w:val="00D24A6F"/>
    <w:rsid w:val="00D34A6C"/>
    <w:rsid w:val="00D364F2"/>
    <w:rsid w:val="00D452F4"/>
    <w:rsid w:val="00D47FC9"/>
    <w:rsid w:val="00D5308B"/>
    <w:rsid w:val="00D562D2"/>
    <w:rsid w:val="00D60185"/>
    <w:rsid w:val="00D6128B"/>
    <w:rsid w:val="00D6184E"/>
    <w:rsid w:val="00D64EEF"/>
    <w:rsid w:val="00D66012"/>
    <w:rsid w:val="00D73787"/>
    <w:rsid w:val="00D75FE9"/>
    <w:rsid w:val="00D833FF"/>
    <w:rsid w:val="00D842B1"/>
    <w:rsid w:val="00D84BDF"/>
    <w:rsid w:val="00D850CE"/>
    <w:rsid w:val="00D924C3"/>
    <w:rsid w:val="00D93135"/>
    <w:rsid w:val="00DA1FDE"/>
    <w:rsid w:val="00DA3D0F"/>
    <w:rsid w:val="00DA46E9"/>
    <w:rsid w:val="00DA5979"/>
    <w:rsid w:val="00DB1F22"/>
    <w:rsid w:val="00DB7560"/>
    <w:rsid w:val="00DC011D"/>
    <w:rsid w:val="00DC337A"/>
    <w:rsid w:val="00DC35CF"/>
    <w:rsid w:val="00DC5108"/>
    <w:rsid w:val="00DC689A"/>
    <w:rsid w:val="00DC6C6D"/>
    <w:rsid w:val="00DC79EE"/>
    <w:rsid w:val="00DD3FB5"/>
    <w:rsid w:val="00DD633A"/>
    <w:rsid w:val="00DD73BE"/>
    <w:rsid w:val="00DE39AD"/>
    <w:rsid w:val="00DE684F"/>
    <w:rsid w:val="00DE6EB1"/>
    <w:rsid w:val="00DF0D48"/>
    <w:rsid w:val="00DF10B8"/>
    <w:rsid w:val="00DF140E"/>
    <w:rsid w:val="00DF3859"/>
    <w:rsid w:val="00DF40FC"/>
    <w:rsid w:val="00DF4AC6"/>
    <w:rsid w:val="00E010F5"/>
    <w:rsid w:val="00E01547"/>
    <w:rsid w:val="00E12EF6"/>
    <w:rsid w:val="00E14F84"/>
    <w:rsid w:val="00E16907"/>
    <w:rsid w:val="00E23369"/>
    <w:rsid w:val="00E30896"/>
    <w:rsid w:val="00E3096A"/>
    <w:rsid w:val="00E32058"/>
    <w:rsid w:val="00E33098"/>
    <w:rsid w:val="00E356CE"/>
    <w:rsid w:val="00E35B41"/>
    <w:rsid w:val="00E43087"/>
    <w:rsid w:val="00E46B09"/>
    <w:rsid w:val="00E546CC"/>
    <w:rsid w:val="00E54F8A"/>
    <w:rsid w:val="00E61D6D"/>
    <w:rsid w:val="00E6325B"/>
    <w:rsid w:val="00E66FEB"/>
    <w:rsid w:val="00E671C9"/>
    <w:rsid w:val="00E71B34"/>
    <w:rsid w:val="00E743A0"/>
    <w:rsid w:val="00E7449B"/>
    <w:rsid w:val="00E7697C"/>
    <w:rsid w:val="00E8076E"/>
    <w:rsid w:val="00E839E7"/>
    <w:rsid w:val="00E846BF"/>
    <w:rsid w:val="00E94CEC"/>
    <w:rsid w:val="00EA1A9E"/>
    <w:rsid w:val="00EA644C"/>
    <w:rsid w:val="00EA6F3D"/>
    <w:rsid w:val="00EE2454"/>
    <w:rsid w:val="00EE3961"/>
    <w:rsid w:val="00EF040C"/>
    <w:rsid w:val="00EF30A1"/>
    <w:rsid w:val="00F046EB"/>
    <w:rsid w:val="00F215BD"/>
    <w:rsid w:val="00F23FF5"/>
    <w:rsid w:val="00F24D71"/>
    <w:rsid w:val="00F30A6E"/>
    <w:rsid w:val="00F31978"/>
    <w:rsid w:val="00F35025"/>
    <w:rsid w:val="00F412B1"/>
    <w:rsid w:val="00F4504C"/>
    <w:rsid w:val="00F54DBA"/>
    <w:rsid w:val="00F5535C"/>
    <w:rsid w:val="00F55699"/>
    <w:rsid w:val="00F572EC"/>
    <w:rsid w:val="00F6007D"/>
    <w:rsid w:val="00F61B62"/>
    <w:rsid w:val="00F62FC9"/>
    <w:rsid w:val="00F64856"/>
    <w:rsid w:val="00F648C9"/>
    <w:rsid w:val="00F67DFE"/>
    <w:rsid w:val="00F74FF0"/>
    <w:rsid w:val="00F7699D"/>
    <w:rsid w:val="00F778C6"/>
    <w:rsid w:val="00F84806"/>
    <w:rsid w:val="00F875AC"/>
    <w:rsid w:val="00F90A96"/>
    <w:rsid w:val="00F918BC"/>
    <w:rsid w:val="00F92A75"/>
    <w:rsid w:val="00F94104"/>
    <w:rsid w:val="00F941A7"/>
    <w:rsid w:val="00F966E4"/>
    <w:rsid w:val="00FA00E5"/>
    <w:rsid w:val="00FA2187"/>
    <w:rsid w:val="00FA3A75"/>
    <w:rsid w:val="00FA5F23"/>
    <w:rsid w:val="00FA6A71"/>
    <w:rsid w:val="00FB1085"/>
    <w:rsid w:val="00FB11C4"/>
    <w:rsid w:val="00FB4530"/>
    <w:rsid w:val="00FB7E3C"/>
    <w:rsid w:val="00FC1A46"/>
    <w:rsid w:val="00FC1AD2"/>
    <w:rsid w:val="00FC20AD"/>
    <w:rsid w:val="00FC2703"/>
    <w:rsid w:val="00FC56F1"/>
    <w:rsid w:val="00FC5C65"/>
    <w:rsid w:val="00FC6619"/>
    <w:rsid w:val="00FC72EA"/>
    <w:rsid w:val="00FD287B"/>
    <w:rsid w:val="00FD5D18"/>
    <w:rsid w:val="00FD7D1B"/>
    <w:rsid w:val="00FE11B6"/>
    <w:rsid w:val="00FE53DF"/>
    <w:rsid w:val="00FE57AF"/>
    <w:rsid w:val="00FE674B"/>
    <w:rsid w:val="00FF01FC"/>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tabs>
        <w:tab w:val="clear" w:pos="5760"/>
      </w:tabs>
      <w:spacing w:before="80" w:after="60"/>
      <w:ind w:left="5400" w:hanging="3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tabs>
        <w:tab w:val="clear" w:pos="700"/>
        <w:tab w:val="num" w:pos="1080"/>
      </w:tabs>
      <w:spacing w:before="180" w:after="60"/>
      <w:ind w:left="1080" w:hanging="1080"/>
      <w:outlineLvl w:val="4"/>
    </w:pPr>
    <w:rPr>
      <w:rFonts w:ascii="Arial" w:hAnsi="Arial"/>
      <w:b/>
    </w:rPr>
  </w:style>
  <w:style w:type="paragraph" w:styleId="Header">
    <w:name w:val="header"/>
    <w:basedOn w:val="Normal"/>
    <w:link w:val="HeaderChar"/>
    <w:uiPriority w:val="99"/>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styleId="UnresolvedMention">
    <w:name w:val="Unresolved Mention"/>
    <w:basedOn w:val="DefaultParagraphFont"/>
    <w:uiPriority w:val="99"/>
    <w:semiHidden/>
    <w:unhideWhenUsed/>
    <w:rsid w:val="00263E02"/>
    <w:rPr>
      <w:color w:val="605E5C"/>
      <w:shd w:val="clear" w:color="auto" w:fill="E1DFDD"/>
    </w:rPr>
  </w:style>
  <w:style w:type="paragraph" w:styleId="Revision">
    <w:name w:val="Revision"/>
    <w:hidden/>
    <w:uiPriority w:val="99"/>
    <w:semiHidden/>
    <w:rsid w:val="00181BC6"/>
    <w:rPr>
      <w:rFonts w:ascii="Calibri" w:hAnsi="Calibri"/>
      <w:sz w:val="24"/>
    </w:rPr>
  </w:style>
  <w:style w:type="paragraph" w:customStyle="1" w:styleId="m4332841467621231132xmsonormal">
    <w:name w:val="m_4332841467621231132xmsonormal"/>
    <w:basedOn w:val="Normal"/>
    <w:rsid w:val="00CA7769"/>
    <w:pPr>
      <w:spacing w:before="100" w:beforeAutospacing="1" w:after="100" w:afterAutospacing="1"/>
    </w:pPr>
    <w:rPr>
      <w:rFonts w:eastAsiaTheme="minorHAnsi" w:cs="Calibri"/>
      <w:sz w:val="22"/>
      <w:szCs w:val="22"/>
      <w:lang w:eastAsia="en-AU"/>
    </w:rPr>
  </w:style>
  <w:style w:type="character" w:customStyle="1" w:styleId="Heading3Char">
    <w:name w:val="Heading 3 Char"/>
    <w:link w:val="Heading3"/>
    <w:uiPriority w:val="9"/>
    <w:rsid w:val="001C7C9C"/>
    <w:rPr>
      <w:rFonts w:ascii="Calibri" w:hAnsi="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86428">
      <w:bodyDiv w:val="1"/>
      <w:marLeft w:val="0"/>
      <w:marRight w:val="0"/>
      <w:marTop w:val="0"/>
      <w:marBottom w:val="0"/>
      <w:divBdr>
        <w:top w:val="none" w:sz="0" w:space="0" w:color="auto"/>
        <w:left w:val="none" w:sz="0" w:space="0" w:color="auto"/>
        <w:bottom w:val="none" w:sz="0" w:space="0" w:color="auto"/>
        <w:right w:val="none" w:sz="0" w:space="0" w:color="auto"/>
      </w:divBdr>
    </w:div>
    <w:div w:id="1456607620">
      <w:bodyDiv w:val="1"/>
      <w:marLeft w:val="0"/>
      <w:marRight w:val="0"/>
      <w:marTop w:val="0"/>
      <w:marBottom w:val="0"/>
      <w:divBdr>
        <w:top w:val="none" w:sz="0" w:space="0" w:color="auto"/>
        <w:left w:val="none" w:sz="0" w:space="0" w:color="auto"/>
        <w:bottom w:val="none" w:sz="0" w:space="0" w:color="auto"/>
        <w:right w:val="none" w:sz="0" w:space="0" w:color="auto"/>
      </w:divBdr>
    </w:div>
    <w:div w:id="186825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economy/price-indexes-and-inflation/wage-price-index-australia/dec-2025" TargetMode="External"/><Relationship Id="rId1" Type="http://schemas.openxmlformats.org/officeDocument/2006/relationships/hyperlink" Target="https://www.abs.gov.au/statistics/economy/price-indexes-and-inflation/consumer-price-index-australia/ma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346F7D77-BCBF-4C62-8352-2E34878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2264</Words>
  <Characters>12459</Characters>
  <Application>Microsoft Office Word</Application>
  <DocSecurity>0</DocSecurity>
  <Lines>276</Lines>
  <Paragraphs>165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Remuneration</dc:subject>
  <dc:creator>Secretary, ACT Remuneration Tribunal</dc:creator>
  <cp:lastModifiedBy>Wiggins, TaylorX</cp:lastModifiedBy>
  <cp:revision>21</cp:revision>
  <cp:lastPrinted>2026-05-14T05:49:00Z</cp:lastPrinted>
  <dcterms:created xsi:type="dcterms:W3CDTF">2026-04-21T05:45:00Z</dcterms:created>
  <dcterms:modified xsi:type="dcterms:W3CDTF">2026-05-14T05:49:00Z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2024-04-18T04:38:11Z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951ba52f-2d83-46f2-b6a7-965cce966a74</vt:lpwstr>
  </property>
  <property fmtid="{D5CDD505-2E9C-101B-9397-08002B2CF9AE}" pid="18" name="MSIP_Label_69af8531-eb46-4968-8cb3-105d2f5ea87e_ContentBits">
    <vt:lpwstr>0</vt:lpwstr>
  </property>
</Properties>
</file>