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67" w:rsidRPr="003B1A08" w:rsidRDefault="00045FE9" w:rsidP="009E4C67">
      <w:pPr>
        <w:keepNext/>
        <w:keepLines/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>
            <wp:extent cx="1010285" cy="92519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 xml:space="preserve">      </w:t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E35C4B" w:rsidRPr="003B1A08" w:rsidRDefault="00E35C4B" w:rsidP="00E35C4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 xml:space="preserve">ACT Supreme Court </w:t>
      </w:r>
      <w:r w:rsidR="0081241E">
        <w:t>– Travel Allowance for the Associate Judge</w:t>
      </w:r>
    </w:p>
    <w:p w:rsidR="00D56A6B" w:rsidRPr="00F215BD" w:rsidRDefault="00D56A6B" w:rsidP="00D56A6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E76A9F">
        <w:t>6</w:t>
      </w:r>
      <w:r w:rsidR="0064269D">
        <w:t xml:space="preserve"> </w:t>
      </w:r>
      <w:r w:rsidRPr="00F215BD">
        <w:t xml:space="preserve">of </w:t>
      </w:r>
      <w:r w:rsidR="00D02D9B">
        <w:t>201</w:t>
      </w:r>
      <w:r w:rsidR="006A7E03">
        <w:t>7</w:t>
      </w:r>
    </w:p>
    <w:p w:rsidR="009E4C67" w:rsidRPr="003B1A08" w:rsidRDefault="009E4C67" w:rsidP="008E31D4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8E31D4" w:rsidRDefault="007F3DA2" w:rsidP="008E31D4">
      <w:pPr>
        <w:rPr>
          <w:rFonts w:cs="Arial"/>
          <w:b/>
        </w:rPr>
      </w:pPr>
      <w:r w:rsidRPr="008E31D4">
        <w:rPr>
          <w:rFonts w:cs="Arial"/>
          <w:b/>
          <w:i/>
        </w:rPr>
        <w:t>Remuneration Tribunal Act 1995</w:t>
      </w:r>
    </w:p>
    <w:p w:rsidR="00C11250" w:rsidRDefault="009E4C67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>AC</w:t>
      </w:r>
      <w:r w:rsidR="00FB3B06">
        <w:t>C</w:t>
      </w:r>
      <w:r w:rsidRPr="00F215BD">
        <w:t>OMPANYING STATEMENT</w:t>
      </w:r>
    </w:p>
    <w:p w:rsidR="009E4C67" w:rsidRPr="00F778DA" w:rsidRDefault="009E4C67" w:rsidP="009E4C67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:rsidR="00C11250" w:rsidRDefault="009E4C67" w:rsidP="00625249">
      <w:pPr>
        <w:pStyle w:val="Heading2"/>
        <w:spacing w:after="0"/>
      </w:pPr>
      <w:r>
        <w:t>Background</w:t>
      </w:r>
    </w:p>
    <w:p w:rsidR="007B682B" w:rsidRDefault="007B682B" w:rsidP="0081241E">
      <w:pPr>
        <w:spacing w:before="120" w:after="60"/>
      </w:pPr>
      <w:r>
        <w:t xml:space="preserve">Under section 10 of the </w:t>
      </w:r>
      <w:r w:rsidRPr="007B682B">
        <w:rPr>
          <w:i/>
        </w:rPr>
        <w:t>Remuneration Tribunal Act 1995</w:t>
      </w:r>
      <w:r>
        <w:t xml:space="preserve"> (the Act), the Remuneration Tribunal (the Tribunal) must inquire into and determine the remuneration, allowances and other entitlements to be paid to the holders of Judicial positions mentioned in Schedule 1 of the Act, including the Chief Justice of the ACT Supreme Court, the Associate Judge and Acting Judges. For the Chief Justice, this entitlement is in addition to their entitlements as a resident judge under the </w:t>
      </w:r>
      <w:r w:rsidRPr="007B682B">
        <w:rPr>
          <w:i/>
        </w:rPr>
        <w:t>Supreme Court Act 1933</w:t>
      </w:r>
      <w:r>
        <w:t>.</w:t>
      </w:r>
    </w:p>
    <w:p w:rsidR="0081241E" w:rsidRDefault="0081241E" w:rsidP="0081241E">
      <w:pPr>
        <w:spacing w:before="120" w:after="60"/>
        <w:rPr>
          <w:rFonts w:cs="Arial"/>
          <w:szCs w:val="24"/>
          <w:lang w:val="en-US"/>
        </w:rPr>
      </w:pPr>
      <w:r>
        <w:t xml:space="preserve">The Attorney-General, Mr Gordon Ramsay MLA, wrote to the </w:t>
      </w:r>
      <w:r>
        <w:rPr>
          <w:rFonts w:cs="Arial"/>
          <w:szCs w:val="24"/>
          <w:lang w:val="en-US"/>
        </w:rPr>
        <w:t xml:space="preserve">Tribunal on 14 March 2017 requesting </w:t>
      </w:r>
      <w:r w:rsidR="00D02B2F">
        <w:rPr>
          <w:rFonts w:cs="Arial"/>
          <w:szCs w:val="24"/>
          <w:lang w:val="en-US"/>
        </w:rPr>
        <w:t>that</w:t>
      </w:r>
      <w:r>
        <w:rPr>
          <w:rFonts w:cs="Arial"/>
          <w:szCs w:val="24"/>
          <w:lang w:val="en-US"/>
        </w:rPr>
        <w:t xml:space="preserve"> the Associate Judge’s entitlements in relation to travel</w:t>
      </w:r>
      <w:r w:rsidR="00D02B2F">
        <w:rPr>
          <w:rFonts w:cs="Arial"/>
          <w:szCs w:val="24"/>
          <w:lang w:val="en-US"/>
        </w:rPr>
        <w:t xml:space="preserve"> allowance be </w:t>
      </w:r>
      <w:r w:rsidR="009F7B72">
        <w:rPr>
          <w:rFonts w:cs="Arial"/>
          <w:szCs w:val="24"/>
          <w:lang w:val="en-US"/>
        </w:rPr>
        <w:t>reviewed</w:t>
      </w:r>
      <w:r>
        <w:rPr>
          <w:rFonts w:cs="Arial"/>
          <w:szCs w:val="24"/>
          <w:lang w:val="en-US"/>
        </w:rPr>
        <w:t xml:space="preserve">. </w:t>
      </w:r>
    </w:p>
    <w:p w:rsidR="0081241E" w:rsidRPr="0081241E" w:rsidRDefault="0081241E" w:rsidP="0081241E">
      <w:pPr>
        <w:spacing w:before="120" w:after="60"/>
        <w:rPr>
          <w:b/>
        </w:rPr>
      </w:pPr>
      <w:r>
        <w:rPr>
          <w:rFonts w:cs="Arial"/>
          <w:b/>
          <w:szCs w:val="24"/>
          <w:lang w:val="en-US"/>
        </w:rPr>
        <w:t>Decision</w:t>
      </w:r>
    </w:p>
    <w:p w:rsidR="008C5675" w:rsidRDefault="0081241E" w:rsidP="0081241E">
      <w:pPr>
        <w:spacing w:before="120" w:after="6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The Tribunal noted the travel allowance for the Associate Judge of the ACT Supreme Court should be consistent </w:t>
      </w:r>
      <w:r w:rsidR="008C5675">
        <w:rPr>
          <w:rFonts w:cs="Arial"/>
          <w:szCs w:val="24"/>
          <w:lang w:val="en-US"/>
        </w:rPr>
        <w:t xml:space="preserve">with other </w:t>
      </w:r>
      <w:r w:rsidR="007B682B">
        <w:rPr>
          <w:rFonts w:cs="Arial"/>
          <w:szCs w:val="24"/>
          <w:lang w:val="en-US"/>
        </w:rPr>
        <w:t xml:space="preserve">ACT </w:t>
      </w:r>
      <w:r w:rsidR="008C5675">
        <w:rPr>
          <w:rFonts w:cs="Arial"/>
          <w:szCs w:val="24"/>
          <w:lang w:val="en-US"/>
        </w:rPr>
        <w:t>Supreme Court Judges.</w:t>
      </w:r>
    </w:p>
    <w:p w:rsidR="0081241E" w:rsidRDefault="009F7B72" w:rsidP="0081241E">
      <w:pPr>
        <w:spacing w:before="120" w:after="60"/>
        <w:rPr>
          <w:rFonts w:cs="Arial"/>
          <w:szCs w:val="24"/>
        </w:rPr>
      </w:pPr>
      <w:r>
        <w:rPr>
          <w:rFonts w:cs="Arial"/>
          <w:szCs w:val="24"/>
        </w:rPr>
        <w:t>The Commonwealth Remuneration Tribunal determines such an allowance</w:t>
      </w:r>
      <w:r w:rsidR="0081241E">
        <w:rPr>
          <w:rFonts w:cs="Arial"/>
          <w:szCs w:val="24"/>
        </w:rPr>
        <w:t xml:space="preserve"> </w:t>
      </w:r>
      <w:bookmarkStart w:id="1" w:name="_GoBack"/>
      <w:bookmarkEnd w:id="1"/>
      <w:r w:rsidR="0081241E">
        <w:rPr>
          <w:rFonts w:cs="Arial"/>
          <w:szCs w:val="24"/>
        </w:rPr>
        <w:t>and those determinations change from time to time.</w:t>
      </w:r>
      <w:r>
        <w:rPr>
          <w:rFonts w:cs="Arial"/>
          <w:szCs w:val="24"/>
        </w:rPr>
        <w:t xml:space="preserve">  The current determination is </w:t>
      </w:r>
      <w:r w:rsidR="0064269D">
        <w:rPr>
          <w:rFonts w:cs="Arial"/>
          <w:szCs w:val="24"/>
        </w:rPr>
        <w:t>2016/07</w:t>
      </w:r>
      <w:r>
        <w:rPr>
          <w:rFonts w:cs="Arial"/>
          <w:szCs w:val="24"/>
        </w:rPr>
        <w:t>.</w:t>
      </w:r>
    </w:p>
    <w:p w:rsidR="008C5675" w:rsidRDefault="008C5675" w:rsidP="0081241E">
      <w:pPr>
        <w:spacing w:before="120" w:after="60"/>
        <w:rPr>
          <w:rFonts w:cs="Arial"/>
          <w:szCs w:val="24"/>
        </w:rPr>
      </w:pPr>
      <w:r>
        <w:rPr>
          <w:rFonts w:cs="Arial"/>
          <w:szCs w:val="24"/>
        </w:rPr>
        <w:t xml:space="preserve">This arrangement will be incorporated into the general determination for judicial positions in the ACT Supreme Court at the Tribunal’s 2017 </w:t>
      </w:r>
      <w:proofErr w:type="gramStart"/>
      <w:r>
        <w:rPr>
          <w:rFonts w:cs="Arial"/>
          <w:szCs w:val="24"/>
        </w:rPr>
        <w:t>Spring</w:t>
      </w:r>
      <w:proofErr w:type="gramEnd"/>
      <w:r>
        <w:rPr>
          <w:rFonts w:cs="Arial"/>
          <w:szCs w:val="24"/>
        </w:rPr>
        <w:t xml:space="preserve"> review.</w:t>
      </w:r>
    </w:p>
    <w:p w:rsidR="007B682B" w:rsidRDefault="007B682B" w:rsidP="0081241E">
      <w:pPr>
        <w:spacing w:before="120" w:after="60"/>
        <w:rPr>
          <w:rFonts w:cs="Arial"/>
          <w:szCs w:val="24"/>
        </w:rPr>
      </w:pPr>
      <w:r>
        <w:rPr>
          <w:rFonts w:cs="Arial"/>
          <w:szCs w:val="24"/>
        </w:rPr>
        <w:t>Thi</w:t>
      </w:r>
      <w:r w:rsidR="0019789D">
        <w:rPr>
          <w:rFonts w:cs="Arial"/>
          <w:szCs w:val="24"/>
        </w:rPr>
        <w:t>s D</w:t>
      </w:r>
      <w:r>
        <w:rPr>
          <w:rFonts w:cs="Arial"/>
          <w:szCs w:val="24"/>
        </w:rPr>
        <w:t xml:space="preserve">etermination </w:t>
      </w:r>
      <w:r w:rsidR="00E76A9F">
        <w:rPr>
          <w:rFonts w:cs="Arial"/>
          <w:szCs w:val="24"/>
        </w:rPr>
        <w:t>6</w:t>
      </w:r>
      <w:r w:rsidR="0064269D">
        <w:rPr>
          <w:rFonts w:cs="Arial"/>
          <w:szCs w:val="24"/>
        </w:rPr>
        <w:t xml:space="preserve"> </w:t>
      </w:r>
      <w:r w:rsidR="0019789D">
        <w:rPr>
          <w:rFonts w:cs="Arial"/>
          <w:szCs w:val="24"/>
        </w:rPr>
        <w:t xml:space="preserve">of 2017 </w:t>
      </w:r>
      <w:r>
        <w:rPr>
          <w:rFonts w:cs="Arial"/>
          <w:szCs w:val="24"/>
        </w:rPr>
        <w:t xml:space="preserve">replaces and revokes clauses 4 and 5 of </w:t>
      </w:r>
      <w:r w:rsidR="0019789D">
        <w:rPr>
          <w:rFonts w:cs="Arial"/>
          <w:szCs w:val="24"/>
        </w:rPr>
        <w:br/>
      </w:r>
      <w:r>
        <w:rPr>
          <w:rFonts w:cs="Arial"/>
          <w:szCs w:val="24"/>
        </w:rPr>
        <w:t xml:space="preserve">Determination 1 of 2017 (ACT Supreme Court Judicial Positions). Other clauses </w:t>
      </w:r>
      <w:r w:rsidR="0019789D">
        <w:rPr>
          <w:rFonts w:cs="Arial"/>
          <w:szCs w:val="24"/>
        </w:rPr>
        <w:t>outlined in Determination</w:t>
      </w:r>
      <w:r>
        <w:rPr>
          <w:rFonts w:cs="Arial"/>
          <w:szCs w:val="24"/>
        </w:rPr>
        <w:t xml:space="preserve"> 1 o</w:t>
      </w:r>
      <w:r w:rsidR="0019789D">
        <w:rPr>
          <w:rFonts w:cs="Arial"/>
          <w:szCs w:val="24"/>
        </w:rPr>
        <w:t>f</w:t>
      </w:r>
      <w:r>
        <w:rPr>
          <w:rFonts w:cs="Arial"/>
          <w:szCs w:val="24"/>
        </w:rPr>
        <w:t xml:space="preserve"> 2017 still apply.</w:t>
      </w:r>
    </w:p>
    <w:p w:rsidR="008C5675" w:rsidRPr="0081241E" w:rsidRDefault="008C5675" w:rsidP="0081241E">
      <w:pPr>
        <w:spacing w:before="120" w:after="60"/>
        <w:rPr>
          <w:rFonts w:cs="Arial"/>
          <w:szCs w:val="24"/>
        </w:rPr>
      </w:pPr>
    </w:p>
    <w:p w:rsidR="00C11250" w:rsidRDefault="009E4C67" w:rsidP="00625249">
      <w:pPr>
        <w:ind w:left="360"/>
        <w:jc w:val="right"/>
        <w:rPr>
          <w:szCs w:val="24"/>
        </w:rPr>
      </w:pPr>
      <w:r w:rsidRPr="0015430B">
        <w:rPr>
          <w:szCs w:val="24"/>
        </w:rPr>
        <w:t>ACT Remuneration Tribunal</w:t>
      </w:r>
    </w:p>
    <w:p w:rsidR="009E4C67" w:rsidRPr="003B1A08" w:rsidRDefault="0081241E" w:rsidP="00625249">
      <w:pPr>
        <w:ind w:left="360"/>
        <w:jc w:val="right"/>
        <w:rPr>
          <w:rFonts w:cs="Arial"/>
        </w:rPr>
        <w:sectPr w:rsidR="009E4C67" w:rsidRPr="003B1A08" w:rsidSect="00DD73BE">
          <w:footerReference w:type="default" r:id="rId10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26"/>
        </w:sectPr>
      </w:pPr>
      <w:r>
        <w:rPr>
          <w:szCs w:val="24"/>
        </w:rPr>
        <w:t>April</w:t>
      </w:r>
      <w:r w:rsidR="00B74CF4">
        <w:rPr>
          <w:szCs w:val="24"/>
        </w:rPr>
        <w:t xml:space="preserve"> </w:t>
      </w:r>
      <w:r w:rsidR="005A64DB">
        <w:rPr>
          <w:szCs w:val="24"/>
        </w:rPr>
        <w:t>201</w:t>
      </w:r>
      <w:r w:rsidR="00B74CF4">
        <w:rPr>
          <w:szCs w:val="24"/>
        </w:rPr>
        <w:t>7</w:t>
      </w:r>
    </w:p>
    <w:p w:rsidR="009E4C67" w:rsidRPr="003B1A08" w:rsidRDefault="00045FE9" w:rsidP="009E4C67">
      <w:pPr>
        <w:spacing w:before="120"/>
        <w:jc w:val="right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>
            <wp:extent cx="1010285" cy="92519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ab/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8C5675" w:rsidRPr="003B1A08" w:rsidRDefault="008C5675" w:rsidP="008C5675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– Travel Allowance for the Associate Judge</w:t>
      </w:r>
    </w:p>
    <w:p w:rsidR="00896DBC" w:rsidRPr="00F215BD" w:rsidRDefault="00896DBC" w:rsidP="00896DBC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E76A9F">
        <w:t>6</w:t>
      </w:r>
      <w:r w:rsidR="0064269D">
        <w:t xml:space="preserve"> </w:t>
      </w:r>
      <w:r w:rsidRPr="00F215BD">
        <w:t xml:space="preserve">of </w:t>
      </w:r>
      <w:r>
        <w:t>201</w:t>
      </w:r>
      <w:r w:rsidR="00E80AA9">
        <w:t>7</w:t>
      </w:r>
    </w:p>
    <w:p w:rsidR="009E4C67" w:rsidRPr="003B1A08" w:rsidRDefault="009E4C67" w:rsidP="008E31D4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8E31D4" w:rsidRDefault="009E4C67" w:rsidP="008E31D4">
      <w:pPr>
        <w:rPr>
          <w:rFonts w:cs="Arial"/>
          <w:b/>
        </w:rPr>
      </w:pPr>
      <w:r w:rsidRPr="008E31D4">
        <w:rPr>
          <w:rFonts w:cs="Arial"/>
          <w:b/>
          <w:i/>
        </w:rPr>
        <w:t>Remuneration Tribunal Act 1995</w:t>
      </w:r>
    </w:p>
    <w:p w:rsidR="009E4C67" w:rsidRPr="003B1A08" w:rsidRDefault="009E4C67" w:rsidP="009E4C67">
      <w:pPr>
        <w:pStyle w:val="N-line3"/>
        <w:pBdr>
          <w:bottom w:val="none" w:sz="0" w:space="0" w:color="auto"/>
        </w:pBdr>
      </w:pPr>
    </w:p>
    <w:p w:rsidR="00C11250" w:rsidRDefault="00C11250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:rsidR="00C11250" w:rsidRDefault="007F3DA2">
      <w:pPr>
        <w:pStyle w:val="Heading2"/>
        <w:spacing w:before="120" w:after="60"/>
      </w:pPr>
      <w:r w:rsidRPr="007F3DA2">
        <w:t>1. Commencement</w:t>
      </w:r>
    </w:p>
    <w:p w:rsidR="00C11250" w:rsidRDefault="00535602">
      <w:pPr>
        <w:spacing w:before="120" w:after="60"/>
      </w:pPr>
      <w:r>
        <w:t xml:space="preserve">This instrument </w:t>
      </w:r>
      <w:r w:rsidRPr="00752DF2">
        <w:t>commence</w:t>
      </w:r>
      <w:r w:rsidR="00A2716C" w:rsidRPr="00752DF2">
        <w:t>s</w:t>
      </w:r>
      <w:r w:rsidR="007F3DA2" w:rsidRPr="00752DF2">
        <w:t xml:space="preserve"> </w:t>
      </w:r>
      <w:r w:rsidR="00896DBC" w:rsidRPr="00752DF2">
        <w:t xml:space="preserve">1 </w:t>
      </w:r>
      <w:r w:rsidR="009734D5" w:rsidRPr="00752DF2">
        <w:t xml:space="preserve">January </w:t>
      </w:r>
      <w:r w:rsidR="00896DBC" w:rsidRPr="00752DF2">
        <w:t>201</w:t>
      </w:r>
      <w:r w:rsidR="009734D5" w:rsidRPr="00752DF2">
        <w:t>7</w:t>
      </w:r>
      <w:r w:rsidR="007F3DA2" w:rsidRPr="00752DF2">
        <w:t>.</w:t>
      </w:r>
    </w:p>
    <w:p w:rsidR="00F76B05" w:rsidRDefault="00F76B05">
      <w:pPr>
        <w:spacing w:before="120" w:after="60"/>
      </w:pPr>
    </w:p>
    <w:p w:rsidR="00C11250" w:rsidRDefault="008C5675">
      <w:pPr>
        <w:pStyle w:val="Heading2"/>
        <w:spacing w:before="120" w:after="60"/>
      </w:pPr>
      <w:r>
        <w:t>2</w:t>
      </w:r>
      <w:r w:rsidR="003C3D49" w:rsidRPr="003C3D49">
        <w:t>. Tr</w:t>
      </w:r>
      <w:r w:rsidR="00FA7ED7">
        <w:t>avelling Allowance for the Associate Judge</w:t>
      </w:r>
      <w:r w:rsidR="003C3D49" w:rsidRPr="003C3D49">
        <w:t xml:space="preserve"> —</w:t>
      </w:r>
      <w:r w:rsidR="00CB6A0F">
        <w:t xml:space="preserve"> </w:t>
      </w:r>
      <w:r w:rsidR="003C3D49" w:rsidRPr="003C3D49">
        <w:t xml:space="preserve">within </w:t>
      </w:r>
      <w:r w:rsidR="007B682B">
        <w:t xml:space="preserve">and outside </w:t>
      </w:r>
      <w:r w:rsidR="003C3D49" w:rsidRPr="003C3D49">
        <w:t xml:space="preserve">Australia </w:t>
      </w:r>
    </w:p>
    <w:p w:rsidR="00C11250" w:rsidRDefault="008C5675">
      <w:pPr>
        <w:spacing w:before="120" w:after="60"/>
      </w:pPr>
      <w:r>
        <w:t>2</w:t>
      </w:r>
      <w:r w:rsidR="003C3D49">
        <w:t>.1</w:t>
      </w:r>
      <w:r w:rsidR="0081241E">
        <w:t xml:space="preserve"> An Associate Judge is entitled to the same Travel Allowance provisions for other </w:t>
      </w:r>
      <w:r w:rsidR="00D02B2F">
        <w:br/>
        <w:t xml:space="preserve">ACT </w:t>
      </w:r>
      <w:r w:rsidR="0081241E">
        <w:t>Supreme Court Judges</w:t>
      </w:r>
      <w:r>
        <w:t xml:space="preserve"> (being a Judge of the Federal Court of Australia)</w:t>
      </w:r>
      <w:r w:rsidR="0081241E">
        <w:t xml:space="preserve">, which is outlined in Commonwealth Remuneration Tribunal determinations for Judicial and </w:t>
      </w:r>
      <w:r w:rsidR="007B682B">
        <w:t>Related Offices</w:t>
      </w:r>
      <w:r w:rsidR="0081241E">
        <w:t>, issued from time to time.</w:t>
      </w:r>
    </w:p>
    <w:p w:rsidR="0019789D" w:rsidRDefault="0019789D" w:rsidP="0019789D">
      <w:pPr>
        <w:pStyle w:val="Heading2"/>
        <w:spacing w:before="120" w:after="60"/>
      </w:pPr>
    </w:p>
    <w:p w:rsidR="0019789D" w:rsidRDefault="0019789D" w:rsidP="0019789D">
      <w:pPr>
        <w:pStyle w:val="Heading2"/>
        <w:spacing w:before="120" w:after="60"/>
      </w:pPr>
      <w:r>
        <w:t>3</w:t>
      </w:r>
      <w:r w:rsidRPr="003C3D49">
        <w:t xml:space="preserve">. </w:t>
      </w:r>
      <w:r>
        <w:t>Previous Determination</w:t>
      </w:r>
      <w:r w:rsidRPr="003C3D49">
        <w:t xml:space="preserve"> </w:t>
      </w:r>
    </w:p>
    <w:p w:rsidR="0019789D" w:rsidRDefault="0019789D" w:rsidP="0019789D">
      <w:pPr>
        <w:spacing w:before="120" w:after="60"/>
        <w:rPr>
          <w:rFonts w:cs="Arial"/>
          <w:szCs w:val="24"/>
        </w:rPr>
      </w:pPr>
      <w:r>
        <w:rPr>
          <w:rFonts w:cs="Arial"/>
          <w:szCs w:val="24"/>
        </w:rPr>
        <w:t xml:space="preserve">This Determination </w:t>
      </w:r>
      <w:r w:rsidR="00E76A9F">
        <w:rPr>
          <w:rFonts w:cs="Arial"/>
          <w:szCs w:val="24"/>
        </w:rPr>
        <w:t>6</w:t>
      </w:r>
      <w:r w:rsidR="0064269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of 2017 replaces and revokes clauses 4 and 5 of </w:t>
      </w:r>
      <w:r>
        <w:rPr>
          <w:rFonts w:cs="Arial"/>
          <w:szCs w:val="24"/>
        </w:rPr>
        <w:br/>
        <w:t>Determination 1 of 2017 (ACT Supreme Court Judicial Positions). Other clauses outlined in Determination 1 of 2017 still apply.</w:t>
      </w:r>
    </w:p>
    <w:p w:rsidR="0019789D" w:rsidRDefault="0019789D">
      <w:pPr>
        <w:spacing w:before="120" w:after="60"/>
      </w:pPr>
    </w:p>
    <w:bookmarkEnd w:id="0"/>
    <w:p w:rsidR="007B682B" w:rsidRDefault="007B682B" w:rsidP="00E602AE">
      <w:pPr>
        <w:tabs>
          <w:tab w:val="left" w:pos="4253"/>
          <w:tab w:val="left" w:leader="dot" w:pos="8222"/>
        </w:tabs>
      </w:pPr>
    </w:p>
    <w:p w:rsidR="00E602AE" w:rsidRPr="00F853F9" w:rsidRDefault="007B682B" w:rsidP="00E602AE">
      <w:pPr>
        <w:tabs>
          <w:tab w:val="left" w:pos="4253"/>
          <w:tab w:val="left" w:leader="dot" w:pos="8222"/>
        </w:tabs>
      </w:pPr>
      <w:r>
        <w:t xml:space="preserve">Ms </w:t>
      </w:r>
      <w:r w:rsidR="00E602AE" w:rsidRPr="00F853F9">
        <w:t>Anne Cahill Lambert AM</w:t>
      </w:r>
      <w:r w:rsidR="00E602AE" w:rsidRPr="00F853F9">
        <w:tab/>
      </w:r>
    </w:p>
    <w:p w:rsidR="00E602AE" w:rsidRPr="00F853F9" w:rsidRDefault="00E602AE" w:rsidP="00E602AE">
      <w:pPr>
        <w:tabs>
          <w:tab w:val="left" w:pos="4253"/>
          <w:tab w:val="left" w:leader="dot" w:pos="8222"/>
        </w:tabs>
      </w:pPr>
      <w:r w:rsidRPr="00F853F9">
        <w:t>Chair</w:t>
      </w:r>
      <w:r w:rsidRPr="00F853F9">
        <w:tab/>
        <w:t>.................................................................</w:t>
      </w:r>
    </w:p>
    <w:p w:rsidR="006C67CE" w:rsidRPr="00F853F9" w:rsidRDefault="006C67CE" w:rsidP="006C67CE">
      <w:pPr>
        <w:tabs>
          <w:tab w:val="left" w:pos="4253"/>
          <w:tab w:val="left" w:leader="dot" w:pos="8222"/>
        </w:tabs>
      </w:pPr>
    </w:p>
    <w:p w:rsidR="006C67CE" w:rsidRDefault="006C67CE" w:rsidP="006C67CE">
      <w:pPr>
        <w:tabs>
          <w:tab w:val="left" w:pos="4253"/>
          <w:tab w:val="left" w:leader="dot" w:pos="8222"/>
        </w:tabs>
      </w:pPr>
    </w:p>
    <w:p w:rsidR="006C67CE" w:rsidRPr="00F853F9" w:rsidRDefault="006C67CE" w:rsidP="006C67CE">
      <w:pPr>
        <w:tabs>
          <w:tab w:val="left" w:pos="4253"/>
          <w:tab w:val="left" w:leader="dot" w:pos="8222"/>
        </w:tabs>
      </w:pPr>
      <w:r w:rsidRPr="00F853F9">
        <w:t>Dr Colin Adrian</w:t>
      </w:r>
      <w:r w:rsidRPr="00F853F9">
        <w:tab/>
      </w:r>
    </w:p>
    <w:p w:rsidR="006C67CE" w:rsidRPr="00F853F9" w:rsidRDefault="006C67CE" w:rsidP="006C67CE">
      <w:pPr>
        <w:tabs>
          <w:tab w:val="left" w:pos="4253"/>
          <w:tab w:val="left" w:leader="dot" w:pos="8222"/>
        </w:tabs>
      </w:pPr>
      <w:r w:rsidRPr="00F853F9">
        <w:t>Member</w:t>
      </w:r>
      <w:r w:rsidRPr="00F853F9">
        <w:tab/>
        <w:t>.................................................................</w:t>
      </w:r>
    </w:p>
    <w:p w:rsidR="006C67CE" w:rsidRPr="00A9481F" w:rsidRDefault="006C67CE" w:rsidP="006C67CE">
      <w:pPr>
        <w:tabs>
          <w:tab w:val="left" w:pos="4253"/>
          <w:tab w:val="left" w:leader="dot" w:pos="8222"/>
        </w:tabs>
      </w:pPr>
    </w:p>
    <w:p w:rsidR="006C67CE" w:rsidRDefault="006C67CE" w:rsidP="006C67CE">
      <w:pPr>
        <w:tabs>
          <w:tab w:val="left" w:pos="4253"/>
          <w:tab w:val="left" w:leader="dot" w:pos="8222"/>
        </w:tabs>
      </w:pPr>
    </w:p>
    <w:p w:rsidR="0081241E" w:rsidRPr="00F853F9" w:rsidRDefault="007B682B" w:rsidP="0081241E">
      <w:pPr>
        <w:tabs>
          <w:tab w:val="left" w:pos="4253"/>
          <w:tab w:val="left" w:leader="dot" w:pos="8222"/>
        </w:tabs>
      </w:pPr>
      <w:r>
        <w:t xml:space="preserve">Mr </w:t>
      </w:r>
      <w:r w:rsidR="0081241E">
        <w:t>James Smythe</w:t>
      </w:r>
      <w:r>
        <w:t xml:space="preserve"> PSM</w:t>
      </w:r>
      <w:r w:rsidR="0081241E" w:rsidRPr="00F853F9">
        <w:tab/>
      </w:r>
    </w:p>
    <w:p w:rsidR="0081241E" w:rsidRPr="00F853F9" w:rsidRDefault="0081241E" w:rsidP="0081241E">
      <w:pPr>
        <w:tabs>
          <w:tab w:val="left" w:pos="4253"/>
          <w:tab w:val="left" w:leader="dot" w:pos="8222"/>
        </w:tabs>
      </w:pPr>
      <w:r w:rsidRPr="00F853F9">
        <w:t>Member</w:t>
      </w:r>
      <w:r w:rsidRPr="00F853F9">
        <w:tab/>
        <w:t>.................................................................</w:t>
      </w:r>
    </w:p>
    <w:p w:rsidR="006C67CE" w:rsidRDefault="00282079" w:rsidP="0081241E">
      <w:pPr>
        <w:tabs>
          <w:tab w:val="left" w:pos="4253"/>
          <w:tab w:val="left" w:leader="dot" w:pos="8222"/>
        </w:tabs>
        <w:jc w:val="right"/>
      </w:pPr>
      <w:r>
        <w:t xml:space="preserve"> </w:t>
      </w:r>
    </w:p>
    <w:p w:rsidR="005210C7" w:rsidRPr="009E4C67" w:rsidRDefault="0081241E" w:rsidP="0081241E">
      <w:pPr>
        <w:tabs>
          <w:tab w:val="left" w:pos="4253"/>
          <w:tab w:val="left" w:leader="dot" w:pos="8222"/>
        </w:tabs>
        <w:jc w:val="right"/>
      </w:pPr>
      <w:r>
        <w:t>April</w:t>
      </w:r>
      <w:r w:rsidR="009728F3">
        <w:t xml:space="preserve"> </w:t>
      </w:r>
      <w:r w:rsidR="007B1718">
        <w:t>201</w:t>
      </w:r>
      <w:r w:rsidR="009728F3">
        <w:t>7</w:t>
      </w:r>
    </w:p>
    <w:sectPr w:rsidR="005210C7" w:rsidRPr="009E4C67" w:rsidSect="006C67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40" w:right="1440" w:bottom="1134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52F" w:rsidRDefault="00AE652F">
      <w:r>
        <w:separator/>
      </w:r>
    </w:p>
  </w:endnote>
  <w:endnote w:type="continuationSeparator" w:id="0">
    <w:p w:rsidR="00AE652F" w:rsidRDefault="00AE6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1E" w:rsidRDefault="0081241E">
    <w:pPr>
      <w:pStyle w:val="Footer"/>
      <w:jc w:val="right"/>
    </w:pPr>
  </w:p>
  <w:p w:rsidR="0081241E" w:rsidRDefault="0081241E" w:rsidP="004455DD">
    <w:pPr>
      <w:pStyle w:val="Footer"/>
      <w:spacing w:before="0"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1E" w:rsidRDefault="006D67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2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241E" w:rsidRDefault="0081241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1E" w:rsidRDefault="0081241E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1E" w:rsidRDefault="008124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52F" w:rsidRDefault="00AE652F">
      <w:r>
        <w:separator/>
      </w:r>
    </w:p>
  </w:footnote>
  <w:footnote w:type="continuationSeparator" w:id="0">
    <w:p w:rsidR="00AE652F" w:rsidRDefault="00AE6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1E" w:rsidRDefault="008124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1E" w:rsidRDefault="008124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41E" w:rsidRDefault="008124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>
    <w:nsid w:val="047827F0"/>
    <w:multiLevelType w:val="hybridMultilevel"/>
    <w:tmpl w:val="DBA25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>
    <w:nsid w:val="223346CA"/>
    <w:multiLevelType w:val="hybridMultilevel"/>
    <w:tmpl w:val="06706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B0E5C"/>
    <w:multiLevelType w:val="multilevel"/>
    <w:tmpl w:val="2FEAB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E83EE9"/>
    <w:multiLevelType w:val="multilevel"/>
    <w:tmpl w:val="7DB0475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6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>
    <w:nsid w:val="3B697BA5"/>
    <w:multiLevelType w:val="multilevel"/>
    <w:tmpl w:val="5C1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1632F93"/>
    <w:multiLevelType w:val="hybridMultilevel"/>
    <w:tmpl w:val="BC0E1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91194"/>
    <w:multiLevelType w:val="hybridMultilevel"/>
    <w:tmpl w:val="0E96D4B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2423E"/>
    <w:multiLevelType w:val="hybridMultilevel"/>
    <w:tmpl w:val="EC96E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03E18"/>
    <w:multiLevelType w:val="multilevel"/>
    <w:tmpl w:val="2A4E3AAA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  <w:num w:numId="12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A682D"/>
    <w:rsid w:val="000044FC"/>
    <w:rsid w:val="0002104E"/>
    <w:rsid w:val="00045FE9"/>
    <w:rsid w:val="00047903"/>
    <w:rsid w:val="0005314A"/>
    <w:rsid w:val="000560A5"/>
    <w:rsid w:val="00056F1E"/>
    <w:rsid w:val="00060E78"/>
    <w:rsid w:val="000625FB"/>
    <w:rsid w:val="000739D1"/>
    <w:rsid w:val="00090EB5"/>
    <w:rsid w:val="00093D63"/>
    <w:rsid w:val="000945B5"/>
    <w:rsid w:val="00094CC2"/>
    <w:rsid w:val="000B4901"/>
    <w:rsid w:val="000B5975"/>
    <w:rsid w:val="000C0FBA"/>
    <w:rsid w:val="000C255C"/>
    <w:rsid w:val="000D063D"/>
    <w:rsid w:val="000D2E7C"/>
    <w:rsid w:val="000D71D2"/>
    <w:rsid w:val="000D7702"/>
    <w:rsid w:val="0010519E"/>
    <w:rsid w:val="0010590D"/>
    <w:rsid w:val="00107588"/>
    <w:rsid w:val="0011446D"/>
    <w:rsid w:val="00124251"/>
    <w:rsid w:val="00125E3B"/>
    <w:rsid w:val="0013640A"/>
    <w:rsid w:val="001423CA"/>
    <w:rsid w:val="00142570"/>
    <w:rsid w:val="00145287"/>
    <w:rsid w:val="0014617C"/>
    <w:rsid w:val="00153E47"/>
    <w:rsid w:val="0015430B"/>
    <w:rsid w:val="001554F4"/>
    <w:rsid w:val="0016506F"/>
    <w:rsid w:val="00166597"/>
    <w:rsid w:val="001722DB"/>
    <w:rsid w:val="00175610"/>
    <w:rsid w:val="001916BC"/>
    <w:rsid w:val="0019789D"/>
    <w:rsid w:val="001A2EC1"/>
    <w:rsid w:val="001A4707"/>
    <w:rsid w:val="001B1067"/>
    <w:rsid w:val="001B2A05"/>
    <w:rsid w:val="001C0C3B"/>
    <w:rsid w:val="001C3DBB"/>
    <w:rsid w:val="001D2916"/>
    <w:rsid w:val="001F6D77"/>
    <w:rsid w:val="0020190A"/>
    <w:rsid w:val="002055BF"/>
    <w:rsid w:val="0021099D"/>
    <w:rsid w:val="00223CB9"/>
    <w:rsid w:val="00235B3A"/>
    <w:rsid w:val="002366FC"/>
    <w:rsid w:val="00251993"/>
    <w:rsid w:val="00260EDD"/>
    <w:rsid w:val="002639F9"/>
    <w:rsid w:val="00267E35"/>
    <w:rsid w:val="002740B6"/>
    <w:rsid w:val="00282079"/>
    <w:rsid w:val="00287A77"/>
    <w:rsid w:val="00292964"/>
    <w:rsid w:val="00293EEE"/>
    <w:rsid w:val="002A134C"/>
    <w:rsid w:val="002A4ADA"/>
    <w:rsid w:val="002B0CAD"/>
    <w:rsid w:val="002B391E"/>
    <w:rsid w:val="002B7F06"/>
    <w:rsid w:val="002C0635"/>
    <w:rsid w:val="002C15A4"/>
    <w:rsid w:val="002C2521"/>
    <w:rsid w:val="002C2963"/>
    <w:rsid w:val="002C3B13"/>
    <w:rsid w:val="002C4C5C"/>
    <w:rsid w:val="002C590A"/>
    <w:rsid w:val="002C5A60"/>
    <w:rsid w:val="002D40AF"/>
    <w:rsid w:val="002D47D2"/>
    <w:rsid w:val="002E23E7"/>
    <w:rsid w:val="002E565F"/>
    <w:rsid w:val="002E64FC"/>
    <w:rsid w:val="003019CD"/>
    <w:rsid w:val="00301E14"/>
    <w:rsid w:val="0030340C"/>
    <w:rsid w:val="00322FBA"/>
    <w:rsid w:val="00330830"/>
    <w:rsid w:val="00332984"/>
    <w:rsid w:val="0033335A"/>
    <w:rsid w:val="00342534"/>
    <w:rsid w:val="00343339"/>
    <w:rsid w:val="00347A7E"/>
    <w:rsid w:val="003500BA"/>
    <w:rsid w:val="00354E39"/>
    <w:rsid w:val="0036438B"/>
    <w:rsid w:val="00365F2D"/>
    <w:rsid w:val="0037076F"/>
    <w:rsid w:val="00373D11"/>
    <w:rsid w:val="003765D8"/>
    <w:rsid w:val="00381CF4"/>
    <w:rsid w:val="00383A02"/>
    <w:rsid w:val="00386D1A"/>
    <w:rsid w:val="00395907"/>
    <w:rsid w:val="003B0300"/>
    <w:rsid w:val="003B1A08"/>
    <w:rsid w:val="003B1FF4"/>
    <w:rsid w:val="003C3D49"/>
    <w:rsid w:val="003C4C41"/>
    <w:rsid w:val="003D2D25"/>
    <w:rsid w:val="003D6355"/>
    <w:rsid w:val="003E65A3"/>
    <w:rsid w:val="003F15E5"/>
    <w:rsid w:val="003F6771"/>
    <w:rsid w:val="004004FA"/>
    <w:rsid w:val="00433BF4"/>
    <w:rsid w:val="00433C57"/>
    <w:rsid w:val="00437715"/>
    <w:rsid w:val="00441AA7"/>
    <w:rsid w:val="00443E59"/>
    <w:rsid w:val="004455DD"/>
    <w:rsid w:val="0045334E"/>
    <w:rsid w:val="0046117C"/>
    <w:rsid w:val="00464859"/>
    <w:rsid w:val="00470F0C"/>
    <w:rsid w:val="00477200"/>
    <w:rsid w:val="00483DE6"/>
    <w:rsid w:val="0048412F"/>
    <w:rsid w:val="00487C2A"/>
    <w:rsid w:val="004A1A11"/>
    <w:rsid w:val="004B14B2"/>
    <w:rsid w:val="004B66BB"/>
    <w:rsid w:val="004B688C"/>
    <w:rsid w:val="004C2A9A"/>
    <w:rsid w:val="004C42DA"/>
    <w:rsid w:val="004C50FE"/>
    <w:rsid w:val="004C6DE2"/>
    <w:rsid w:val="004D1C27"/>
    <w:rsid w:val="004F5B87"/>
    <w:rsid w:val="004F77CB"/>
    <w:rsid w:val="00505FB4"/>
    <w:rsid w:val="00513C42"/>
    <w:rsid w:val="005152BC"/>
    <w:rsid w:val="00516063"/>
    <w:rsid w:val="00520023"/>
    <w:rsid w:val="005210C7"/>
    <w:rsid w:val="00521DCD"/>
    <w:rsid w:val="005238CB"/>
    <w:rsid w:val="005266AF"/>
    <w:rsid w:val="005306CC"/>
    <w:rsid w:val="00531C63"/>
    <w:rsid w:val="00535602"/>
    <w:rsid w:val="00537D80"/>
    <w:rsid w:val="00545DFF"/>
    <w:rsid w:val="00547466"/>
    <w:rsid w:val="005511DA"/>
    <w:rsid w:val="0055625F"/>
    <w:rsid w:val="00557E3B"/>
    <w:rsid w:val="005708C7"/>
    <w:rsid w:val="00570E76"/>
    <w:rsid w:val="00575293"/>
    <w:rsid w:val="00575A6D"/>
    <w:rsid w:val="0059383C"/>
    <w:rsid w:val="005A0205"/>
    <w:rsid w:val="005A139C"/>
    <w:rsid w:val="005A6144"/>
    <w:rsid w:val="005A6309"/>
    <w:rsid w:val="005A64DB"/>
    <w:rsid w:val="005B596D"/>
    <w:rsid w:val="005E66E2"/>
    <w:rsid w:val="005E7A3E"/>
    <w:rsid w:val="005F2A73"/>
    <w:rsid w:val="00601E75"/>
    <w:rsid w:val="0060437E"/>
    <w:rsid w:val="00604F0B"/>
    <w:rsid w:val="00614531"/>
    <w:rsid w:val="00614F95"/>
    <w:rsid w:val="0061674A"/>
    <w:rsid w:val="00625249"/>
    <w:rsid w:val="00630B59"/>
    <w:rsid w:val="00634596"/>
    <w:rsid w:val="00640F6F"/>
    <w:rsid w:val="0064269D"/>
    <w:rsid w:val="00645C2A"/>
    <w:rsid w:val="00652206"/>
    <w:rsid w:val="006537A6"/>
    <w:rsid w:val="0065761F"/>
    <w:rsid w:val="00667D31"/>
    <w:rsid w:val="00674580"/>
    <w:rsid w:val="00674BD0"/>
    <w:rsid w:val="00677B60"/>
    <w:rsid w:val="00696C9B"/>
    <w:rsid w:val="00697229"/>
    <w:rsid w:val="006A5149"/>
    <w:rsid w:val="006A5F59"/>
    <w:rsid w:val="006A7E03"/>
    <w:rsid w:val="006B1541"/>
    <w:rsid w:val="006B231A"/>
    <w:rsid w:val="006B2E82"/>
    <w:rsid w:val="006C67CE"/>
    <w:rsid w:val="006D6312"/>
    <w:rsid w:val="006D67A7"/>
    <w:rsid w:val="006E2F19"/>
    <w:rsid w:val="006E53A9"/>
    <w:rsid w:val="006E6165"/>
    <w:rsid w:val="006F1565"/>
    <w:rsid w:val="006F1CFE"/>
    <w:rsid w:val="0070081A"/>
    <w:rsid w:val="007022CA"/>
    <w:rsid w:val="007101E4"/>
    <w:rsid w:val="00712C57"/>
    <w:rsid w:val="00714C87"/>
    <w:rsid w:val="00722E3B"/>
    <w:rsid w:val="007232A0"/>
    <w:rsid w:val="00723FDC"/>
    <w:rsid w:val="00730C82"/>
    <w:rsid w:val="00730F49"/>
    <w:rsid w:val="00741CBF"/>
    <w:rsid w:val="00743573"/>
    <w:rsid w:val="00752DF2"/>
    <w:rsid w:val="007534BC"/>
    <w:rsid w:val="00764B49"/>
    <w:rsid w:val="00764C6F"/>
    <w:rsid w:val="00765FDA"/>
    <w:rsid w:val="00766086"/>
    <w:rsid w:val="00774F91"/>
    <w:rsid w:val="00790EE7"/>
    <w:rsid w:val="007A4970"/>
    <w:rsid w:val="007B1718"/>
    <w:rsid w:val="007B2573"/>
    <w:rsid w:val="007B32AA"/>
    <w:rsid w:val="007B444B"/>
    <w:rsid w:val="007B682B"/>
    <w:rsid w:val="007D72F3"/>
    <w:rsid w:val="007E6AB7"/>
    <w:rsid w:val="007F3BC7"/>
    <w:rsid w:val="007F3DA2"/>
    <w:rsid w:val="00802958"/>
    <w:rsid w:val="00802ACA"/>
    <w:rsid w:val="0080694B"/>
    <w:rsid w:val="0081241E"/>
    <w:rsid w:val="0081643F"/>
    <w:rsid w:val="0081661C"/>
    <w:rsid w:val="008275FC"/>
    <w:rsid w:val="008616B2"/>
    <w:rsid w:val="00865598"/>
    <w:rsid w:val="00867A92"/>
    <w:rsid w:val="00870068"/>
    <w:rsid w:val="00875E4A"/>
    <w:rsid w:val="00877EB0"/>
    <w:rsid w:val="00882C73"/>
    <w:rsid w:val="00893E45"/>
    <w:rsid w:val="0089656C"/>
    <w:rsid w:val="00896DBC"/>
    <w:rsid w:val="008A209F"/>
    <w:rsid w:val="008B6DDC"/>
    <w:rsid w:val="008C2937"/>
    <w:rsid w:val="008C43AB"/>
    <w:rsid w:val="008C5675"/>
    <w:rsid w:val="008C5BE2"/>
    <w:rsid w:val="008C7DEE"/>
    <w:rsid w:val="008D0A3D"/>
    <w:rsid w:val="008D5909"/>
    <w:rsid w:val="008D5DF4"/>
    <w:rsid w:val="008D6946"/>
    <w:rsid w:val="008E2921"/>
    <w:rsid w:val="008E2ACA"/>
    <w:rsid w:val="008E31D4"/>
    <w:rsid w:val="008F42AC"/>
    <w:rsid w:val="00900D4B"/>
    <w:rsid w:val="00903A7E"/>
    <w:rsid w:val="0091032A"/>
    <w:rsid w:val="00910D69"/>
    <w:rsid w:val="009118FF"/>
    <w:rsid w:val="00916374"/>
    <w:rsid w:val="00925675"/>
    <w:rsid w:val="009265E5"/>
    <w:rsid w:val="009336E0"/>
    <w:rsid w:val="00945A89"/>
    <w:rsid w:val="00946CD2"/>
    <w:rsid w:val="00947D3B"/>
    <w:rsid w:val="00953A0F"/>
    <w:rsid w:val="00960FDB"/>
    <w:rsid w:val="00964233"/>
    <w:rsid w:val="00967041"/>
    <w:rsid w:val="009704C4"/>
    <w:rsid w:val="00970D74"/>
    <w:rsid w:val="009728F3"/>
    <w:rsid w:val="009734D5"/>
    <w:rsid w:val="009766A1"/>
    <w:rsid w:val="009859F7"/>
    <w:rsid w:val="00987B1A"/>
    <w:rsid w:val="009A108C"/>
    <w:rsid w:val="009B4B59"/>
    <w:rsid w:val="009D1A1F"/>
    <w:rsid w:val="009E06F0"/>
    <w:rsid w:val="009E33F2"/>
    <w:rsid w:val="009E34DA"/>
    <w:rsid w:val="009E4C67"/>
    <w:rsid w:val="009E5715"/>
    <w:rsid w:val="009E5D52"/>
    <w:rsid w:val="009F7B72"/>
    <w:rsid w:val="00A02717"/>
    <w:rsid w:val="00A033EC"/>
    <w:rsid w:val="00A262D0"/>
    <w:rsid w:val="00A2716C"/>
    <w:rsid w:val="00A403CA"/>
    <w:rsid w:val="00A452F0"/>
    <w:rsid w:val="00A517A4"/>
    <w:rsid w:val="00A54FA5"/>
    <w:rsid w:val="00A7057A"/>
    <w:rsid w:val="00A72561"/>
    <w:rsid w:val="00A77396"/>
    <w:rsid w:val="00A822E2"/>
    <w:rsid w:val="00A874CC"/>
    <w:rsid w:val="00A90033"/>
    <w:rsid w:val="00A904F3"/>
    <w:rsid w:val="00AA7615"/>
    <w:rsid w:val="00AA7AE5"/>
    <w:rsid w:val="00AC12D1"/>
    <w:rsid w:val="00AC3B40"/>
    <w:rsid w:val="00AC5560"/>
    <w:rsid w:val="00AC729A"/>
    <w:rsid w:val="00AD3C98"/>
    <w:rsid w:val="00AD7BB4"/>
    <w:rsid w:val="00AD7DB2"/>
    <w:rsid w:val="00AE56D9"/>
    <w:rsid w:val="00AE652F"/>
    <w:rsid w:val="00AE689E"/>
    <w:rsid w:val="00AE77C3"/>
    <w:rsid w:val="00B00C69"/>
    <w:rsid w:val="00B05488"/>
    <w:rsid w:val="00B25138"/>
    <w:rsid w:val="00B2742E"/>
    <w:rsid w:val="00B40DE4"/>
    <w:rsid w:val="00B41C52"/>
    <w:rsid w:val="00B47E19"/>
    <w:rsid w:val="00B51DDB"/>
    <w:rsid w:val="00B543C2"/>
    <w:rsid w:val="00B5505E"/>
    <w:rsid w:val="00B634A3"/>
    <w:rsid w:val="00B7359A"/>
    <w:rsid w:val="00B74CF4"/>
    <w:rsid w:val="00B75783"/>
    <w:rsid w:val="00B8383B"/>
    <w:rsid w:val="00B91851"/>
    <w:rsid w:val="00B94E3B"/>
    <w:rsid w:val="00B960E0"/>
    <w:rsid w:val="00B97BF2"/>
    <w:rsid w:val="00BB07AE"/>
    <w:rsid w:val="00BB118E"/>
    <w:rsid w:val="00BB3DB3"/>
    <w:rsid w:val="00BB6189"/>
    <w:rsid w:val="00BB7044"/>
    <w:rsid w:val="00BC2ABD"/>
    <w:rsid w:val="00BC6AEE"/>
    <w:rsid w:val="00BE1706"/>
    <w:rsid w:val="00BE3052"/>
    <w:rsid w:val="00BE4B52"/>
    <w:rsid w:val="00C03DBD"/>
    <w:rsid w:val="00C05120"/>
    <w:rsid w:val="00C10C16"/>
    <w:rsid w:val="00C10E1A"/>
    <w:rsid w:val="00C11250"/>
    <w:rsid w:val="00C12504"/>
    <w:rsid w:val="00C22742"/>
    <w:rsid w:val="00C23982"/>
    <w:rsid w:val="00C2538E"/>
    <w:rsid w:val="00C32F19"/>
    <w:rsid w:val="00C5322A"/>
    <w:rsid w:val="00C57524"/>
    <w:rsid w:val="00C619C4"/>
    <w:rsid w:val="00C76A53"/>
    <w:rsid w:val="00C7762A"/>
    <w:rsid w:val="00C77EAF"/>
    <w:rsid w:val="00C810A6"/>
    <w:rsid w:val="00C81FA1"/>
    <w:rsid w:val="00C82612"/>
    <w:rsid w:val="00CA682D"/>
    <w:rsid w:val="00CB0848"/>
    <w:rsid w:val="00CB6A0F"/>
    <w:rsid w:val="00CB7D64"/>
    <w:rsid w:val="00CC036B"/>
    <w:rsid w:val="00CC0BA1"/>
    <w:rsid w:val="00CC4A40"/>
    <w:rsid w:val="00CC57FE"/>
    <w:rsid w:val="00CC5C68"/>
    <w:rsid w:val="00CC6AAD"/>
    <w:rsid w:val="00CE2B20"/>
    <w:rsid w:val="00CF2E46"/>
    <w:rsid w:val="00D003B9"/>
    <w:rsid w:val="00D02B2F"/>
    <w:rsid w:val="00D02D9B"/>
    <w:rsid w:val="00D24A6F"/>
    <w:rsid w:val="00D423A3"/>
    <w:rsid w:val="00D44865"/>
    <w:rsid w:val="00D452F4"/>
    <w:rsid w:val="00D56A6B"/>
    <w:rsid w:val="00D6128B"/>
    <w:rsid w:val="00D917FB"/>
    <w:rsid w:val="00D9699C"/>
    <w:rsid w:val="00DA1BE7"/>
    <w:rsid w:val="00DA3F08"/>
    <w:rsid w:val="00DA50F3"/>
    <w:rsid w:val="00DA5569"/>
    <w:rsid w:val="00DB35EF"/>
    <w:rsid w:val="00DC011D"/>
    <w:rsid w:val="00DC35CF"/>
    <w:rsid w:val="00DD17B5"/>
    <w:rsid w:val="00DD1F0B"/>
    <w:rsid w:val="00DD30D2"/>
    <w:rsid w:val="00DD73BE"/>
    <w:rsid w:val="00DE6EB1"/>
    <w:rsid w:val="00DF0AB8"/>
    <w:rsid w:val="00DF0D48"/>
    <w:rsid w:val="00DF2CA8"/>
    <w:rsid w:val="00DF6B06"/>
    <w:rsid w:val="00DF73B5"/>
    <w:rsid w:val="00E1008A"/>
    <w:rsid w:val="00E14F84"/>
    <w:rsid w:val="00E16907"/>
    <w:rsid w:val="00E32058"/>
    <w:rsid w:val="00E33098"/>
    <w:rsid w:val="00E34CA3"/>
    <w:rsid w:val="00E356CE"/>
    <w:rsid w:val="00E35C4B"/>
    <w:rsid w:val="00E36389"/>
    <w:rsid w:val="00E43087"/>
    <w:rsid w:val="00E546CC"/>
    <w:rsid w:val="00E56DDD"/>
    <w:rsid w:val="00E602AE"/>
    <w:rsid w:val="00E61D6D"/>
    <w:rsid w:val="00E7244F"/>
    <w:rsid w:val="00E76A9F"/>
    <w:rsid w:val="00E76FE2"/>
    <w:rsid w:val="00E80AA9"/>
    <w:rsid w:val="00EA1A9E"/>
    <w:rsid w:val="00EA576E"/>
    <w:rsid w:val="00EA7871"/>
    <w:rsid w:val="00EB5EE4"/>
    <w:rsid w:val="00EE7426"/>
    <w:rsid w:val="00EF3FD7"/>
    <w:rsid w:val="00F215BD"/>
    <w:rsid w:val="00F328E5"/>
    <w:rsid w:val="00F35025"/>
    <w:rsid w:val="00F412B1"/>
    <w:rsid w:val="00F44CAD"/>
    <w:rsid w:val="00F4595C"/>
    <w:rsid w:val="00F47A99"/>
    <w:rsid w:val="00F50BB9"/>
    <w:rsid w:val="00F532B1"/>
    <w:rsid w:val="00F53DC7"/>
    <w:rsid w:val="00F6462E"/>
    <w:rsid w:val="00F64856"/>
    <w:rsid w:val="00F67DFE"/>
    <w:rsid w:val="00F71CC3"/>
    <w:rsid w:val="00F74FF0"/>
    <w:rsid w:val="00F75042"/>
    <w:rsid w:val="00F76B05"/>
    <w:rsid w:val="00F778DA"/>
    <w:rsid w:val="00F77F4B"/>
    <w:rsid w:val="00F875AC"/>
    <w:rsid w:val="00F87F74"/>
    <w:rsid w:val="00F902F2"/>
    <w:rsid w:val="00F90D8D"/>
    <w:rsid w:val="00F90F96"/>
    <w:rsid w:val="00FA0455"/>
    <w:rsid w:val="00FA2484"/>
    <w:rsid w:val="00FA7ED7"/>
    <w:rsid w:val="00FB27BD"/>
    <w:rsid w:val="00FB3B06"/>
    <w:rsid w:val="00FB4BFB"/>
    <w:rsid w:val="00FB5E71"/>
    <w:rsid w:val="00FB7E3C"/>
    <w:rsid w:val="00FC1A46"/>
    <w:rsid w:val="00FC1AD2"/>
    <w:rsid w:val="00FC5C65"/>
    <w:rsid w:val="00FD37E1"/>
    <w:rsid w:val="00FE11B6"/>
    <w:rsid w:val="00FE674B"/>
    <w:rsid w:val="00FE6C66"/>
    <w:rsid w:val="00FF0669"/>
    <w:rsid w:val="00FF40D4"/>
    <w:rsid w:val="00FF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A2CE-6F4D-4BB6-9D34-626929CD1A3A}"/>
</file>

<file path=customXml/itemProps2.xml><?xml version="1.0" encoding="utf-8"?>
<ds:datastoreItem xmlns:ds="http://schemas.openxmlformats.org/officeDocument/2006/customXml" ds:itemID="{89E93965-9450-485C-909F-EA6AAC9F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10 of 2013 Supreme Court</vt:lpstr>
    </vt:vector>
  </TitlesOfParts>
  <Company>InTACT</Company>
  <LinksUpToDate>false</LinksUpToDate>
  <CharactersWithSpaces>2751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10 of 2013 Supreme Court</dc:title>
  <dc:subject>Remuneration</dc:subject>
  <dc:creator>ACT Remuneration Tribunal</dc:creator>
  <cp:lastModifiedBy>andrew hogan</cp:lastModifiedBy>
  <cp:revision>3</cp:revision>
  <cp:lastPrinted>2016-11-30T05:53:00Z</cp:lastPrinted>
  <dcterms:created xsi:type="dcterms:W3CDTF">2017-04-18T05:23:00Z</dcterms:created>
  <dcterms:modified xsi:type="dcterms:W3CDTF">2017-04-20T00:42:00Z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Description">
    <vt:lpwstr>Determination 10 of 2013 on ACT Supreme Court Judicial Positions</vt:lpwstr>
  </property>
  <property fmtid="{D5CDD505-2E9C-101B-9397-08002B2CF9AE}" pid="4" name="Function">
    <vt:lpwstr>Remuneration</vt:lpwstr>
  </property>
  <property fmtid="{D5CDD505-2E9C-101B-9397-08002B2CF9AE}" pid="5" name="docIndexRef">
    <vt:lpwstr>5ca5bc8b-127e-4150-8c1e-beaaf1c8f584</vt:lpwstr>
  </property>
  <property fmtid="{D5CDD505-2E9C-101B-9397-08002B2CF9AE}" pid="6" name="bjSaver">
    <vt:lpwstr>Dl6ApRSHYVgxX8T8bEan8VIA9SRCGo1U</vt:lpwstr>
  </property>
  <property fmtid="{D5CDD505-2E9C-101B-9397-08002B2CF9AE}" pid="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8" name="bjDocumentLabelXML-0">
    <vt:lpwstr>nternal/label"&gt;&lt;element uid="a68a5297-83bb-4ba8-a7cd-4b62d6981a77" value="" /&gt;&lt;/sisl&gt;</vt:lpwstr>
  </property>
  <property fmtid="{D5CDD505-2E9C-101B-9397-08002B2CF9AE}" pid="9" name="bjDocumentSecurityLabel">
    <vt:lpwstr>UNCLASSIFIED - NO MARKING</vt:lpwstr>
  </property>
  <property fmtid="{D5CDD505-2E9C-101B-9397-08002B2CF9AE}" pid="10" name="bjDocumentLabelFieldCode">
    <vt:lpwstr>UNCLASSIFIED - NO MARKING</vt:lpwstr>
  </property>
  <property fmtid="{D5CDD505-2E9C-101B-9397-08002B2CF9AE}" pid="11" name="bjDocumentLabelFieldCodeHeaderFooter">
    <vt:lpwstr>UNCLASSIFIED - NO MARKING</vt:lpwstr>
  </property>
</Properties>
</file>