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6E7A" w14:textId="77777777" w:rsidR="00F11BCC" w:rsidRPr="003B1A08" w:rsidRDefault="000C1670" w:rsidP="00F11BCC">
      <w:pPr>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60C995E7" w:rsidR="004B34E6" w:rsidRPr="00366D86" w:rsidRDefault="004B34E6" w:rsidP="004B34E6">
      <w:pPr>
        <w:pStyle w:val="Heading1"/>
        <w:rPr>
          <w:color w:val="000000" w:themeColor="text1"/>
        </w:rPr>
      </w:pPr>
      <w:r w:rsidRPr="00590449">
        <w:t xml:space="preserve">Determination </w:t>
      </w:r>
      <w:r w:rsidR="00590449" w:rsidRPr="00590449">
        <w:t>2</w:t>
      </w:r>
      <w:r w:rsidR="003A7BE4" w:rsidRPr="00590449">
        <w:t xml:space="preserve"> </w:t>
      </w:r>
      <w:r w:rsidRPr="00590449">
        <w:t xml:space="preserve">of </w:t>
      </w:r>
      <w:r w:rsidR="006442AA">
        <w:rPr>
          <w:color w:val="000000" w:themeColor="text1"/>
        </w:rPr>
        <w:t>2020</w:t>
      </w:r>
      <w:r w:rsidR="006442AA" w:rsidRPr="00366D86">
        <w:rPr>
          <w:color w:val="000000" w:themeColor="text1"/>
        </w:rPr>
        <w:t xml:space="preserve"> </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4D3741">
      <w:pPr>
        <w:spacing w:before="120" w:after="60"/>
        <w:rPr>
          <w:b/>
        </w:rPr>
      </w:pPr>
      <w:r>
        <w:rPr>
          <w:b/>
        </w:rPr>
        <w:t>Background</w:t>
      </w:r>
    </w:p>
    <w:p w14:paraId="290C11DF" w14:textId="093B4F1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allowances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directors-general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408A2447" w14:textId="2A38CCE1" w:rsidR="00E7453B" w:rsidRPr="009D2938" w:rsidRDefault="00E102AE" w:rsidP="00E7453B">
      <w:pPr>
        <w:spacing w:before="120" w:after="60"/>
        <w:rPr>
          <w:color w:val="000000" w:themeColor="text1"/>
        </w:rPr>
      </w:pPr>
      <w:r w:rsidRPr="009D2938">
        <w:rPr>
          <w:b/>
          <w:color w:val="000000" w:themeColor="text1"/>
        </w:rPr>
        <w:t>Considerations</w:t>
      </w:r>
    </w:p>
    <w:p w14:paraId="4B46469C" w14:textId="77777777" w:rsidR="00F72CE1" w:rsidRPr="000448CC" w:rsidRDefault="00F72CE1" w:rsidP="00F72CE1">
      <w:pPr>
        <w:pStyle w:val="Heading2"/>
        <w:tabs>
          <w:tab w:val="left" w:pos="6078"/>
          <w:tab w:val="left" w:pos="7334"/>
        </w:tabs>
        <w:spacing w:before="120" w:after="60"/>
        <w:jc w:val="left"/>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620F9EC5" w14:textId="3016A522" w:rsidR="00F72CE1" w:rsidRDefault="00F72CE1" w:rsidP="00F72CE1">
      <w:pPr>
        <w:pStyle w:val="Heading2"/>
        <w:tabs>
          <w:tab w:val="left" w:pos="6078"/>
          <w:tab w:val="left" w:pos="7334"/>
        </w:tabs>
        <w:spacing w:before="120" w:after="60"/>
        <w:jc w:val="left"/>
        <w:rPr>
          <w:b w:val="0"/>
          <w:iCs w:val="0"/>
          <w:szCs w:val="20"/>
        </w:rPr>
      </w:pPr>
      <w:r w:rsidRPr="000448CC">
        <w:rPr>
          <w:b w:val="0"/>
          <w:iCs w:val="0"/>
          <w:szCs w:val="20"/>
        </w:rPr>
        <w:t>Matters considered by the Tribunal since this time, include the receipt by the Tribunal of a le</w:t>
      </w:r>
      <w:r w:rsidR="00525FEA">
        <w:rPr>
          <w:b w:val="0"/>
          <w:iCs w:val="0"/>
          <w:szCs w:val="20"/>
        </w:rPr>
        <w:t xml:space="preserve">tter from 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r w:rsidR="00386D5E" w:rsidRPr="000E61C6">
        <w:rPr>
          <w:b w:val="0"/>
          <w:iCs w:val="0"/>
          <w:szCs w:val="20"/>
        </w:rPr>
        <w:t>The Tribunal noted that this corresponded with its earlier decision.</w:t>
      </w:r>
    </w:p>
    <w:p w14:paraId="2B26F21F" w14:textId="588DD64D" w:rsidR="001874FE" w:rsidRPr="003B27E5" w:rsidRDefault="001874FE" w:rsidP="001874FE">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00051E">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10235DB7" w14:textId="54632C73" w:rsidR="001874FE" w:rsidRPr="003B27E5" w:rsidRDefault="001874FE" w:rsidP="001874FE">
      <w:pPr>
        <w:spacing w:before="120" w:after="60"/>
        <w:rPr>
          <w:lang w:val="x-none"/>
        </w:rPr>
      </w:pPr>
      <w:r w:rsidRPr="003B27E5">
        <w:rPr>
          <w:lang w:val="x-none"/>
        </w:rPr>
        <w:lastRenderedPageBreak/>
        <w:t>While the Tribunal had regard to the determinations by its Commonwealth and State/Territory counterparts, its decision was particularly taken in the context of the ACT’s economic circumstances.</w:t>
      </w:r>
    </w:p>
    <w:p w14:paraId="37CEEFC7" w14:textId="3344EB07" w:rsidR="001874FE" w:rsidRPr="003B27E5" w:rsidRDefault="001874FE" w:rsidP="001874FE">
      <w:pPr>
        <w:spacing w:before="120" w:after="60"/>
        <w:rPr>
          <w:lang w:val="x-none"/>
        </w:rPr>
      </w:pPr>
      <w:r w:rsidRPr="003B27E5">
        <w:rPr>
          <w:lang w:val="x-none"/>
        </w:rPr>
        <w:t xml:space="preserve">Given the current COVID-19 pandemic, the impact on the economic conditions and community expectations, the Tribunal has determined that no adjustments should be made to the remuneration, allowances and other entitlements of </w:t>
      </w:r>
      <w:r>
        <w:t>position</w:t>
      </w:r>
      <w:r w:rsidRPr="003B27E5">
        <w:rPr>
          <w:lang w:val="x-none"/>
        </w:rPr>
        <w:t xml:space="preserve"> holders in its jurisdiction at this time.  </w:t>
      </w:r>
    </w:p>
    <w:p w14:paraId="08188C65" w14:textId="77777777" w:rsidR="007B1039" w:rsidRDefault="00720146" w:rsidP="00394C8C">
      <w:pPr>
        <w:spacing w:before="120" w:after="60"/>
      </w:pPr>
      <w:r w:rsidRPr="00615131">
        <w:t xml:space="preserve">The Tribunal will continue to monitor conditions in the ACT closely and will make appropriate decisions when the Territory’s economic and fiscal circumstances are known next year. </w:t>
      </w:r>
    </w:p>
    <w:p w14:paraId="40EDCCC9" w14:textId="77777777" w:rsidR="00394C8C" w:rsidRPr="009D2938" w:rsidRDefault="00394C8C" w:rsidP="00394C8C">
      <w:pPr>
        <w:spacing w:before="120" w:after="60"/>
        <w:rPr>
          <w:b/>
          <w:color w:val="000000" w:themeColor="text1"/>
        </w:rPr>
      </w:pPr>
      <w:r w:rsidRPr="009D2938">
        <w:rPr>
          <w:b/>
          <w:color w:val="000000" w:themeColor="text1"/>
        </w:rPr>
        <w:t>Decision</w:t>
      </w:r>
    </w:p>
    <w:p w14:paraId="67DEF2C9" w14:textId="0A37FFAE" w:rsidR="00394C8C" w:rsidRPr="009D2938" w:rsidRDefault="00F72CE1" w:rsidP="00CA5A16">
      <w:pPr>
        <w:spacing w:before="120" w:after="60"/>
        <w:rPr>
          <w:color w:val="000000" w:themeColor="text1"/>
        </w:rPr>
      </w:pPr>
      <w:r w:rsidRPr="00F72CE1">
        <w:rPr>
          <w:color w:val="000000" w:themeColor="text1"/>
        </w:rPr>
        <w:t xml:space="preserve">The Tribunal has decided to determine no adjustment to remuneration, allowances or entitlements for </w:t>
      </w:r>
      <w:r w:rsidR="002B304B">
        <w:rPr>
          <w:color w:val="000000" w:themeColor="text1"/>
        </w:rPr>
        <w:t xml:space="preserve">the </w:t>
      </w:r>
      <w:r w:rsidR="006C5DEF">
        <w:rPr>
          <w:color w:val="000000" w:themeColor="text1"/>
        </w:rPr>
        <w:t>position</w:t>
      </w:r>
      <w:r w:rsidRPr="00F72CE1">
        <w:rPr>
          <w:color w:val="000000" w:themeColor="text1"/>
        </w:rPr>
        <w:t xml:space="preserve"> holders</w:t>
      </w:r>
      <w:r w:rsidR="002B304B">
        <w:rPr>
          <w:color w:val="000000" w:themeColor="text1"/>
        </w:rPr>
        <w:t xml:space="preserve"> covered by this Determination</w:t>
      </w:r>
      <w:r w:rsidRPr="00F72CE1">
        <w:rPr>
          <w:color w:val="000000" w:themeColor="text1"/>
        </w:rPr>
        <w:t xml:space="preserve"> for 2020.</w:t>
      </w:r>
    </w:p>
    <w:p w14:paraId="404254BA" w14:textId="77777777" w:rsidR="0080525F" w:rsidRDefault="0080525F" w:rsidP="007D54E4">
      <w:pPr>
        <w:tabs>
          <w:tab w:val="left" w:pos="4253"/>
          <w:tab w:val="left" w:leader="dot" w:pos="8222"/>
        </w:tabs>
        <w:jc w:val="right"/>
        <w:rPr>
          <w:color w:val="000000" w:themeColor="text1"/>
        </w:rPr>
      </w:pPr>
    </w:p>
    <w:p w14:paraId="721C584E" w14:textId="0ECBECA6" w:rsidR="007D54E4" w:rsidRPr="009D2938" w:rsidRDefault="006442AA" w:rsidP="007D54E4">
      <w:pPr>
        <w:tabs>
          <w:tab w:val="left" w:pos="4253"/>
          <w:tab w:val="left" w:leader="dot" w:pos="8222"/>
        </w:tabs>
        <w:jc w:val="right"/>
        <w:rPr>
          <w:color w:val="000000" w:themeColor="text1"/>
        </w:rPr>
      </w:pPr>
      <w:r>
        <w:rPr>
          <w:color w:val="000000" w:themeColor="text1"/>
        </w:rPr>
        <w:t>September 2020</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50A5C785" w:rsidR="003665E3" w:rsidRPr="00366D86" w:rsidRDefault="003665E3" w:rsidP="00F00DFB">
      <w:pPr>
        <w:pStyle w:val="Heading1"/>
        <w:spacing w:before="120"/>
        <w:rPr>
          <w:color w:val="000000" w:themeColor="text1"/>
        </w:rPr>
      </w:pPr>
      <w:r w:rsidRPr="00366D86">
        <w:rPr>
          <w:color w:val="000000" w:themeColor="text1"/>
        </w:rPr>
        <w:t xml:space="preserve">Determination </w:t>
      </w:r>
      <w:r w:rsidR="00594246" w:rsidRPr="00366D86">
        <w:rPr>
          <w:color w:val="000000" w:themeColor="text1"/>
        </w:rPr>
        <w:t>2</w:t>
      </w:r>
      <w:r w:rsidRPr="00366D86">
        <w:rPr>
          <w:color w:val="000000" w:themeColor="text1"/>
        </w:rPr>
        <w:t xml:space="preserve"> of </w:t>
      </w:r>
      <w:r w:rsidR="006442AA">
        <w:rPr>
          <w:color w:val="000000" w:themeColor="text1"/>
        </w:rPr>
        <w:t>2020</w:t>
      </w:r>
    </w:p>
    <w:p w14:paraId="60615B91" w14:textId="77777777" w:rsidR="003665E3" w:rsidRPr="003B1A08" w:rsidRDefault="003665E3" w:rsidP="00F00DFB">
      <w:pPr>
        <w:pStyle w:val="Heading1"/>
        <w:spacing w:before="120"/>
      </w:pPr>
      <w:r>
        <w:t>Head of Service, Directors-General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46F6E8EE" w:rsidR="00F11BCC" w:rsidRPr="00366D8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instrument </w:t>
      </w:r>
      <w:r w:rsidR="006442AA">
        <w:rPr>
          <w:color w:val="000000" w:themeColor="text1"/>
          <w:szCs w:val="24"/>
        </w:rPr>
        <w:t xml:space="preserve">is taken to have </w:t>
      </w:r>
      <w:r w:rsidRPr="00366D86">
        <w:rPr>
          <w:color w:val="000000" w:themeColor="text1"/>
          <w:szCs w:val="24"/>
        </w:rPr>
        <w:t>commence</w:t>
      </w:r>
      <w:r w:rsidR="00562862">
        <w:rPr>
          <w:color w:val="000000" w:themeColor="text1"/>
          <w:szCs w:val="24"/>
        </w:rPr>
        <w:t>d</w:t>
      </w:r>
      <w:r w:rsidRPr="00366D86">
        <w:rPr>
          <w:color w:val="000000" w:themeColor="text1"/>
          <w:szCs w:val="24"/>
        </w:rPr>
        <w:t xml:space="preserve"> on </w:t>
      </w:r>
      <w:r w:rsidRPr="00366D86">
        <w:rPr>
          <w:color w:val="000000" w:themeColor="text1"/>
        </w:rPr>
        <w:t>1 July</w:t>
      </w:r>
      <w:r w:rsidRPr="00366D86">
        <w:rPr>
          <w:color w:val="000000" w:themeColor="text1"/>
          <w:szCs w:val="24"/>
        </w:rPr>
        <w:t xml:space="preserve"> </w:t>
      </w:r>
      <w:r w:rsidR="006442AA">
        <w:rPr>
          <w:color w:val="000000" w:themeColor="text1"/>
          <w:szCs w:val="24"/>
        </w:rPr>
        <w:t>2020</w:t>
      </w:r>
      <w:r w:rsidRPr="00366D8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27F44DEB"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base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level </w:t>
      </w:r>
      <w:r w:rsidRPr="00366D86">
        <w:rPr>
          <w:rFonts w:eastAsia="Times New Roman"/>
          <w:color w:val="000000" w:themeColor="text1"/>
          <w:sz w:val="24"/>
          <w:szCs w:val="20"/>
        </w:rPr>
        <w:t xml:space="preserve">specified </w:t>
      </w:r>
      <w:r w:rsidR="00C019FF" w:rsidRPr="00366D86">
        <w:rPr>
          <w:rFonts w:eastAsia="Times New Roman"/>
          <w:color w:val="000000" w:themeColor="text1"/>
          <w:sz w:val="24"/>
          <w:szCs w:val="20"/>
        </w:rPr>
        <w:t>in column 1</w:t>
      </w:r>
      <w:r w:rsidR="00F11BCC" w:rsidRPr="00366D86">
        <w:rPr>
          <w:color w:val="000000" w:themeColor="text1"/>
        </w:rPr>
        <w:t>.</w:t>
      </w:r>
    </w:p>
    <w:p w14:paraId="42062E07" w14:textId="77777777" w:rsidR="00F11BCC" w:rsidRPr="00335707" w:rsidRDefault="00F11BCC" w:rsidP="00F11BCC">
      <w:pPr>
        <w:spacing w:before="80" w:after="60"/>
        <w:ind w:left="709"/>
        <w:rPr>
          <w:b/>
        </w:rPr>
      </w:pPr>
      <w:r w:rsidRPr="00335707">
        <w:rPr>
          <w:b/>
        </w:rPr>
        <w:t>TABLE 2.1</w:t>
      </w:r>
    </w:p>
    <w:tbl>
      <w:tblPr>
        <w:tblW w:w="75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771"/>
        <w:gridCol w:w="3771"/>
      </w:tblGrid>
      <w:tr w:rsidR="00915F3A" w:rsidRPr="00D101F0" w14:paraId="0E73B7A3" w14:textId="77777777" w:rsidTr="00915F3A">
        <w:trPr>
          <w:trHeight w:val="374"/>
        </w:trPr>
        <w:tc>
          <w:tcPr>
            <w:tcW w:w="3771" w:type="dxa"/>
          </w:tcPr>
          <w:p w14:paraId="02208E4D" w14:textId="2672BD78" w:rsidR="00915F3A" w:rsidRPr="00366D86" w:rsidRDefault="00915F3A"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915F3A" w:rsidRPr="00366D86" w:rsidRDefault="00915F3A"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3771" w:type="dxa"/>
            <w:shd w:val="clear" w:color="auto" w:fill="auto"/>
          </w:tcPr>
          <w:p w14:paraId="304BEC61" w14:textId="6ECB19CF" w:rsidR="00915F3A" w:rsidRPr="00366D86" w:rsidRDefault="00915F3A" w:rsidP="00287A58">
            <w:pPr>
              <w:spacing w:before="60" w:after="60"/>
              <w:rPr>
                <w:color w:val="000000" w:themeColor="text1"/>
                <w:sz w:val="20"/>
              </w:rPr>
            </w:pPr>
            <w:r w:rsidRPr="00366D86">
              <w:rPr>
                <w:color w:val="000000" w:themeColor="text1"/>
                <w:sz w:val="20"/>
              </w:rPr>
              <w:t>Column 2</w:t>
            </w:r>
          </w:p>
          <w:p w14:paraId="6BB80A65" w14:textId="35D1BF7D" w:rsidR="00915F3A" w:rsidRPr="00366D86" w:rsidRDefault="00915F3A" w:rsidP="00DB024A">
            <w:pPr>
              <w:spacing w:before="60" w:after="60"/>
              <w:rPr>
                <w:color w:val="000000" w:themeColor="text1"/>
              </w:rPr>
            </w:pPr>
            <w:r w:rsidRPr="00366D86">
              <w:rPr>
                <w:b/>
                <w:color w:val="000000" w:themeColor="text1"/>
              </w:rPr>
              <w:t>Remuneration</w:t>
            </w:r>
          </w:p>
        </w:tc>
      </w:tr>
      <w:tr w:rsidR="00C019FF" w:rsidRPr="00D101F0" w14:paraId="5E7A9976" w14:textId="77777777" w:rsidTr="00915F3A">
        <w:tc>
          <w:tcPr>
            <w:tcW w:w="3771" w:type="dxa"/>
          </w:tcPr>
          <w:p w14:paraId="3CEE5B51" w14:textId="50D3FB3C" w:rsidR="00C019FF" w:rsidRPr="00366D86" w:rsidRDefault="00C019FF" w:rsidP="00C019FF">
            <w:pPr>
              <w:rPr>
                <w:color w:val="000000" w:themeColor="text1"/>
              </w:rPr>
            </w:pPr>
            <w:r w:rsidRPr="00366D86">
              <w:rPr>
                <w:color w:val="000000" w:themeColor="text1"/>
              </w:rPr>
              <w:t>Level 1.1</w:t>
            </w:r>
          </w:p>
        </w:tc>
        <w:tc>
          <w:tcPr>
            <w:tcW w:w="3771" w:type="dxa"/>
            <w:shd w:val="clear" w:color="auto" w:fill="auto"/>
            <w:vAlign w:val="bottom"/>
          </w:tcPr>
          <w:p w14:paraId="1F320F1D" w14:textId="731EFD04" w:rsidR="00C019FF" w:rsidRPr="00366D86" w:rsidRDefault="00964983" w:rsidP="00C019FF">
            <w:pPr>
              <w:rPr>
                <w:color w:val="000000" w:themeColor="text1"/>
              </w:rPr>
            </w:pPr>
            <w:r w:rsidRPr="00366D86">
              <w:rPr>
                <w:color w:val="000000" w:themeColor="text1"/>
              </w:rPr>
              <w:t>$</w:t>
            </w:r>
            <w:r w:rsidR="00C019FF" w:rsidRPr="00366D86">
              <w:rPr>
                <w:color w:val="000000" w:themeColor="text1"/>
              </w:rPr>
              <w:t>156,010</w:t>
            </w:r>
          </w:p>
        </w:tc>
      </w:tr>
      <w:tr w:rsidR="00C019FF" w:rsidRPr="00D101F0" w14:paraId="50EE145D" w14:textId="77777777" w:rsidTr="00E21193">
        <w:tc>
          <w:tcPr>
            <w:tcW w:w="3771" w:type="dxa"/>
          </w:tcPr>
          <w:p w14:paraId="0DF1236B" w14:textId="77777777" w:rsidR="00C019FF" w:rsidRPr="00366D86" w:rsidRDefault="00C019FF" w:rsidP="00E21193">
            <w:pPr>
              <w:rPr>
                <w:color w:val="000000" w:themeColor="text1"/>
              </w:rPr>
            </w:pPr>
            <w:r w:rsidRPr="00366D86">
              <w:rPr>
                <w:color w:val="000000" w:themeColor="text1"/>
              </w:rPr>
              <w:t>Level 1.2</w:t>
            </w:r>
          </w:p>
        </w:tc>
        <w:tc>
          <w:tcPr>
            <w:tcW w:w="3771" w:type="dxa"/>
            <w:shd w:val="clear" w:color="auto" w:fill="auto"/>
            <w:vAlign w:val="bottom"/>
          </w:tcPr>
          <w:p w14:paraId="76E882C7" w14:textId="6597C0B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169,203</w:t>
            </w:r>
          </w:p>
        </w:tc>
      </w:tr>
      <w:tr w:rsidR="00C019FF" w:rsidRPr="00D101F0" w14:paraId="2AB740DE" w14:textId="77777777" w:rsidTr="00E21193">
        <w:tc>
          <w:tcPr>
            <w:tcW w:w="3771" w:type="dxa"/>
          </w:tcPr>
          <w:p w14:paraId="690BF120" w14:textId="77777777" w:rsidR="00C019FF" w:rsidRPr="00366D86" w:rsidRDefault="00C019FF" w:rsidP="00E21193">
            <w:pPr>
              <w:rPr>
                <w:color w:val="000000" w:themeColor="text1"/>
              </w:rPr>
            </w:pPr>
            <w:r w:rsidRPr="00366D86">
              <w:rPr>
                <w:color w:val="000000" w:themeColor="text1"/>
              </w:rPr>
              <w:t>Level 1.3</w:t>
            </w:r>
          </w:p>
        </w:tc>
        <w:tc>
          <w:tcPr>
            <w:tcW w:w="3771" w:type="dxa"/>
            <w:shd w:val="clear" w:color="auto" w:fill="auto"/>
            <w:vAlign w:val="bottom"/>
          </w:tcPr>
          <w:p w14:paraId="0A2E3BC2" w14:textId="09C8D6E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182,388</w:t>
            </w:r>
          </w:p>
        </w:tc>
      </w:tr>
      <w:tr w:rsidR="00C019FF" w:rsidRPr="00D101F0" w14:paraId="58692BE4" w14:textId="77777777" w:rsidTr="00740323">
        <w:tc>
          <w:tcPr>
            <w:tcW w:w="3771" w:type="dxa"/>
            <w:tcBorders>
              <w:bottom w:val="single" w:sz="12" w:space="0" w:color="auto"/>
            </w:tcBorders>
          </w:tcPr>
          <w:p w14:paraId="13BD4524" w14:textId="77777777" w:rsidR="00C019FF" w:rsidRPr="00366D86" w:rsidRDefault="00C019FF" w:rsidP="00E21193">
            <w:pPr>
              <w:rPr>
                <w:color w:val="000000" w:themeColor="text1"/>
              </w:rPr>
            </w:pPr>
            <w:r w:rsidRPr="00366D86">
              <w:rPr>
                <w:color w:val="000000" w:themeColor="text1"/>
              </w:rPr>
              <w:t>Level 1.4</w:t>
            </w:r>
          </w:p>
        </w:tc>
        <w:tc>
          <w:tcPr>
            <w:tcW w:w="3771" w:type="dxa"/>
            <w:tcBorders>
              <w:bottom w:val="single" w:sz="12" w:space="0" w:color="auto"/>
            </w:tcBorders>
            <w:shd w:val="clear" w:color="auto" w:fill="auto"/>
            <w:vAlign w:val="bottom"/>
          </w:tcPr>
          <w:p w14:paraId="5F123431" w14:textId="78E8BB52"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195,520</w:t>
            </w:r>
          </w:p>
        </w:tc>
      </w:tr>
      <w:tr w:rsidR="00C019FF" w:rsidRPr="00D101F0" w14:paraId="06E7336A" w14:textId="77777777" w:rsidTr="00740323">
        <w:tc>
          <w:tcPr>
            <w:tcW w:w="3771" w:type="dxa"/>
            <w:tcBorders>
              <w:top w:val="single" w:sz="12" w:space="0" w:color="auto"/>
            </w:tcBorders>
          </w:tcPr>
          <w:p w14:paraId="45B2F5F7" w14:textId="77777777" w:rsidR="00C019FF" w:rsidRPr="00366D86" w:rsidRDefault="00C019FF" w:rsidP="00E21193">
            <w:pPr>
              <w:rPr>
                <w:color w:val="000000" w:themeColor="text1"/>
              </w:rPr>
            </w:pPr>
            <w:r w:rsidRPr="00366D86">
              <w:rPr>
                <w:color w:val="000000" w:themeColor="text1"/>
              </w:rPr>
              <w:t>Level 2.1</w:t>
            </w:r>
          </w:p>
        </w:tc>
        <w:tc>
          <w:tcPr>
            <w:tcW w:w="3771" w:type="dxa"/>
            <w:tcBorders>
              <w:top w:val="single" w:sz="12" w:space="0" w:color="auto"/>
            </w:tcBorders>
            <w:shd w:val="clear" w:color="auto" w:fill="auto"/>
            <w:vAlign w:val="bottom"/>
          </w:tcPr>
          <w:p w14:paraId="7D92E1A3" w14:textId="13673878"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208,769</w:t>
            </w:r>
          </w:p>
        </w:tc>
      </w:tr>
      <w:tr w:rsidR="00C019FF" w:rsidRPr="00D101F0" w14:paraId="176A8C60" w14:textId="77777777" w:rsidTr="00E21193">
        <w:tc>
          <w:tcPr>
            <w:tcW w:w="3771" w:type="dxa"/>
          </w:tcPr>
          <w:p w14:paraId="4C9A7992" w14:textId="77777777" w:rsidR="00C019FF" w:rsidRPr="00366D86" w:rsidRDefault="00C019FF" w:rsidP="00E21193">
            <w:pPr>
              <w:rPr>
                <w:color w:val="000000" w:themeColor="text1"/>
              </w:rPr>
            </w:pPr>
            <w:r w:rsidRPr="00366D86">
              <w:rPr>
                <w:color w:val="000000" w:themeColor="text1"/>
              </w:rPr>
              <w:t>Level 2.2</w:t>
            </w:r>
          </w:p>
        </w:tc>
        <w:tc>
          <w:tcPr>
            <w:tcW w:w="3771" w:type="dxa"/>
            <w:shd w:val="clear" w:color="auto" w:fill="auto"/>
            <w:vAlign w:val="bottom"/>
          </w:tcPr>
          <w:p w14:paraId="5D36B92B" w14:textId="79EE1AD9"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227,160</w:t>
            </w:r>
          </w:p>
        </w:tc>
      </w:tr>
      <w:tr w:rsidR="00C019FF" w:rsidRPr="00D101F0" w14:paraId="23141617" w14:textId="77777777" w:rsidTr="00E21193">
        <w:tc>
          <w:tcPr>
            <w:tcW w:w="3771" w:type="dxa"/>
          </w:tcPr>
          <w:p w14:paraId="0F9C6CC8" w14:textId="77777777" w:rsidR="00C019FF" w:rsidRPr="00366D86" w:rsidRDefault="00C019FF" w:rsidP="00E21193">
            <w:pPr>
              <w:rPr>
                <w:color w:val="000000" w:themeColor="text1"/>
              </w:rPr>
            </w:pPr>
            <w:r w:rsidRPr="00366D86">
              <w:rPr>
                <w:color w:val="000000" w:themeColor="text1"/>
              </w:rPr>
              <w:t>Level 2.3</w:t>
            </w:r>
          </w:p>
        </w:tc>
        <w:tc>
          <w:tcPr>
            <w:tcW w:w="3771" w:type="dxa"/>
            <w:shd w:val="clear" w:color="auto" w:fill="auto"/>
            <w:vAlign w:val="bottom"/>
          </w:tcPr>
          <w:p w14:paraId="7F05F850" w14:textId="3E88ED12"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245,543</w:t>
            </w:r>
          </w:p>
        </w:tc>
      </w:tr>
      <w:tr w:rsidR="00C019FF" w:rsidRPr="00D101F0" w14:paraId="274FCF9A" w14:textId="77777777" w:rsidTr="00740323">
        <w:tc>
          <w:tcPr>
            <w:tcW w:w="3771" w:type="dxa"/>
            <w:tcBorders>
              <w:bottom w:val="single" w:sz="12" w:space="0" w:color="auto"/>
            </w:tcBorders>
          </w:tcPr>
          <w:p w14:paraId="54318AFC" w14:textId="77777777" w:rsidR="00C019FF" w:rsidRPr="00366D86" w:rsidRDefault="00C019FF" w:rsidP="00E21193">
            <w:pPr>
              <w:rPr>
                <w:color w:val="000000" w:themeColor="text1"/>
              </w:rPr>
            </w:pPr>
            <w:r w:rsidRPr="00366D86">
              <w:rPr>
                <w:color w:val="000000" w:themeColor="text1"/>
              </w:rPr>
              <w:t>Level 2.4</w:t>
            </w:r>
          </w:p>
        </w:tc>
        <w:tc>
          <w:tcPr>
            <w:tcW w:w="3771" w:type="dxa"/>
            <w:tcBorders>
              <w:bottom w:val="single" w:sz="12" w:space="0" w:color="auto"/>
            </w:tcBorders>
            <w:shd w:val="clear" w:color="auto" w:fill="auto"/>
            <w:vAlign w:val="bottom"/>
          </w:tcPr>
          <w:p w14:paraId="0BADD84E" w14:textId="25FB974B"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264,006</w:t>
            </w:r>
          </w:p>
        </w:tc>
      </w:tr>
      <w:tr w:rsidR="00C019FF" w:rsidRPr="00D101F0" w14:paraId="7D849EAD" w14:textId="77777777" w:rsidTr="00740323">
        <w:tc>
          <w:tcPr>
            <w:tcW w:w="3771" w:type="dxa"/>
            <w:tcBorders>
              <w:top w:val="single" w:sz="12" w:space="0" w:color="auto"/>
            </w:tcBorders>
          </w:tcPr>
          <w:p w14:paraId="038E525F" w14:textId="77777777" w:rsidR="00C019FF" w:rsidRPr="00366D86" w:rsidRDefault="00C019FF" w:rsidP="00E21193">
            <w:pPr>
              <w:rPr>
                <w:color w:val="000000" w:themeColor="text1"/>
              </w:rPr>
            </w:pPr>
            <w:r w:rsidRPr="00366D86">
              <w:rPr>
                <w:color w:val="000000" w:themeColor="text1"/>
              </w:rPr>
              <w:t>Level 3.1</w:t>
            </w:r>
          </w:p>
        </w:tc>
        <w:tc>
          <w:tcPr>
            <w:tcW w:w="3771" w:type="dxa"/>
            <w:tcBorders>
              <w:top w:val="single" w:sz="12" w:space="0" w:color="auto"/>
            </w:tcBorders>
            <w:shd w:val="clear" w:color="auto" w:fill="auto"/>
            <w:vAlign w:val="bottom"/>
          </w:tcPr>
          <w:p w14:paraId="05FAB1D3" w14:textId="3FE7E439"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282,476</w:t>
            </w:r>
          </w:p>
        </w:tc>
      </w:tr>
      <w:tr w:rsidR="00C019FF" w:rsidRPr="00D101F0" w14:paraId="44B9E18B" w14:textId="77777777" w:rsidTr="00E21193">
        <w:tc>
          <w:tcPr>
            <w:tcW w:w="3771" w:type="dxa"/>
          </w:tcPr>
          <w:p w14:paraId="5A7B736D" w14:textId="77777777" w:rsidR="00C019FF" w:rsidRPr="00366D86" w:rsidRDefault="00C019FF" w:rsidP="00E21193">
            <w:pPr>
              <w:rPr>
                <w:color w:val="000000" w:themeColor="text1"/>
              </w:rPr>
            </w:pPr>
            <w:r w:rsidRPr="00366D86">
              <w:rPr>
                <w:color w:val="000000" w:themeColor="text1"/>
              </w:rPr>
              <w:t>Level 3.2</w:t>
            </w:r>
          </w:p>
        </w:tc>
        <w:tc>
          <w:tcPr>
            <w:tcW w:w="3771" w:type="dxa"/>
            <w:shd w:val="clear" w:color="auto" w:fill="auto"/>
            <w:vAlign w:val="bottom"/>
          </w:tcPr>
          <w:p w14:paraId="4D07F11E" w14:textId="3E2B3F97"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293,809</w:t>
            </w:r>
          </w:p>
        </w:tc>
      </w:tr>
      <w:tr w:rsidR="00C019FF" w:rsidRPr="00D101F0" w14:paraId="774AFF0D" w14:textId="77777777" w:rsidTr="00E21193">
        <w:tc>
          <w:tcPr>
            <w:tcW w:w="3771" w:type="dxa"/>
          </w:tcPr>
          <w:p w14:paraId="6278CC55" w14:textId="77777777" w:rsidR="00C019FF" w:rsidRPr="00366D86" w:rsidRDefault="00C019FF" w:rsidP="00E21193">
            <w:pPr>
              <w:rPr>
                <w:color w:val="000000" w:themeColor="text1"/>
              </w:rPr>
            </w:pPr>
            <w:r w:rsidRPr="00366D86">
              <w:rPr>
                <w:color w:val="000000" w:themeColor="text1"/>
              </w:rPr>
              <w:t>Level 3.3</w:t>
            </w:r>
          </w:p>
        </w:tc>
        <w:tc>
          <w:tcPr>
            <w:tcW w:w="3771" w:type="dxa"/>
            <w:shd w:val="clear" w:color="auto" w:fill="auto"/>
            <w:vAlign w:val="bottom"/>
          </w:tcPr>
          <w:p w14:paraId="4F43CE37" w14:textId="1C335861"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305,472</w:t>
            </w:r>
          </w:p>
        </w:tc>
      </w:tr>
      <w:tr w:rsidR="00C019FF" w:rsidRPr="00D101F0" w14:paraId="0AAA5937" w14:textId="77777777" w:rsidTr="00740323">
        <w:tc>
          <w:tcPr>
            <w:tcW w:w="3771" w:type="dxa"/>
            <w:tcBorders>
              <w:bottom w:val="single" w:sz="12" w:space="0" w:color="auto"/>
            </w:tcBorders>
          </w:tcPr>
          <w:p w14:paraId="71F17429" w14:textId="77777777" w:rsidR="00C019FF" w:rsidRPr="00366D86" w:rsidRDefault="00C019FF" w:rsidP="00E21193">
            <w:pPr>
              <w:rPr>
                <w:color w:val="000000" w:themeColor="text1"/>
              </w:rPr>
            </w:pPr>
            <w:r w:rsidRPr="00366D86">
              <w:rPr>
                <w:color w:val="000000" w:themeColor="text1"/>
              </w:rPr>
              <w:t>Level 3.4</w:t>
            </w:r>
          </w:p>
        </w:tc>
        <w:tc>
          <w:tcPr>
            <w:tcW w:w="3771" w:type="dxa"/>
            <w:tcBorders>
              <w:bottom w:val="single" w:sz="12" w:space="0" w:color="auto"/>
            </w:tcBorders>
            <w:shd w:val="clear" w:color="auto" w:fill="auto"/>
            <w:vAlign w:val="bottom"/>
          </w:tcPr>
          <w:p w14:paraId="570234A4" w14:textId="78D23084"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316,958</w:t>
            </w:r>
          </w:p>
        </w:tc>
      </w:tr>
      <w:tr w:rsidR="00C019FF" w:rsidRPr="00D101F0" w14:paraId="29A0FBE9" w14:textId="77777777" w:rsidTr="00740323">
        <w:tc>
          <w:tcPr>
            <w:tcW w:w="3771" w:type="dxa"/>
            <w:tcBorders>
              <w:top w:val="single" w:sz="12" w:space="0" w:color="auto"/>
            </w:tcBorders>
          </w:tcPr>
          <w:p w14:paraId="785A526D" w14:textId="77777777" w:rsidR="00C019FF" w:rsidRPr="00366D86" w:rsidRDefault="00C019FF" w:rsidP="00E21193">
            <w:pPr>
              <w:rPr>
                <w:color w:val="000000" w:themeColor="text1"/>
              </w:rPr>
            </w:pPr>
            <w:r w:rsidRPr="00366D86">
              <w:rPr>
                <w:color w:val="000000" w:themeColor="text1"/>
              </w:rPr>
              <w:t>Level 4.1</w:t>
            </w:r>
          </w:p>
        </w:tc>
        <w:tc>
          <w:tcPr>
            <w:tcW w:w="3771" w:type="dxa"/>
            <w:tcBorders>
              <w:top w:val="single" w:sz="12" w:space="0" w:color="auto"/>
            </w:tcBorders>
            <w:shd w:val="clear" w:color="auto" w:fill="auto"/>
            <w:vAlign w:val="bottom"/>
          </w:tcPr>
          <w:p w14:paraId="3C191755" w14:textId="329C296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328,348</w:t>
            </w:r>
          </w:p>
        </w:tc>
      </w:tr>
      <w:tr w:rsidR="00C019FF" w:rsidRPr="00D101F0" w14:paraId="18911818" w14:textId="77777777" w:rsidTr="00E21193">
        <w:tc>
          <w:tcPr>
            <w:tcW w:w="3771" w:type="dxa"/>
          </w:tcPr>
          <w:p w14:paraId="366D181A" w14:textId="77777777" w:rsidR="00C019FF" w:rsidRPr="00366D86" w:rsidRDefault="00C019FF" w:rsidP="00E21193">
            <w:pPr>
              <w:rPr>
                <w:color w:val="000000" w:themeColor="text1"/>
              </w:rPr>
            </w:pPr>
            <w:r w:rsidRPr="00366D86">
              <w:rPr>
                <w:color w:val="000000" w:themeColor="text1"/>
              </w:rPr>
              <w:t>Level 4.2</w:t>
            </w:r>
          </w:p>
        </w:tc>
        <w:tc>
          <w:tcPr>
            <w:tcW w:w="3771" w:type="dxa"/>
            <w:shd w:val="clear" w:color="auto" w:fill="auto"/>
            <w:vAlign w:val="bottom"/>
          </w:tcPr>
          <w:p w14:paraId="124267B4" w14:textId="2BECE1D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337,841</w:t>
            </w:r>
          </w:p>
        </w:tc>
      </w:tr>
      <w:tr w:rsidR="00C019FF" w:rsidRPr="00D101F0" w14:paraId="34F6FD64" w14:textId="77777777" w:rsidTr="00740323">
        <w:tc>
          <w:tcPr>
            <w:tcW w:w="3771" w:type="dxa"/>
            <w:tcBorders>
              <w:bottom w:val="single" w:sz="12" w:space="0" w:color="auto"/>
            </w:tcBorders>
          </w:tcPr>
          <w:p w14:paraId="5E05A30C" w14:textId="77777777" w:rsidR="00C019FF" w:rsidRPr="00366D86" w:rsidRDefault="00C019FF" w:rsidP="00E21193">
            <w:pPr>
              <w:rPr>
                <w:color w:val="000000" w:themeColor="text1"/>
              </w:rPr>
            </w:pPr>
            <w:r w:rsidRPr="00366D86">
              <w:rPr>
                <w:color w:val="000000" w:themeColor="text1"/>
              </w:rPr>
              <w:t>Level 4.3</w:t>
            </w:r>
          </w:p>
        </w:tc>
        <w:tc>
          <w:tcPr>
            <w:tcW w:w="3771" w:type="dxa"/>
            <w:tcBorders>
              <w:bottom w:val="single" w:sz="12" w:space="0" w:color="auto"/>
            </w:tcBorders>
            <w:shd w:val="clear" w:color="auto" w:fill="auto"/>
            <w:vAlign w:val="bottom"/>
          </w:tcPr>
          <w:p w14:paraId="194CDE40" w14:textId="39A06F90"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350,025</w:t>
            </w:r>
          </w:p>
        </w:tc>
      </w:tr>
      <w:tr w:rsidR="00C019FF" w:rsidRPr="00D101F0" w14:paraId="792D129D" w14:textId="77777777" w:rsidTr="00740323">
        <w:tc>
          <w:tcPr>
            <w:tcW w:w="3771" w:type="dxa"/>
            <w:tcBorders>
              <w:top w:val="single" w:sz="12" w:space="0" w:color="auto"/>
            </w:tcBorders>
          </w:tcPr>
          <w:p w14:paraId="6EB60146" w14:textId="77777777" w:rsidR="00C019FF" w:rsidRPr="00366D86" w:rsidRDefault="00C019FF" w:rsidP="00E21193">
            <w:pPr>
              <w:rPr>
                <w:color w:val="000000" w:themeColor="text1"/>
              </w:rPr>
            </w:pPr>
            <w:r w:rsidRPr="00366D86">
              <w:rPr>
                <w:color w:val="000000" w:themeColor="text1"/>
              </w:rPr>
              <w:t xml:space="preserve">Level 4.4 </w:t>
            </w:r>
            <w:r w:rsidRPr="00366D86">
              <w:rPr>
                <w:color w:val="000000" w:themeColor="text1"/>
              </w:rPr>
              <w:br/>
            </w:r>
            <w:r w:rsidRPr="00366D86">
              <w:rPr>
                <w:color w:val="000000" w:themeColor="text1"/>
                <w:sz w:val="20"/>
              </w:rPr>
              <w:t>(Head of Service)</w:t>
            </w:r>
          </w:p>
        </w:tc>
        <w:tc>
          <w:tcPr>
            <w:tcW w:w="3771" w:type="dxa"/>
            <w:tcBorders>
              <w:top w:val="single" w:sz="12" w:space="0" w:color="auto"/>
            </w:tcBorders>
            <w:shd w:val="clear" w:color="auto" w:fill="auto"/>
            <w:vAlign w:val="bottom"/>
          </w:tcPr>
          <w:p w14:paraId="575BD5FC" w14:textId="5AE4B037"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381,524</w:t>
            </w:r>
          </w:p>
        </w:tc>
      </w:tr>
    </w:tbl>
    <w:p w14:paraId="54955FD6" w14:textId="5CF45149" w:rsidR="00F11BCC" w:rsidRDefault="00F11BCC" w:rsidP="00F11BCC">
      <w:pPr>
        <w:numPr>
          <w:ilvl w:val="1"/>
          <w:numId w:val="1"/>
        </w:numPr>
        <w:tabs>
          <w:tab w:val="clear" w:pos="720"/>
          <w:tab w:val="num" w:pos="0"/>
        </w:tabs>
        <w:spacing w:before="80" w:after="60"/>
        <w:ind w:left="709" w:hanging="709"/>
      </w:pPr>
      <w:r w:rsidRPr="00335707">
        <w:lastRenderedPageBreak/>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0DBA0425" w:rsidR="00932D00" w:rsidRPr="00F87F1D" w:rsidRDefault="00932D00" w:rsidP="00932D00">
      <w:pPr>
        <w:numPr>
          <w:ilvl w:val="1"/>
          <w:numId w:val="1"/>
        </w:numPr>
        <w:spacing w:before="80" w:after="60"/>
        <w:rPr>
          <w:color w:val="000000" w:themeColor="text1"/>
        </w:rPr>
      </w:pPr>
      <w:r w:rsidRPr="00F87F1D">
        <w:rPr>
          <w:color w:val="000000" w:themeColor="text1"/>
        </w:rPr>
        <w:t>The person engaged as the Head of Service is to be paid additional remuneration of $10,000 per annum above the remuneration of an executive level 4.4 specified in column 2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DDB02C"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column </w:t>
      </w:r>
      <w:r w:rsidR="00915F3A" w:rsidRPr="00F87F1D">
        <w:rPr>
          <w:color w:val="000000" w:themeColor="text1"/>
        </w:rPr>
        <w:t>2</w:t>
      </w:r>
      <w:r w:rsidR="00F00DFB" w:rsidRPr="00F87F1D">
        <w:rPr>
          <w:color w:val="000000" w:themeColor="text1"/>
        </w:rPr>
        <w:t xml:space="preserve"> </w:t>
      </w:r>
      <w:r w:rsidRPr="00F87F1D">
        <w:rPr>
          <w:color w:val="000000" w:themeColor="text1"/>
        </w:rPr>
        <w:t xml:space="preserve">of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An employer-provided benefit, or cash payment in lieu of an employer-provided benefit, is in addition to the remuneration specified in clause 2 of this determination, and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4C0D6C2D" w:rsidR="00942F3C" w:rsidRPr="00A05757" w:rsidRDefault="00942F3C" w:rsidP="00942F3C">
      <w:pPr>
        <w:pStyle w:val="Heading2"/>
        <w:spacing w:before="120"/>
        <w:ind w:left="709"/>
        <w:jc w:val="left"/>
        <w:rPr>
          <w:szCs w:val="24"/>
        </w:rPr>
      </w:pPr>
      <w:r>
        <w:rPr>
          <w:szCs w:val="24"/>
        </w:rPr>
        <w:t xml:space="preserve">Vehicle </w:t>
      </w:r>
    </w:p>
    <w:p w14:paraId="7078F4CA" w14:textId="1B966D98"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vehicle and associated arrangements, including a parking space in accordance with the </w:t>
      </w:r>
      <w:r w:rsidRPr="00942F3C">
        <w:rPr>
          <w:i/>
          <w:szCs w:val="24"/>
        </w:rPr>
        <w:t>Public Sector Management Standards 2016</w:t>
      </w:r>
      <w:r>
        <w:rPr>
          <w:szCs w:val="24"/>
        </w:rPr>
        <w:t xml:space="preserve"> and the </w:t>
      </w:r>
      <w:r w:rsidRPr="00942F3C">
        <w:rPr>
          <w:i/>
          <w:szCs w:val="24"/>
        </w:rPr>
        <w:t>Guidelines for the Management and Use of Executive Vehicles</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lastRenderedPageBreak/>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r>
        <w:t>the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(PSSap)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r>
        <w:t xml:space="preserve">the employer will contribute </w:t>
      </w:r>
      <w:r w:rsidR="00737A85">
        <w:t xml:space="preserve">that </w:t>
      </w:r>
      <w:r>
        <w:t>amount to an agreed superannuation fund nominated by the executive.</w:t>
      </w:r>
    </w:p>
    <w:p w14:paraId="0239061B" w14:textId="5B8EB0D3"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w:t>
      </w:r>
      <w:r w:rsidR="00B656CC">
        <w:t>equivalent to</w:t>
      </w:r>
      <w:r w:rsidRPr="00C03BCF">
        <w:t xml:space="preserve"> the Employer Superannuation Guarantee Charge Percentage as provided by the </w:t>
      </w:r>
      <w:r w:rsidRPr="00C03BCF">
        <w:rPr>
          <w:i/>
        </w:rPr>
        <w:t>Superannuation Guarantee (Administration) Act 1992</w:t>
      </w:r>
      <w:r w:rsidR="00971EAB">
        <w:rPr>
          <w:i/>
        </w:rPr>
        <w:t xml:space="preserve"> </w:t>
      </w:r>
      <w:r w:rsidR="00971EAB" w:rsidRPr="00BF4736">
        <w:t>(which at the commencement of this Determination is 9.5%)</w:t>
      </w:r>
      <w:r w:rsidRPr="00C03BCF">
        <w:t>.</w:t>
      </w:r>
    </w:p>
    <w:p w14:paraId="6069CB3A" w14:textId="77777777" w:rsidR="00BE1775" w:rsidRPr="00B656CC" w:rsidRDefault="00BE1775" w:rsidP="00BE1775">
      <w:pPr>
        <w:numPr>
          <w:ilvl w:val="1"/>
          <w:numId w:val="1"/>
        </w:numPr>
        <w:tabs>
          <w:tab w:val="clear" w:pos="720"/>
          <w:tab w:val="num" w:pos="0"/>
        </w:tabs>
        <w:spacing w:before="120" w:after="60"/>
        <w:ind w:left="709" w:hanging="709"/>
      </w:pPr>
      <w:bookmarkStart w:id="2" w:name="_Hlk23231287"/>
      <w:r w:rsidRPr="00B656CC">
        <w:t>The employer provides an additional employer superannuation contribution. The additional employer superannuation contribution is the same rate provided under clause D7 of the ACT Public Sector Administrative and Related Classifications Enterprise Agreement 2018-2021, as follows:</w:t>
      </w:r>
    </w:p>
    <w:p w14:paraId="55A65C0A" w14:textId="0E636807" w:rsidR="00BE1775" w:rsidRPr="00B656CC" w:rsidRDefault="00BE1775" w:rsidP="00BE1775">
      <w:pPr>
        <w:tabs>
          <w:tab w:val="left" w:pos="1134"/>
        </w:tabs>
        <w:spacing w:before="120" w:after="60"/>
        <w:ind w:left="720"/>
      </w:pPr>
      <w:r w:rsidRPr="00B656CC">
        <w:t>(a)</w:t>
      </w:r>
      <w:r w:rsidRPr="00B656CC">
        <w:tab/>
        <w:t>From 1 July 2019: 1.50%.</w:t>
      </w:r>
    </w:p>
    <w:p w14:paraId="786B1E75" w14:textId="4D3FAABC" w:rsidR="00BE1775" w:rsidRPr="00B656CC" w:rsidRDefault="00BE1775" w:rsidP="00BE1775">
      <w:pPr>
        <w:tabs>
          <w:tab w:val="left" w:pos="1134"/>
        </w:tabs>
        <w:spacing w:before="120" w:after="60"/>
        <w:ind w:left="720"/>
      </w:pPr>
      <w:r w:rsidRPr="00B656CC">
        <w:t>(b)</w:t>
      </w:r>
      <w:r w:rsidRPr="00B656CC">
        <w:tab/>
        <w:t>From 1 July 2020: 2%.</w:t>
      </w:r>
      <w:bookmarkEnd w:id="2"/>
    </w:p>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Pr="009C10E9" w:rsidRDefault="00F11BCC" w:rsidP="00F11BCC">
      <w:pPr>
        <w:numPr>
          <w:ilvl w:val="1"/>
          <w:numId w:val="1"/>
        </w:numPr>
        <w:tabs>
          <w:tab w:val="clear" w:pos="720"/>
          <w:tab w:val="num" w:pos="0"/>
        </w:tabs>
        <w:spacing w:before="8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3CB99A62" w14:textId="1AEE46B5" w:rsidR="00894955" w:rsidRPr="00D21F9B" w:rsidRDefault="00894955" w:rsidP="00894955">
      <w:pPr>
        <w:pStyle w:val="Heading2"/>
        <w:spacing w:before="120"/>
        <w:ind w:left="709"/>
        <w:jc w:val="left"/>
        <w:rPr>
          <w:color w:val="000000" w:themeColor="text1"/>
        </w:rPr>
      </w:pPr>
      <w:r w:rsidRPr="00D21F9B">
        <w:rPr>
          <w:color w:val="000000" w:themeColor="text1"/>
        </w:rPr>
        <w:t xml:space="preserve">Fringe benefit tax – vehicle </w:t>
      </w:r>
    </w:p>
    <w:p w14:paraId="7A756034" w14:textId="14907B24"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the fringe benefits tax year commences 1 April 2019 and ending on 31 March 2020.             </w:t>
      </w:r>
    </w:p>
    <w:p w14:paraId="7EAED49A" w14:textId="49918599" w:rsidR="009B4321" w:rsidRPr="00D21F9B" w:rsidRDefault="000776B6"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During the fringe benefits tax year, where the executive elects to receive an employer-provided vehicle instead of a payment, i</w:t>
      </w:r>
      <w:r w:rsidR="009B4321" w:rsidRPr="00D21F9B">
        <w:rPr>
          <w:color w:val="000000" w:themeColor="text1"/>
        </w:rPr>
        <w:t xml:space="preserve">f the employer’s liability in relation to the executive’s vehicle provided by the employer for the fringe benefits tax year is less than $7,500, the difference is payable to the executive as </w:t>
      </w:r>
      <w:r w:rsidR="009C10E9" w:rsidRPr="00D21F9B">
        <w:rPr>
          <w:color w:val="000000" w:themeColor="text1"/>
        </w:rPr>
        <w:t>an allowance at the end of the fringe benefits tax year</w:t>
      </w:r>
      <w:r w:rsidR="009B4321" w:rsidRPr="00D21F9B">
        <w:rPr>
          <w:color w:val="000000" w:themeColor="text1"/>
        </w:rPr>
        <w:t xml:space="preserve">. </w:t>
      </w:r>
    </w:p>
    <w:p w14:paraId="5E2609C6" w14:textId="2DF8E5B5"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lastRenderedPageBreak/>
        <w:t xml:space="preserve">To avoid doubt, if the assessed liability for fringe benefits tax exceeds the $7,500 threshold, the executive will not be required to pay any component in excess of the $7,500.  </w:t>
      </w:r>
    </w:p>
    <w:p w14:paraId="6313589C" w14:textId="69D7FE5C"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t xml:space="preserve">During the fringe benefits tax year, where the executive elects to receive a payment instead of an employer provided vehicle, the amount of $7,500 </w:t>
      </w:r>
      <w:r w:rsidRPr="00D21F9B">
        <w:rPr>
          <w:color w:val="000000" w:themeColor="text1"/>
        </w:rPr>
        <w:t xml:space="preserve">per annum is paid </w:t>
      </w:r>
      <w:r w:rsidR="009C10E9" w:rsidRPr="00D21F9B">
        <w:rPr>
          <w:color w:val="000000" w:themeColor="text1"/>
        </w:rPr>
        <w:t xml:space="preserve">as an allowance </w:t>
      </w:r>
      <w:r w:rsidRPr="00D21F9B">
        <w:rPr>
          <w:color w:val="000000" w:themeColor="text1"/>
        </w:rPr>
        <w:t xml:space="preserve">to the executive on a fortnightly basis. </w:t>
      </w:r>
    </w:p>
    <w:p w14:paraId="783B51D4" w14:textId="66B078EB"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t xml:space="preserve">The fringe benefits tax allowance of $7,500 under clause </w:t>
      </w:r>
      <w:r w:rsidR="002E3D81">
        <w:rPr>
          <w:color w:val="000000" w:themeColor="text1"/>
        </w:rPr>
        <w:t>4</w:t>
      </w:r>
      <w:r w:rsidRPr="009C10E9">
        <w:rPr>
          <w:color w:val="000000" w:themeColor="text1"/>
        </w:rPr>
        <w:t>.</w:t>
      </w:r>
      <w:r w:rsidR="002E3D81">
        <w:rPr>
          <w:color w:val="000000" w:themeColor="text1"/>
        </w:rPr>
        <w:t>13</w:t>
      </w:r>
      <w:r w:rsidRPr="009C10E9">
        <w:rPr>
          <w:color w:val="000000" w:themeColor="text1"/>
        </w:rPr>
        <w:t xml:space="preserve"> is reduced proportionally where the executive is engaged for less than a full fringe benefits tax year.</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Relocation allowance is provided to assist an individual with the costs to relocate from their home location to the ACT in order to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packing personal effects and furniture belonging to the person and their family;</w:t>
      </w:r>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necessary storage of personal effects and furniture;</w:t>
      </w:r>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removal costs and associated insurance of personal effects and furniture;</w:t>
      </w:r>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unpacking of personal effects and furniture;</w:t>
      </w:r>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travel, accommodation and meals between the former location and the ACT;</w:t>
      </w:r>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disconnection and reconnection of utilities;</w:t>
      </w:r>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5.3; </w:t>
      </w:r>
    </w:p>
    <w:p w14:paraId="71F54309"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If the executive terminates employment more than six months and less than twelve months from the date of their engagement—50% of the amount reimbursed under section 5.3.</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
    <w:p w14:paraId="31F10BAD" w14:textId="77777777" w:rsidR="00793C81" w:rsidRDefault="00793C81" w:rsidP="00793C81">
      <w:pPr>
        <w:numPr>
          <w:ilvl w:val="2"/>
          <w:numId w:val="1"/>
        </w:numPr>
        <w:tabs>
          <w:tab w:val="clear" w:pos="720"/>
        </w:tabs>
        <w:spacing w:after="60"/>
        <w:ind w:left="1134" w:hanging="436"/>
      </w:pPr>
      <w:r>
        <w:t>part 9.6 (executive employee and statutory office-holder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Leave entitlements, salary sacrifice arrangements and vacation childcare subsidy are provided to executives under Division 5.6 of the Public Sector Management Standards 2016,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r w:rsidRPr="00335707">
        <w:rPr>
          <w:b/>
          <w:bCs/>
          <w:i/>
          <w:iCs/>
        </w:rPr>
        <w:t>agreed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(Cth); and</w:t>
      </w:r>
    </w:p>
    <w:p w14:paraId="79CB395C" w14:textId="77777777" w:rsidR="00F11BCC" w:rsidRPr="00335707" w:rsidRDefault="00F11BCC" w:rsidP="00F11BCC">
      <w:pPr>
        <w:pStyle w:val="MediumGrid1-Accent21"/>
        <w:numPr>
          <w:ilvl w:val="0"/>
          <w:numId w:val="3"/>
        </w:numPr>
        <w:spacing w:before="80"/>
        <w:jc w:val="both"/>
      </w:pPr>
      <w:r w:rsidRPr="00335707">
        <w:t xml:space="preserve">the </w:t>
      </w:r>
      <w:r w:rsidRPr="00335707">
        <w:rPr>
          <w:i/>
        </w:rPr>
        <w:t>Superannuation Industry (Supervision) Act 1993</w:t>
      </w:r>
      <w:r w:rsidRPr="00335707">
        <w:t xml:space="preserve"> (Cth).</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56DD224" w14:textId="03849F4A" w:rsidR="007C241C" w:rsidRDefault="00F11BCC" w:rsidP="007C241C">
      <w:pPr>
        <w:numPr>
          <w:ilvl w:val="1"/>
          <w:numId w:val="1"/>
        </w:numPr>
        <w:tabs>
          <w:tab w:val="clear" w:pos="720"/>
        </w:tabs>
        <w:spacing w:before="80" w:after="60"/>
        <w:ind w:left="709" w:hanging="709"/>
        <w:rPr>
          <w:color w:val="000000" w:themeColor="text1"/>
        </w:rPr>
      </w:pPr>
      <w:r w:rsidRPr="00366D86">
        <w:rPr>
          <w:color w:val="000000" w:themeColor="text1"/>
        </w:rPr>
        <w:t xml:space="preserve">Determination </w:t>
      </w:r>
      <w:r w:rsidR="006442AA">
        <w:rPr>
          <w:color w:val="000000" w:themeColor="text1"/>
        </w:rPr>
        <w:t>2</w:t>
      </w:r>
      <w:r w:rsidR="00482097" w:rsidRPr="00366D86">
        <w:rPr>
          <w:color w:val="000000" w:themeColor="text1"/>
        </w:rPr>
        <w:t xml:space="preserve"> of </w:t>
      </w:r>
      <w:r w:rsidR="006442AA">
        <w:rPr>
          <w:color w:val="000000" w:themeColor="text1"/>
        </w:rPr>
        <w:t>2019</w:t>
      </w:r>
      <w:r w:rsidR="006442AA" w:rsidRPr="00366D86">
        <w:rPr>
          <w:color w:val="000000" w:themeColor="text1"/>
        </w:rPr>
        <w:t xml:space="preserve"> </w:t>
      </w:r>
      <w:r w:rsidRPr="00366D86">
        <w:rPr>
          <w:color w:val="000000" w:themeColor="text1"/>
        </w:rPr>
        <w:t>is revoked.</w:t>
      </w:r>
      <w:bookmarkEnd w:id="0"/>
    </w:p>
    <w:tbl>
      <w:tblPr>
        <w:tblW w:w="0" w:type="auto"/>
        <w:tblLook w:val="04A0" w:firstRow="1" w:lastRow="0" w:firstColumn="1" w:lastColumn="0" w:noHBand="0" w:noVBand="1"/>
      </w:tblPr>
      <w:tblGrid>
        <w:gridCol w:w="4529"/>
        <w:gridCol w:w="4488"/>
      </w:tblGrid>
      <w:tr w:rsidR="00644334" w:rsidRPr="006A51E8" w14:paraId="4F9DC2B3" w14:textId="77777777" w:rsidTr="002046EC">
        <w:tc>
          <w:tcPr>
            <w:tcW w:w="4529" w:type="dxa"/>
          </w:tcPr>
          <w:p w14:paraId="2C9D7066" w14:textId="77777777" w:rsidR="00644334" w:rsidRPr="000F41B0" w:rsidRDefault="00644334" w:rsidP="002046EC">
            <w:pPr>
              <w:tabs>
                <w:tab w:val="left" w:pos="4253"/>
                <w:tab w:val="left" w:leader="dot" w:pos="8222"/>
              </w:tabs>
              <w:rPr>
                <w:szCs w:val="24"/>
              </w:rPr>
            </w:pPr>
          </w:p>
          <w:p w14:paraId="2EEDCC14" w14:textId="77777777" w:rsidR="00644334" w:rsidRPr="000F41B0" w:rsidRDefault="00644334" w:rsidP="002046EC">
            <w:pPr>
              <w:tabs>
                <w:tab w:val="left" w:pos="4253"/>
                <w:tab w:val="left" w:pos="7230"/>
                <w:tab w:val="left" w:leader="dot" w:pos="8222"/>
              </w:tabs>
              <w:rPr>
                <w:szCs w:val="24"/>
              </w:rPr>
            </w:pPr>
            <w:r>
              <w:rPr>
                <w:szCs w:val="24"/>
              </w:rPr>
              <w:t>Ms Sandra Lambert AM</w:t>
            </w:r>
            <w:r w:rsidRPr="000F41B0">
              <w:rPr>
                <w:szCs w:val="24"/>
              </w:rPr>
              <w:tab/>
            </w:r>
          </w:p>
          <w:p w14:paraId="73BAD8A1" w14:textId="77777777" w:rsidR="00644334" w:rsidRPr="000F41B0" w:rsidRDefault="00644334" w:rsidP="002046EC">
            <w:pPr>
              <w:tabs>
                <w:tab w:val="left" w:pos="7230"/>
              </w:tabs>
              <w:rPr>
                <w:szCs w:val="24"/>
              </w:rPr>
            </w:pPr>
            <w:r w:rsidRPr="000F41B0">
              <w:rPr>
                <w:szCs w:val="24"/>
              </w:rPr>
              <w:t>Chair</w:t>
            </w:r>
          </w:p>
          <w:p w14:paraId="62158F9F" w14:textId="77777777" w:rsidR="00644334" w:rsidRDefault="00644334" w:rsidP="002046EC">
            <w:pPr>
              <w:tabs>
                <w:tab w:val="left" w:pos="4253"/>
                <w:tab w:val="left" w:leader="dot" w:pos="8222"/>
              </w:tabs>
              <w:rPr>
                <w:szCs w:val="24"/>
              </w:rPr>
            </w:pPr>
          </w:p>
          <w:p w14:paraId="7033BFC5" w14:textId="77777777" w:rsidR="00644334" w:rsidRPr="000F41B0" w:rsidRDefault="00644334" w:rsidP="002046EC">
            <w:pPr>
              <w:tabs>
                <w:tab w:val="left" w:pos="4253"/>
                <w:tab w:val="left" w:leader="dot" w:pos="8222"/>
              </w:tabs>
              <w:spacing w:after="120"/>
              <w:rPr>
                <w:szCs w:val="24"/>
              </w:rPr>
            </w:pPr>
          </w:p>
        </w:tc>
        <w:tc>
          <w:tcPr>
            <w:tcW w:w="4488" w:type="dxa"/>
          </w:tcPr>
          <w:p w14:paraId="0C50CFD2" w14:textId="77777777" w:rsidR="00644334" w:rsidRDefault="00644334" w:rsidP="002046EC">
            <w:pPr>
              <w:tabs>
                <w:tab w:val="left" w:pos="3059"/>
                <w:tab w:val="left" w:pos="7230"/>
              </w:tabs>
            </w:pPr>
          </w:p>
          <w:p w14:paraId="13416A75" w14:textId="77777777" w:rsidR="00644334" w:rsidRPr="006A51E8" w:rsidRDefault="00644334" w:rsidP="002046EC">
            <w:pPr>
              <w:tabs>
                <w:tab w:val="left" w:pos="3059"/>
                <w:tab w:val="left" w:pos="7230"/>
              </w:tabs>
              <w:spacing w:before="120"/>
            </w:pPr>
            <w:r>
              <w:t xml:space="preserve"> </w:t>
            </w:r>
            <w:r>
              <w:br/>
              <w:t xml:space="preserve"> </w:t>
            </w:r>
            <w:r w:rsidRPr="00A9481F">
              <w:t>...............................</w:t>
            </w:r>
            <w:r>
              <w:t>.................</w:t>
            </w:r>
          </w:p>
        </w:tc>
      </w:tr>
      <w:tr w:rsidR="00644334" w:rsidRPr="006A51E8" w14:paraId="38DFA606" w14:textId="77777777" w:rsidTr="002046EC">
        <w:tc>
          <w:tcPr>
            <w:tcW w:w="4529" w:type="dxa"/>
          </w:tcPr>
          <w:p w14:paraId="72432FB5" w14:textId="77777777" w:rsidR="00644334" w:rsidRPr="000F41B0" w:rsidRDefault="00644334" w:rsidP="002046EC">
            <w:pPr>
              <w:tabs>
                <w:tab w:val="left" w:pos="4253"/>
                <w:tab w:val="left" w:leader="dot" w:pos="8222"/>
              </w:tabs>
              <w:rPr>
                <w:szCs w:val="24"/>
              </w:rPr>
            </w:pPr>
            <w:r>
              <w:rPr>
                <w:szCs w:val="24"/>
              </w:rPr>
              <w:t>Dr James Popple</w:t>
            </w:r>
            <w:r w:rsidRPr="000F41B0">
              <w:rPr>
                <w:szCs w:val="24"/>
              </w:rPr>
              <w:tab/>
            </w:r>
          </w:p>
          <w:p w14:paraId="168A1510" w14:textId="77777777" w:rsidR="00644334" w:rsidRPr="000F41B0" w:rsidRDefault="00644334" w:rsidP="002046EC">
            <w:pPr>
              <w:tabs>
                <w:tab w:val="left" w:pos="4253"/>
                <w:tab w:val="left" w:leader="dot" w:pos="8222"/>
              </w:tabs>
              <w:rPr>
                <w:szCs w:val="24"/>
              </w:rPr>
            </w:pPr>
            <w:r w:rsidRPr="000F41B0">
              <w:rPr>
                <w:szCs w:val="24"/>
              </w:rPr>
              <w:t>Member</w:t>
            </w:r>
          </w:p>
        </w:tc>
        <w:tc>
          <w:tcPr>
            <w:tcW w:w="4488" w:type="dxa"/>
          </w:tcPr>
          <w:p w14:paraId="4A56C647" w14:textId="77777777" w:rsidR="00644334" w:rsidRDefault="00644334" w:rsidP="002046EC">
            <w:pPr>
              <w:tabs>
                <w:tab w:val="left" w:pos="3059"/>
                <w:tab w:val="left" w:pos="7230"/>
              </w:tabs>
            </w:pPr>
            <w:r w:rsidRPr="006A51E8">
              <w:t xml:space="preserve"> </w:t>
            </w:r>
          </w:p>
          <w:p w14:paraId="7E0165DC" w14:textId="77777777" w:rsidR="00644334" w:rsidRDefault="00644334" w:rsidP="002046EC">
            <w:pPr>
              <w:tabs>
                <w:tab w:val="left" w:pos="3059"/>
                <w:tab w:val="left" w:pos="7230"/>
              </w:tabs>
            </w:pPr>
          </w:p>
          <w:p w14:paraId="16ADA17C" w14:textId="77777777" w:rsidR="00644334" w:rsidRDefault="00644334" w:rsidP="002046EC">
            <w:pPr>
              <w:tabs>
                <w:tab w:val="left" w:pos="3059"/>
                <w:tab w:val="left" w:pos="7230"/>
              </w:tabs>
            </w:pPr>
            <w:r>
              <w:t xml:space="preserve">  </w:t>
            </w:r>
            <w:r w:rsidRPr="00A9481F">
              <w:t>..............................</w:t>
            </w:r>
            <w:r>
              <w:t>.................</w:t>
            </w:r>
          </w:p>
          <w:p w14:paraId="1E18CF91" w14:textId="77777777" w:rsidR="00644334" w:rsidRDefault="00644334" w:rsidP="002046EC">
            <w:pPr>
              <w:tabs>
                <w:tab w:val="left" w:pos="3059"/>
                <w:tab w:val="left" w:pos="7230"/>
              </w:tabs>
            </w:pPr>
          </w:p>
        </w:tc>
      </w:tr>
      <w:tr w:rsidR="00644334" w:rsidRPr="006A51E8" w14:paraId="1260082A" w14:textId="77777777" w:rsidTr="002046EC">
        <w:tc>
          <w:tcPr>
            <w:tcW w:w="4529" w:type="dxa"/>
          </w:tcPr>
          <w:p w14:paraId="76F0FE6E" w14:textId="77777777" w:rsidR="00644334" w:rsidRPr="000F41B0" w:rsidRDefault="00644334" w:rsidP="002046EC">
            <w:pPr>
              <w:tabs>
                <w:tab w:val="left" w:pos="4253"/>
                <w:tab w:val="left" w:pos="7230"/>
                <w:tab w:val="left" w:leader="dot" w:pos="8222"/>
              </w:tabs>
              <w:rPr>
                <w:szCs w:val="24"/>
              </w:rPr>
            </w:pPr>
          </w:p>
          <w:p w14:paraId="165DC264" w14:textId="77777777" w:rsidR="00644334" w:rsidRDefault="00644334" w:rsidP="002046EC">
            <w:pPr>
              <w:tabs>
                <w:tab w:val="left" w:pos="4253"/>
                <w:tab w:val="left" w:pos="7230"/>
                <w:tab w:val="left" w:leader="dot" w:pos="8222"/>
              </w:tabs>
              <w:rPr>
                <w:szCs w:val="24"/>
              </w:rPr>
            </w:pPr>
          </w:p>
          <w:p w14:paraId="25F736B2" w14:textId="77777777" w:rsidR="00644334" w:rsidRPr="000F41B0" w:rsidRDefault="00644334" w:rsidP="002046EC">
            <w:pPr>
              <w:tabs>
                <w:tab w:val="left" w:pos="4253"/>
                <w:tab w:val="left" w:leader="dot" w:pos="8222"/>
              </w:tabs>
              <w:rPr>
                <w:szCs w:val="24"/>
              </w:rPr>
            </w:pPr>
            <w:r>
              <w:rPr>
                <w:szCs w:val="24"/>
              </w:rPr>
              <w:t>Mr Dale Boucher PSM</w:t>
            </w:r>
            <w:r w:rsidRPr="000F41B0">
              <w:rPr>
                <w:szCs w:val="24"/>
              </w:rPr>
              <w:tab/>
            </w:r>
          </w:p>
          <w:p w14:paraId="17F9FF44" w14:textId="77777777" w:rsidR="00644334" w:rsidRPr="000F41B0" w:rsidRDefault="00644334" w:rsidP="002046EC">
            <w:pPr>
              <w:tabs>
                <w:tab w:val="left" w:pos="4253"/>
                <w:tab w:val="left" w:leader="dot" w:pos="8222"/>
              </w:tabs>
              <w:rPr>
                <w:szCs w:val="24"/>
              </w:rPr>
            </w:pPr>
            <w:r w:rsidRPr="000F41B0">
              <w:rPr>
                <w:szCs w:val="24"/>
              </w:rPr>
              <w:t xml:space="preserve">Member </w:t>
            </w:r>
          </w:p>
        </w:tc>
        <w:tc>
          <w:tcPr>
            <w:tcW w:w="4488" w:type="dxa"/>
          </w:tcPr>
          <w:p w14:paraId="6CC29ACF" w14:textId="77777777" w:rsidR="00644334" w:rsidRDefault="00644334" w:rsidP="002046EC">
            <w:pPr>
              <w:tabs>
                <w:tab w:val="left" w:pos="4026"/>
                <w:tab w:val="left" w:pos="7230"/>
              </w:tabs>
            </w:pPr>
          </w:p>
          <w:p w14:paraId="00B9DF81" w14:textId="77777777" w:rsidR="00644334" w:rsidRDefault="00644334" w:rsidP="002046EC">
            <w:pPr>
              <w:tabs>
                <w:tab w:val="left" w:pos="4026"/>
                <w:tab w:val="left" w:pos="7230"/>
              </w:tabs>
            </w:pPr>
          </w:p>
          <w:p w14:paraId="75C00558" w14:textId="77777777" w:rsidR="00644334" w:rsidRDefault="00644334" w:rsidP="002046EC">
            <w:pPr>
              <w:tabs>
                <w:tab w:val="left" w:pos="4026"/>
                <w:tab w:val="left" w:pos="7230"/>
              </w:tabs>
            </w:pPr>
          </w:p>
          <w:p w14:paraId="6299E49F" w14:textId="77777777" w:rsidR="00644334" w:rsidRDefault="00644334" w:rsidP="002046EC">
            <w:pPr>
              <w:tabs>
                <w:tab w:val="left" w:pos="3059"/>
                <w:tab w:val="left" w:pos="7230"/>
              </w:tabs>
            </w:pPr>
            <w:r>
              <w:t xml:space="preserve">  </w:t>
            </w:r>
            <w:r w:rsidRPr="00A9481F">
              <w:t>...............................</w:t>
            </w:r>
            <w:r>
              <w:t>................</w:t>
            </w:r>
          </w:p>
          <w:p w14:paraId="44E4A378" w14:textId="77777777" w:rsidR="00644334" w:rsidRPr="006A51E8" w:rsidRDefault="00644334" w:rsidP="002046EC">
            <w:pPr>
              <w:tabs>
                <w:tab w:val="left" w:pos="3059"/>
                <w:tab w:val="left" w:pos="7230"/>
              </w:tabs>
            </w:pPr>
          </w:p>
        </w:tc>
      </w:tr>
    </w:tbl>
    <w:p w14:paraId="0925F75F" w14:textId="77777777" w:rsidR="00644334" w:rsidRDefault="00644334" w:rsidP="00644334">
      <w:pPr>
        <w:tabs>
          <w:tab w:val="left" w:pos="4320"/>
        </w:tabs>
        <w:jc w:val="right"/>
      </w:pPr>
      <w:r>
        <w:t>September 2020</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6"/>
      <w:headerReference w:type="default" r:id="rId17"/>
      <w:footerReference w:type="even" r:id="rId18"/>
      <w:footerReference w:type="default" r:id="rId19"/>
      <w:headerReference w:type="first" r:id="rId20"/>
      <w:footerReference w:type="first" r:id="rId21"/>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BC89" w14:textId="77777777" w:rsidR="007C4085" w:rsidRDefault="007C4085" w:rsidP="00182539">
      <w:r>
        <w:separator/>
      </w:r>
    </w:p>
  </w:endnote>
  <w:endnote w:type="continuationSeparator" w:id="0">
    <w:p w14:paraId="12802027" w14:textId="77777777" w:rsidR="007C4085" w:rsidRDefault="007C4085"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1EE4" w14:textId="77777777" w:rsidR="00E04F07" w:rsidRDefault="00E04F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7F62" w14:textId="77777777" w:rsidR="00915F3A" w:rsidRPr="005E4817" w:rsidRDefault="00915F3A">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100AE4">
      <w:rPr>
        <w:rFonts w:asciiTheme="minorHAnsi" w:hAnsiTheme="minorHAnsi"/>
        <w:noProof/>
      </w:rPr>
      <w:t>2</w:t>
    </w:r>
    <w:r w:rsidRPr="005E4817">
      <w:rPr>
        <w:rFonts w:asciiTheme="minorHAnsi" w:hAnsiTheme="minorHAnsi"/>
        <w:noProof/>
      </w:rPr>
      <w:fldChar w:fldCharType="end"/>
    </w:r>
  </w:p>
  <w:p w14:paraId="0C6D8C73" w14:textId="77777777" w:rsidR="00915F3A" w:rsidRDefault="00915F3A" w:rsidP="00891BAE">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B38F" w14:textId="77777777" w:rsidR="00E04F07" w:rsidRDefault="00E04F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92B7" w14:textId="77777777" w:rsidR="00915F3A" w:rsidRDefault="00915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915F3A" w:rsidRDefault="00915F3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E28F" w14:textId="77777777" w:rsidR="00915F3A" w:rsidRPr="006E0090" w:rsidRDefault="00915F3A">
    <w:pPr>
      <w:pStyle w:val="Footer"/>
      <w:framePr w:wrap="around" w:vAnchor="text" w:hAnchor="margin" w:xAlign="right" w:y="1"/>
      <w:rPr>
        <w:rStyle w:val="PageNumber"/>
      </w:rPr>
    </w:pPr>
  </w:p>
  <w:p w14:paraId="24906FE0" w14:textId="3C4BC9F6" w:rsidR="00915F3A" w:rsidRPr="005E4817" w:rsidRDefault="00915F3A"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100AE4">
      <w:rPr>
        <w:rFonts w:ascii="Calibri" w:hAnsi="Calibri"/>
        <w:noProof/>
      </w:rPr>
      <w:t>8</w:t>
    </w:r>
    <w:r w:rsidRPr="005E4817">
      <w:rPr>
        <w:rFonts w:ascii="Calibri" w:hAnsi="Calibri"/>
        <w:noProof/>
      </w:rPr>
      <w:fldChar w:fldCharType="end"/>
    </w:r>
  </w:p>
  <w:p w14:paraId="5420BBD1" w14:textId="77777777" w:rsidR="00915F3A" w:rsidRPr="00453A0F" w:rsidRDefault="00915F3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CECB" w14:textId="77777777" w:rsidR="00915F3A" w:rsidRDefault="00915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0B4C" w14:textId="77777777" w:rsidR="007C4085" w:rsidRDefault="007C4085" w:rsidP="00182539">
      <w:r>
        <w:separator/>
      </w:r>
    </w:p>
  </w:footnote>
  <w:footnote w:type="continuationSeparator" w:id="0">
    <w:p w14:paraId="43FB89BA" w14:textId="77777777" w:rsidR="007C4085" w:rsidRDefault="007C4085" w:rsidP="00182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46376" w14:textId="77777777" w:rsidR="00E04F07" w:rsidRDefault="00E04F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1680" w14:textId="7D069D51" w:rsidR="00E04F07" w:rsidRDefault="00E04F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4ED11" w14:textId="77777777" w:rsidR="00E04F07" w:rsidRDefault="00E04F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39738" w14:textId="77777777" w:rsidR="00915F3A" w:rsidRDefault="00915F3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1B30" w14:textId="77777777" w:rsidR="00915F3A" w:rsidRDefault="00915F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448E" w14:textId="77777777" w:rsidR="00915F3A" w:rsidRDefault="0091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7"/>
  </w:num>
  <w:num w:numId="6">
    <w:abstractNumId w:val="1"/>
  </w:num>
  <w:num w:numId="7">
    <w:abstractNumId w:val="8"/>
  </w:num>
  <w:num w:numId="8">
    <w:abstractNumId w:val="0"/>
  </w:num>
  <w:num w:numId="9">
    <w:abstractNumId w:val="6"/>
  </w:num>
  <w:num w:numId="10">
    <w:abstractNumId w:val="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5"/>
    <w:rsid w:val="0000051E"/>
    <w:rsid w:val="00011CC0"/>
    <w:rsid w:val="0001754D"/>
    <w:rsid w:val="000238E7"/>
    <w:rsid w:val="00034683"/>
    <w:rsid w:val="000776B6"/>
    <w:rsid w:val="00096D75"/>
    <w:rsid w:val="000B4043"/>
    <w:rsid w:val="000C1670"/>
    <w:rsid w:val="000C594A"/>
    <w:rsid w:val="000C63D5"/>
    <w:rsid w:val="000D472A"/>
    <w:rsid w:val="000D754F"/>
    <w:rsid w:val="000D7565"/>
    <w:rsid w:val="000E1E49"/>
    <w:rsid w:val="000E7AD4"/>
    <w:rsid w:val="00100AE4"/>
    <w:rsid w:val="00101758"/>
    <w:rsid w:val="00101B26"/>
    <w:rsid w:val="00114810"/>
    <w:rsid w:val="00144E2B"/>
    <w:rsid w:val="00172E82"/>
    <w:rsid w:val="00182539"/>
    <w:rsid w:val="001874FE"/>
    <w:rsid w:val="001969BA"/>
    <w:rsid w:val="00196EA5"/>
    <w:rsid w:val="001C0825"/>
    <w:rsid w:val="001C411C"/>
    <w:rsid w:val="001D0963"/>
    <w:rsid w:val="001D4E92"/>
    <w:rsid w:val="001D5158"/>
    <w:rsid w:val="001D659C"/>
    <w:rsid w:val="001E1D55"/>
    <w:rsid w:val="002103B0"/>
    <w:rsid w:val="00216A13"/>
    <w:rsid w:val="002206F2"/>
    <w:rsid w:val="00223BC3"/>
    <w:rsid w:val="002807D5"/>
    <w:rsid w:val="00287A58"/>
    <w:rsid w:val="002B240A"/>
    <w:rsid w:val="002B304B"/>
    <w:rsid w:val="002D11BC"/>
    <w:rsid w:val="002D63E9"/>
    <w:rsid w:val="002E3D81"/>
    <w:rsid w:val="002E60D9"/>
    <w:rsid w:val="00306A45"/>
    <w:rsid w:val="00307776"/>
    <w:rsid w:val="00310675"/>
    <w:rsid w:val="00316581"/>
    <w:rsid w:val="003254DA"/>
    <w:rsid w:val="00335707"/>
    <w:rsid w:val="00344458"/>
    <w:rsid w:val="00361F5B"/>
    <w:rsid w:val="0036642B"/>
    <w:rsid w:val="003665E3"/>
    <w:rsid w:val="00366D86"/>
    <w:rsid w:val="00382491"/>
    <w:rsid w:val="00382B95"/>
    <w:rsid w:val="00386D5E"/>
    <w:rsid w:val="00394C8C"/>
    <w:rsid w:val="003A0C5A"/>
    <w:rsid w:val="003A71E4"/>
    <w:rsid w:val="003A7BE4"/>
    <w:rsid w:val="003B469E"/>
    <w:rsid w:val="003B6F4F"/>
    <w:rsid w:val="003D1AC6"/>
    <w:rsid w:val="003F6E52"/>
    <w:rsid w:val="003F783F"/>
    <w:rsid w:val="00400960"/>
    <w:rsid w:val="004066A4"/>
    <w:rsid w:val="00411109"/>
    <w:rsid w:val="00413443"/>
    <w:rsid w:val="00423EE2"/>
    <w:rsid w:val="00433423"/>
    <w:rsid w:val="00453A0F"/>
    <w:rsid w:val="00453B06"/>
    <w:rsid w:val="00453BB4"/>
    <w:rsid w:val="00463482"/>
    <w:rsid w:val="00464F72"/>
    <w:rsid w:val="004715C3"/>
    <w:rsid w:val="00480B90"/>
    <w:rsid w:val="00482097"/>
    <w:rsid w:val="004B34E6"/>
    <w:rsid w:val="004B75FC"/>
    <w:rsid w:val="004C3154"/>
    <w:rsid w:val="004C4297"/>
    <w:rsid w:val="004C6D00"/>
    <w:rsid w:val="004D3741"/>
    <w:rsid w:val="004D4B51"/>
    <w:rsid w:val="004D60D4"/>
    <w:rsid w:val="004D6306"/>
    <w:rsid w:val="004F2086"/>
    <w:rsid w:val="004F5FC1"/>
    <w:rsid w:val="00501D02"/>
    <w:rsid w:val="00502D96"/>
    <w:rsid w:val="00504AA8"/>
    <w:rsid w:val="005221D2"/>
    <w:rsid w:val="00525C84"/>
    <w:rsid w:val="00525FEA"/>
    <w:rsid w:val="00533E72"/>
    <w:rsid w:val="005553BD"/>
    <w:rsid w:val="0056037E"/>
    <w:rsid w:val="00562357"/>
    <w:rsid w:val="00562862"/>
    <w:rsid w:val="0056377D"/>
    <w:rsid w:val="00590449"/>
    <w:rsid w:val="00594246"/>
    <w:rsid w:val="00595C50"/>
    <w:rsid w:val="005A1BE6"/>
    <w:rsid w:val="005A3A46"/>
    <w:rsid w:val="005A7227"/>
    <w:rsid w:val="005B07A5"/>
    <w:rsid w:val="005B22D3"/>
    <w:rsid w:val="005B375C"/>
    <w:rsid w:val="005B556E"/>
    <w:rsid w:val="005B6D7D"/>
    <w:rsid w:val="005C0CA7"/>
    <w:rsid w:val="005D3272"/>
    <w:rsid w:val="005D75B3"/>
    <w:rsid w:val="005E4817"/>
    <w:rsid w:val="006003CD"/>
    <w:rsid w:val="00625610"/>
    <w:rsid w:val="006401F4"/>
    <w:rsid w:val="006442AA"/>
    <w:rsid w:val="00644334"/>
    <w:rsid w:val="00644A92"/>
    <w:rsid w:val="00670BC5"/>
    <w:rsid w:val="006905C6"/>
    <w:rsid w:val="006B0526"/>
    <w:rsid w:val="006C0DA8"/>
    <w:rsid w:val="006C5DEF"/>
    <w:rsid w:val="006C62D2"/>
    <w:rsid w:val="006D4065"/>
    <w:rsid w:val="006D6BA1"/>
    <w:rsid w:val="006E0090"/>
    <w:rsid w:val="006F40F5"/>
    <w:rsid w:val="00720146"/>
    <w:rsid w:val="007258CF"/>
    <w:rsid w:val="00737A85"/>
    <w:rsid w:val="00740323"/>
    <w:rsid w:val="00743D98"/>
    <w:rsid w:val="007629CF"/>
    <w:rsid w:val="007639B1"/>
    <w:rsid w:val="00765DFD"/>
    <w:rsid w:val="0077456D"/>
    <w:rsid w:val="007810C2"/>
    <w:rsid w:val="00790767"/>
    <w:rsid w:val="00793C81"/>
    <w:rsid w:val="00795F62"/>
    <w:rsid w:val="007A6BB9"/>
    <w:rsid w:val="007A78A8"/>
    <w:rsid w:val="007B1039"/>
    <w:rsid w:val="007B4076"/>
    <w:rsid w:val="007C0B41"/>
    <w:rsid w:val="007C241C"/>
    <w:rsid w:val="007C4085"/>
    <w:rsid w:val="007C66D9"/>
    <w:rsid w:val="007D020D"/>
    <w:rsid w:val="007D54E4"/>
    <w:rsid w:val="007E21B4"/>
    <w:rsid w:val="0080525F"/>
    <w:rsid w:val="00805874"/>
    <w:rsid w:val="00824298"/>
    <w:rsid w:val="008251B6"/>
    <w:rsid w:val="00831BB0"/>
    <w:rsid w:val="008339D2"/>
    <w:rsid w:val="00835D97"/>
    <w:rsid w:val="00860D65"/>
    <w:rsid w:val="008764B5"/>
    <w:rsid w:val="00887EC4"/>
    <w:rsid w:val="00891BAE"/>
    <w:rsid w:val="00894955"/>
    <w:rsid w:val="008A2333"/>
    <w:rsid w:val="00910E17"/>
    <w:rsid w:val="009123D0"/>
    <w:rsid w:val="00913A39"/>
    <w:rsid w:val="00915F3A"/>
    <w:rsid w:val="00917854"/>
    <w:rsid w:val="009279C2"/>
    <w:rsid w:val="00927F3E"/>
    <w:rsid w:val="00932D00"/>
    <w:rsid w:val="00940D75"/>
    <w:rsid w:val="00942AE0"/>
    <w:rsid w:val="00942F3C"/>
    <w:rsid w:val="009453AF"/>
    <w:rsid w:val="00945BE7"/>
    <w:rsid w:val="009467AF"/>
    <w:rsid w:val="00947B6F"/>
    <w:rsid w:val="00964983"/>
    <w:rsid w:val="00971EAB"/>
    <w:rsid w:val="00983E90"/>
    <w:rsid w:val="00985E56"/>
    <w:rsid w:val="009B4321"/>
    <w:rsid w:val="009B7920"/>
    <w:rsid w:val="009C10E9"/>
    <w:rsid w:val="009C2F6E"/>
    <w:rsid w:val="009C7670"/>
    <w:rsid w:val="009D2938"/>
    <w:rsid w:val="009E09C1"/>
    <w:rsid w:val="009E0E67"/>
    <w:rsid w:val="009E36A7"/>
    <w:rsid w:val="009E48D4"/>
    <w:rsid w:val="00A02D43"/>
    <w:rsid w:val="00A052D8"/>
    <w:rsid w:val="00A12B19"/>
    <w:rsid w:val="00A15F32"/>
    <w:rsid w:val="00A246C0"/>
    <w:rsid w:val="00A47632"/>
    <w:rsid w:val="00A61735"/>
    <w:rsid w:val="00A6753C"/>
    <w:rsid w:val="00A7162F"/>
    <w:rsid w:val="00A7760F"/>
    <w:rsid w:val="00A86CB9"/>
    <w:rsid w:val="00A94435"/>
    <w:rsid w:val="00AA26C9"/>
    <w:rsid w:val="00AB171A"/>
    <w:rsid w:val="00AB6000"/>
    <w:rsid w:val="00AD0936"/>
    <w:rsid w:val="00AF3576"/>
    <w:rsid w:val="00B03A31"/>
    <w:rsid w:val="00B20CE5"/>
    <w:rsid w:val="00B21432"/>
    <w:rsid w:val="00B41331"/>
    <w:rsid w:val="00B51F23"/>
    <w:rsid w:val="00B551D9"/>
    <w:rsid w:val="00B656CC"/>
    <w:rsid w:val="00B66D0F"/>
    <w:rsid w:val="00B84ED0"/>
    <w:rsid w:val="00B96D2B"/>
    <w:rsid w:val="00BB22C0"/>
    <w:rsid w:val="00BB56AD"/>
    <w:rsid w:val="00BD0DE7"/>
    <w:rsid w:val="00BD6800"/>
    <w:rsid w:val="00BD78A4"/>
    <w:rsid w:val="00BE1775"/>
    <w:rsid w:val="00BE259E"/>
    <w:rsid w:val="00BE4363"/>
    <w:rsid w:val="00BF6ACD"/>
    <w:rsid w:val="00C0193F"/>
    <w:rsid w:val="00C019FF"/>
    <w:rsid w:val="00C138DF"/>
    <w:rsid w:val="00C16C8A"/>
    <w:rsid w:val="00C54DEE"/>
    <w:rsid w:val="00C55E3B"/>
    <w:rsid w:val="00C57461"/>
    <w:rsid w:val="00C62560"/>
    <w:rsid w:val="00C80E44"/>
    <w:rsid w:val="00C86137"/>
    <w:rsid w:val="00CA2745"/>
    <w:rsid w:val="00CA5A16"/>
    <w:rsid w:val="00CE6FC1"/>
    <w:rsid w:val="00CF7EF1"/>
    <w:rsid w:val="00D07D73"/>
    <w:rsid w:val="00D1323F"/>
    <w:rsid w:val="00D21B26"/>
    <w:rsid w:val="00D21F9B"/>
    <w:rsid w:val="00D425C3"/>
    <w:rsid w:val="00D42B2D"/>
    <w:rsid w:val="00D501F4"/>
    <w:rsid w:val="00D528EE"/>
    <w:rsid w:val="00D54E49"/>
    <w:rsid w:val="00D5616F"/>
    <w:rsid w:val="00D60CE6"/>
    <w:rsid w:val="00D66DD1"/>
    <w:rsid w:val="00D7416F"/>
    <w:rsid w:val="00D74807"/>
    <w:rsid w:val="00D7585B"/>
    <w:rsid w:val="00D775A1"/>
    <w:rsid w:val="00DB024A"/>
    <w:rsid w:val="00DC34BF"/>
    <w:rsid w:val="00DC47EE"/>
    <w:rsid w:val="00DD0593"/>
    <w:rsid w:val="00DF0E54"/>
    <w:rsid w:val="00DF40FC"/>
    <w:rsid w:val="00E0380F"/>
    <w:rsid w:val="00E04F07"/>
    <w:rsid w:val="00E102AE"/>
    <w:rsid w:val="00E103E6"/>
    <w:rsid w:val="00E14080"/>
    <w:rsid w:val="00E30FA8"/>
    <w:rsid w:val="00E31AF0"/>
    <w:rsid w:val="00E42203"/>
    <w:rsid w:val="00E4245B"/>
    <w:rsid w:val="00E42637"/>
    <w:rsid w:val="00E564E8"/>
    <w:rsid w:val="00E6370F"/>
    <w:rsid w:val="00E7453B"/>
    <w:rsid w:val="00E835FD"/>
    <w:rsid w:val="00E83F9F"/>
    <w:rsid w:val="00E8666D"/>
    <w:rsid w:val="00E922E2"/>
    <w:rsid w:val="00E9580A"/>
    <w:rsid w:val="00E95939"/>
    <w:rsid w:val="00EA22C2"/>
    <w:rsid w:val="00EA6F35"/>
    <w:rsid w:val="00EC21E5"/>
    <w:rsid w:val="00ED339A"/>
    <w:rsid w:val="00ED66D1"/>
    <w:rsid w:val="00EE7A33"/>
    <w:rsid w:val="00EF2321"/>
    <w:rsid w:val="00F00DFB"/>
    <w:rsid w:val="00F037A1"/>
    <w:rsid w:val="00F07177"/>
    <w:rsid w:val="00F11BCC"/>
    <w:rsid w:val="00F37E28"/>
    <w:rsid w:val="00F42BB8"/>
    <w:rsid w:val="00F52AFD"/>
    <w:rsid w:val="00F62B08"/>
    <w:rsid w:val="00F703A5"/>
    <w:rsid w:val="00F72CE1"/>
    <w:rsid w:val="00F82398"/>
    <w:rsid w:val="00F87F1D"/>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nhideWhenUsed/>
    <w:rsid w:val="00B84ED0"/>
    <w:rPr>
      <w:sz w:val="18"/>
      <w:szCs w:val="18"/>
    </w:rPr>
  </w:style>
  <w:style w:type="paragraph" w:styleId="CommentText">
    <w:name w:val="annotation text"/>
    <w:basedOn w:val="Normal"/>
    <w:link w:val="CommentTextChar"/>
    <w:unhideWhenUsed/>
    <w:rsid w:val="00B84ED0"/>
    <w:rPr>
      <w:szCs w:val="24"/>
    </w:rPr>
  </w:style>
  <w:style w:type="character" w:customStyle="1" w:styleId="CommentTextChar">
    <w:name w:val="Comment Text Char"/>
    <w:link w:val="CommentText"/>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8B07A-73A8-44FC-A5FF-63D4575DB60A}"/>
</file>

<file path=customXml/itemProps2.xml><?xml version="1.0" encoding="utf-8"?>
<ds:datastoreItem xmlns:ds="http://schemas.openxmlformats.org/officeDocument/2006/customXml" ds:itemID="{576F93D6-BBEA-4FC3-B32C-A3D42B0D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14219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Hogan, Andrew2</cp:lastModifiedBy>
  <cp:revision>11</cp:revision>
  <cp:lastPrinted>2020-08-31T01:23:00Z</cp:lastPrinted>
  <dcterms:created xsi:type="dcterms:W3CDTF">2020-09-03T05:38:00Z</dcterms:created>
  <dcterms:modified xsi:type="dcterms:W3CDTF">2020-09-04T07:54:00Z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