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372BEC4B" w14:textId="77777777" w:rsidR="0022752C" w:rsidRPr="0076650A" w:rsidRDefault="0022752C" w:rsidP="0022752C">
      <w:pPr>
        <w:pStyle w:val="Heading1"/>
        <w:keepLines/>
        <w:pageBreakBefore w:val="0"/>
        <w:pBdr>
          <w:bottom w:val="none" w:sz="0" w:space="0" w:color="auto"/>
        </w:pBdr>
        <w:spacing w:before="240"/>
        <w:rPr>
          <w:color w:val="000000" w:themeColor="text1"/>
        </w:rPr>
      </w:pPr>
      <w:r w:rsidRPr="0076650A">
        <w:rPr>
          <w:color w:val="000000" w:themeColor="text1"/>
        </w:rPr>
        <w:t>Determination 1</w:t>
      </w:r>
      <w:r>
        <w:rPr>
          <w:color w:val="000000" w:themeColor="text1"/>
        </w:rPr>
        <w:t>2</w:t>
      </w:r>
      <w:r w:rsidRPr="0076650A">
        <w:rPr>
          <w:color w:val="000000" w:themeColor="text1"/>
        </w:rPr>
        <w:t xml:space="preserve"> of 202</w:t>
      </w:r>
      <w:r>
        <w:rPr>
          <w:color w:val="000000" w:themeColor="text1"/>
        </w:rPr>
        <w:t>4</w:t>
      </w:r>
      <w:r w:rsidRPr="0076650A">
        <w:rPr>
          <w:color w:val="000000" w:themeColor="text1"/>
        </w:rPr>
        <w:t xml:space="preserve">   </w:t>
      </w:r>
    </w:p>
    <w:p w14:paraId="4F200727" w14:textId="77777777" w:rsidR="002A6CF5" w:rsidRPr="00DC6C6D" w:rsidRDefault="002A6CF5" w:rsidP="002A6CF5">
      <w:pPr>
        <w:pStyle w:val="Heading1"/>
        <w:keepLines/>
        <w:pageBreakBefore w:val="0"/>
        <w:pBdr>
          <w:bottom w:val="none" w:sz="0" w:space="0" w:color="auto"/>
        </w:pBdr>
        <w:spacing w:before="240"/>
      </w:pPr>
      <w:r>
        <w:t>Full-Time Statutory Office Holder: Chief Executive Officer, ACT Integrity Commission</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2A6CF5">
      <w:pPr>
        <w:pStyle w:val="Heading1"/>
        <w:keepLines/>
        <w:pageBreakBefore w:val="0"/>
        <w:pBdr>
          <w:bottom w:val="none" w:sz="0" w:space="0" w:color="auto"/>
        </w:pBdr>
        <w:spacing w:before="240" w:after="0"/>
      </w:pPr>
      <w:r w:rsidRPr="00F215BD">
        <w:t>AC</w:t>
      </w:r>
      <w:r w:rsidR="00FF72C5">
        <w:t>C</w:t>
      </w:r>
      <w:r w:rsidRPr="00F215BD">
        <w:t>OMPANYING STATEMENT</w:t>
      </w:r>
      <w:r w:rsidR="00AB0311">
        <w:t xml:space="preserve">  </w:t>
      </w:r>
    </w:p>
    <w:p w14:paraId="7B0FFAC8" w14:textId="77777777" w:rsidR="009E4C67" w:rsidRPr="003B1A08" w:rsidRDefault="009E4C67" w:rsidP="002A6CF5">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1715066F" w14:textId="77777777" w:rsidR="000A0141" w:rsidRPr="000A0141" w:rsidRDefault="000A0141" w:rsidP="002A6CF5">
      <w:pPr>
        <w:spacing w:after="60"/>
        <w:rPr>
          <w:rFonts w:asciiTheme="majorHAnsi" w:hAnsiTheme="majorHAnsi" w:cstheme="majorHAnsi"/>
          <w:b/>
        </w:rPr>
      </w:pPr>
      <w:bookmarkStart w:id="1" w:name="_Hlk174622766"/>
      <w:r w:rsidRPr="000A0141">
        <w:rPr>
          <w:rFonts w:asciiTheme="majorHAnsi" w:hAnsiTheme="majorHAnsi" w:cstheme="majorHAnsi"/>
          <w:b/>
        </w:rPr>
        <w:t>Background</w:t>
      </w:r>
    </w:p>
    <w:p w14:paraId="1CA47EB5" w14:textId="77777777" w:rsidR="000A0141" w:rsidRPr="000A0141" w:rsidRDefault="000A0141" w:rsidP="000A0141">
      <w:pPr>
        <w:spacing w:before="120" w:after="60"/>
        <w:rPr>
          <w:rFonts w:asciiTheme="majorHAnsi" w:hAnsiTheme="majorHAnsi" w:cstheme="majorHAnsi"/>
          <w:color w:val="000000" w:themeColor="text1"/>
        </w:rPr>
      </w:pPr>
      <w:r w:rsidRPr="000A0141">
        <w:rPr>
          <w:rFonts w:asciiTheme="majorHAnsi" w:hAnsiTheme="majorHAnsi" w:cstheme="majorHAnsi"/>
        </w:rPr>
        <w:t xml:space="preserve">Under section 10 of the </w:t>
      </w:r>
      <w:r w:rsidRPr="000A0141">
        <w:rPr>
          <w:rFonts w:asciiTheme="majorHAnsi" w:hAnsiTheme="majorHAnsi" w:cstheme="majorHAnsi"/>
          <w:i/>
        </w:rPr>
        <w:t>Remuneration Tribunal Act 1995</w:t>
      </w:r>
      <w:r w:rsidRPr="000A0141">
        <w:rPr>
          <w:rFonts w:asciiTheme="majorHAnsi" w:hAnsiTheme="majorHAnsi" w:cstheme="majorHAnsi"/>
        </w:rPr>
        <w:t xml:space="preserve"> (the Act), the Remuneration </w:t>
      </w:r>
      <w:r w:rsidRPr="000A0141">
        <w:rPr>
          <w:rFonts w:asciiTheme="majorHAnsi" w:hAnsiTheme="majorHAnsi" w:cstheme="majorHAnsi"/>
          <w:color w:val="000000" w:themeColor="text1"/>
        </w:rPr>
        <w:t xml:space="preserve">Tribunal (the Tribunal) is required to inquire into, and determine, the remuneration, </w:t>
      </w:r>
      <w:proofErr w:type="gramStart"/>
      <w:r w:rsidRPr="000A0141">
        <w:rPr>
          <w:rFonts w:asciiTheme="majorHAnsi" w:hAnsiTheme="majorHAnsi" w:cstheme="majorHAnsi"/>
          <w:color w:val="000000" w:themeColor="text1"/>
        </w:rPr>
        <w:t>allowances</w:t>
      </w:r>
      <w:proofErr w:type="gramEnd"/>
      <w:r w:rsidRPr="000A0141">
        <w:rPr>
          <w:rFonts w:asciiTheme="majorHAnsi" w:hAnsiTheme="majorHAnsi" w:cstheme="majorHAnsi"/>
          <w:color w:val="000000" w:themeColor="text1"/>
        </w:rPr>
        <w:t xml:space="preserve"> and other entitlements for holders of certain public offices.  This includes the Head of Service, Directors-General and people engaged as an executive (known collectively as executives) under the </w:t>
      </w:r>
      <w:r w:rsidRPr="000A0141">
        <w:rPr>
          <w:rFonts w:asciiTheme="majorHAnsi" w:hAnsiTheme="majorHAnsi" w:cstheme="majorHAnsi"/>
          <w:i/>
          <w:color w:val="000000" w:themeColor="text1"/>
        </w:rPr>
        <w:t>Public Sector Management Act 1994</w:t>
      </w:r>
      <w:r w:rsidRPr="000A0141">
        <w:rPr>
          <w:rFonts w:asciiTheme="majorHAnsi" w:hAnsiTheme="majorHAnsi" w:cstheme="majorHAnsi"/>
          <w:color w:val="000000" w:themeColor="text1"/>
        </w:rPr>
        <w:t>.</w:t>
      </w:r>
    </w:p>
    <w:p w14:paraId="6D9DA9F0" w14:textId="77777777" w:rsidR="000A0141" w:rsidRPr="000A0141" w:rsidRDefault="000A0141" w:rsidP="000A0141">
      <w:pPr>
        <w:spacing w:before="120" w:after="60"/>
        <w:rPr>
          <w:rFonts w:asciiTheme="majorHAnsi" w:hAnsiTheme="majorHAnsi" w:cstheme="majorHAnsi"/>
          <w:color w:val="000000" w:themeColor="text1"/>
        </w:rPr>
      </w:pPr>
      <w:bookmarkStart w:id="2" w:name="_Hlk173405074"/>
      <w:r w:rsidRPr="000A0141">
        <w:rPr>
          <w:rFonts w:asciiTheme="majorHAnsi" w:hAnsiTheme="majorHAnsi" w:cstheme="majorHAnsi"/>
          <w:b/>
          <w:color w:val="000000" w:themeColor="text1"/>
        </w:rPr>
        <w:t>Considerations</w:t>
      </w:r>
    </w:p>
    <w:p w14:paraId="548D4144" w14:textId="77777777" w:rsidR="000A0141" w:rsidRPr="000A0141" w:rsidRDefault="000A0141" w:rsidP="000A0141">
      <w:pPr>
        <w:spacing w:before="120" w:after="60"/>
        <w:rPr>
          <w:rFonts w:asciiTheme="majorHAnsi" w:hAnsiTheme="majorHAnsi" w:cstheme="majorHAnsi"/>
          <w:szCs w:val="24"/>
        </w:rPr>
      </w:pPr>
      <w:r w:rsidRPr="000A0141">
        <w:rPr>
          <w:rFonts w:asciiTheme="majorHAnsi" w:hAnsiTheme="majorHAnsi" w:cstheme="majorHAnsi"/>
          <w:szCs w:val="24"/>
        </w:rPr>
        <w:t xml:space="preserve">In July 2024, the Tribunal commenced its Spring Sitting to consider the remuneration, allowances and other entitlements of the following </w:t>
      </w:r>
      <w:proofErr w:type="gramStart"/>
      <w:r w:rsidRPr="000A0141">
        <w:rPr>
          <w:rFonts w:asciiTheme="majorHAnsi" w:hAnsiTheme="majorHAnsi" w:cstheme="majorHAnsi"/>
          <w:szCs w:val="24"/>
        </w:rPr>
        <w:t>office-holders</w:t>
      </w:r>
      <w:proofErr w:type="gramEnd"/>
      <w:r w:rsidRPr="000A0141">
        <w:rPr>
          <w:rFonts w:asciiTheme="majorHAnsi" w:hAnsiTheme="majorHAnsi" w:cstheme="majorHAnsi"/>
          <w:szCs w:val="24"/>
        </w:rPr>
        <w:t xml:space="preserve">: </w:t>
      </w:r>
    </w:p>
    <w:p w14:paraId="4A0DA8E4"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ACT </w:t>
      </w:r>
      <w:proofErr w:type="gramStart"/>
      <w:r w:rsidRPr="000A0141">
        <w:rPr>
          <w:rFonts w:asciiTheme="majorHAnsi" w:eastAsia="Calibri" w:hAnsiTheme="majorHAnsi" w:cstheme="majorHAnsi"/>
          <w:szCs w:val="24"/>
          <w:lang w:val="en-US"/>
        </w:rPr>
        <w:t>Magistrates;</w:t>
      </w:r>
      <w:proofErr w:type="gramEnd"/>
    </w:p>
    <w:p w14:paraId="09150ED8"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ACT Supreme Court </w:t>
      </w:r>
      <w:proofErr w:type="gramStart"/>
      <w:r w:rsidRPr="000A0141">
        <w:rPr>
          <w:rFonts w:asciiTheme="majorHAnsi" w:eastAsia="Calibri" w:hAnsiTheme="majorHAnsi" w:cstheme="majorHAnsi"/>
          <w:szCs w:val="24"/>
          <w:lang w:val="en-US"/>
        </w:rPr>
        <w:t>judges;</w:t>
      </w:r>
      <w:proofErr w:type="gramEnd"/>
    </w:p>
    <w:p w14:paraId="07E72A0C"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ACT Civil and Administrative Tribunal </w:t>
      </w:r>
      <w:proofErr w:type="gramStart"/>
      <w:r w:rsidRPr="000A0141">
        <w:rPr>
          <w:rFonts w:asciiTheme="majorHAnsi" w:eastAsia="Calibri" w:hAnsiTheme="majorHAnsi" w:cstheme="majorHAnsi"/>
          <w:szCs w:val="24"/>
          <w:lang w:val="en-US"/>
        </w:rPr>
        <w:t>members;</w:t>
      </w:r>
      <w:proofErr w:type="gramEnd"/>
    </w:p>
    <w:p w14:paraId="4A44BCF7"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the ACT Integrity Commission (Integrity Commissioner and Chief Executive Officer</w:t>
      </w:r>
      <w:proofErr w:type="gramStart"/>
      <w:r w:rsidRPr="000A0141">
        <w:rPr>
          <w:rFonts w:asciiTheme="majorHAnsi" w:eastAsia="Calibri" w:hAnsiTheme="majorHAnsi" w:cstheme="majorHAnsi"/>
          <w:szCs w:val="24"/>
          <w:lang w:val="en-US"/>
        </w:rPr>
        <w:t>);</w:t>
      </w:r>
      <w:proofErr w:type="gramEnd"/>
    </w:p>
    <w:p w14:paraId="4A1228D2"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the Principal Registrar, Courts and </w:t>
      </w:r>
      <w:proofErr w:type="gramStart"/>
      <w:r w:rsidRPr="000A0141">
        <w:rPr>
          <w:rFonts w:asciiTheme="majorHAnsi" w:eastAsia="Calibri" w:hAnsiTheme="majorHAnsi" w:cstheme="majorHAnsi"/>
          <w:szCs w:val="24"/>
          <w:lang w:val="en-US"/>
        </w:rPr>
        <w:t>Tribunal;</w:t>
      </w:r>
      <w:proofErr w:type="gramEnd"/>
    </w:p>
    <w:p w14:paraId="35B4D901"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the Director of Public </w:t>
      </w:r>
      <w:proofErr w:type="gramStart"/>
      <w:r w:rsidRPr="000A0141">
        <w:rPr>
          <w:rFonts w:asciiTheme="majorHAnsi" w:eastAsia="Calibri" w:hAnsiTheme="majorHAnsi" w:cstheme="majorHAnsi"/>
          <w:szCs w:val="24"/>
          <w:lang w:val="en-US"/>
        </w:rPr>
        <w:t>Prosecutions;</w:t>
      </w:r>
      <w:proofErr w:type="gramEnd"/>
      <w:r w:rsidRPr="000A0141">
        <w:rPr>
          <w:rFonts w:asciiTheme="majorHAnsi" w:eastAsia="Calibri" w:hAnsiTheme="majorHAnsi" w:cstheme="majorHAnsi"/>
          <w:szCs w:val="24"/>
          <w:lang w:val="en-US"/>
        </w:rPr>
        <w:t xml:space="preserve"> </w:t>
      </w:r>
    </w:p>
    <w:p w14:paraId="75F5D799"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part-time Holders of Public Office on Boards, Tribunals and Committees; and</w:t>
      </w:r>
    </w:p>
    <w:p w14:paraId="735CF96C" w14:textId="77777777" w:rsidR="000A0141" w:rsidRPr="000A0141" w:rsidRDefault="000A0141" w:rsidP="000A0141">
      <w:pPr>
        <w:numPr>
          <w:ilvl w:val="0"/>
          <w:numId w:val="29"/>
        </w:numPr>
        <w:spacing w:before="120" w:after="60"/>
        <w:ind w:left="720"/>
        <w:rPr>
          <w:rFonts w:asciiTheme="majorHAnsi" w:eastAsia="Calibri" w:hAnsiTheme="majorHAnsi" w:cstheme="majorHAnsi"/>
          <w:szCs w:val="24"/>
          <w:lang w:val="en-US"/>
        </w:rPr>
      </w:pPr>
      <w:r w:rsidRPr="000A0141">
        <w:rPr>
          <w:rFonts w:asciiTheme="majorHAnsi" w:eastAsia="Calibri" w:hAnsiTheme="majorHAnsi" w:cstheme="majorHAnsi"/>
          <w:szCs w:val="24"/>
          <w:lang w:val="en-US"/>
        </w:rPr>
        <w:t xml:space="preserve">any other positions that have been referred to the Tribunal for consideration. </w:t>
      </w:r>
    </w:p>
    <w:p w14:paraId="50D9935A" w14:textId="77777777" w:rsidR="000A0141" w:rsidRPr="000A0141" w:rsidRDefault="000A0141" w:rsidP="000A0141">
      <w:pPr>
        <w:spacing w:before="120" w:after="60"/>
        <w:rPr>
          <w:rFonts w:asciiTheme="majorHAnsi" w:hAnsiTheme="majorHAnsi" w:cstheme="majorHAnsi"/>
        </w:rPr>
      </w:pPr>
      <w:r w:rsidRPr="000A0141" w:rsidDel="00BB4820">
        <w:rPr>
          <w:rFonts w:asciiTheme="majorHAnsi" w:hAnsiTheme="majorHAnsi" w:cstheme="majorHAnsi"/>
        </w:rPr>
        <w:t xml:space="preserve">The Tribunal advertised its </w:t>
      </w:r>
      <w:r w:rsidRPr="000A0141">
        <w:rPr>
          <w:rFonts w:asciiTheme="majorHAnsi" w:hAnsiTheme="majorHAnsi" w:cstheme="majorHAnsi"/>
        </w:rPr>
        <w:t>Spring Sitting</w:t>
      </w:r>
      <w:r w:rsidRPr="000A0141" w:rsidDel="00BB4820">
        <w:rPr>
          <w:rFonts w:asciiTheme="majorHAnsi" w:hAnsiTheme="majorHAnsi" w:cstheme="majorHAnsi"/>
        </w:rPr>
        <w:t xml:space="preserve"> on its website and in </w:t>
      </w:r>
      <w:r w:rsidRPr="000A0141">
        <w:rPr>
          <w:rFonts w:asciiTheme="majorHAnsi" w:hAnsiTheme="majorHAnsi" w:cstheme="majorHAnsi"/>
        </w:rPr>
        <w:t>t</w:t>
      </w:r>
      <w:r w:rsidRPr="000A0141" w:rsidDel="00BB4820">
        <w:rPr>
          <w:rFonts w:asciiTheme="majorHAnsi" w:hAnsiTheme="majorHAnsi" w:cstheme="majorHAnsi"/>
        </w:rPr>
        <w:t xml:space="preserve">he Canberra Times on </w:t>
      </w:r>
      <w:r w:rsidRPr="000A0141">
        <w:rPr>
          <w:rFonts w:asciiTheme="majorHAnsi" w:hAnsiTheme="majorHAnsi" w:cstheme="majorHAnsi"/>
        </w:rPr>
        <w:t>4 May 2024.</w:t>
      </w:r>
      <w:r w:rsidRPr="000A0141" w:rsidDel="00BB4820">
        <w:rPr>
          <w:rFonts w:asciiTheme="majorHAnsi" w:hAnsiTheme="majorHAnsi" w:cstheme="majorHAnsi"/>
        </w:rPr>
        <w:t xml:space="preserve"> </w:t>
      </w:r>
      <w:r w:rsidRPr="000A0141">
        <w:rPr>
          <w:rFonts w:asciiTheme="majorHAnsi" w:hAnsiTheme="majorHAnsi" w:cstheme="majorHAnsi"/>
        </w:rPr>
        <w:t xml:space="preserve">The Tribunal also wrote to the relevant </w:t>
      </w:r>
      <w:proofErr w:type="gramStart"/>
      <w:r w:rsidRPr="000A0141">
        <w:rPr>
          <w:rFonts w:asciiTheme="majorHAnsi" w:hAnsiTheme="majorHAnsi" w:cstheme="majorHAnsi"/>
        </w:rPr>
        <w:t>office-holders</w:t>
      </w:r>
      <w:proofErr w:type="gramEnd"/>
      <w:r w:rsidRPr="000A0141">
        <w:rPr>
          <w:rFonts w:asciiTheme="majorHAnsi" w:hAnsiTheme="majorHAnsi" w:cstheme="majorHAnsi"/>
        </w:rPr>
        <w:t xml:space="preserve"> inviting submissions. </w:t>
      </w:r>
    </w:p>
    <w:p w14:paraId="45F6CBEC" w14:textId="77777777" w:rsidR="000A0141" w:rsidRPr="000A0141" w:rsidRDefault="000A0141" w:rsidP="000A0141">
      <w:pPr>
        <w:spacing w:before="120" w:after="60"/>
        <w:rPr>
          <w:rFonts w:asciiTheme="majorHAnsi" w:hAnsiTheme="majorHAnsi" w:cstheme="majorHAnsi"/>
          <w:szCs w:val="24"/>
        </w:rPr>
      </w:pPr>
      <w:r w:rsidRPr="000A0141">
        <w:rPr>
          <w:rFonts w:asciiTheme="majorHAnsi" w:hAnsiTheme="majorHAnsi" w:cstheme="majorHAnsi"/>
        </w:rPr>
        <w:t xml:space="preserve">At its meeting in July 2024, the Tribunal met with the Chief Minister, ACT Government Treasury officials and officials </w:t>
      </w:r>
      <w:r w:rsidRPr="000A0141">
        <w:rPr>
          <w:rFonts w:asciiTheme="majorHAnsi" w:hAnsiTheme="majorHAnsi" w:cstheme="majorHAnsi"/>
          <w:szCs w:val="24"/>
        </w:rPr>
        <w:t xml:space="preserve">responsible for the Enterprise Agreement bargaining for ACT </w:t>
      </w:r>
      <w:r w:rsidRPr="000A0141">
        <w:rPr>
          <w:rFonts w:asciiTheme="majorHAnsi" w:hAnsiTheme="majorHAnsi" w:cstheme="majorHAnsi"/>
          <w:szCs w:val="24"/>
        </w:rPr>
        <w:lastRenderedPageBreak/>
        <w:t xml:space="preserve">Public Sector non-executive employees. The Tribunal also met with a number of full-time public </w:t>
      </w:r>
      <w:proofErr w:type="gramStart"/>
      <w:r w:rsidRPr="000A0141">
        <w:rPr>
          <w:rFonts w:asciiTheme="majorHAnsi" w:hAnsiTheme="majorHAnsi" w:cstheme="majorHAnsi"/>
          <w:szCs w:val="24"/>
        </w:rPr>
        <w:t>office-holders</w:t>
      </w:r>
      <w:proofErr w:type="gramEnd"/>
      <w:r w:rsidRPr="000A0141">
        <w:rPr>
          <w:rFonts w:asciiTheme="majorHAnsi" w:hAnsiTheme="majorHAnsi" w:cstheme="majorHAnsi"/>
          <w:szCs w:val="24"/>
        </w:rPr>
        <w:t xml:space="preserve">, part-time public office holders and departmental officials. </w:t>
      </w:r>
    </w:p>
    <w:p w14:paraId="4F60CB91" w14:textId="51FCEDC6" w:rsidR="00EA26AE" w:rsidRPr="00FD7D0B" w:rsidRDefault="00EA26AE" w:rsidP="00EA26AE">
      <w:pPr>
        <w:spacing w:before="120" w:after="60"/>
        <w:rPr>
          <w:rFonts w:cs="Calibri"/>
          <w:szCs w:val="24"/>
        </w:rPr>
      </w:pPr>
      <w:bookmarkStart w:id="3" w:name="_Hlk173243538"/>
      <w:bookmarkEnd w:id="2"/>
      <w:r>
        <w:rPr>
          <w:rFonts w:cs="Calibri"/>
        </w:rPr>
        <w:t>In its deliberations, t</w:t>
      </w:r>
      <w:r w:rsidRPr="001C56AB">
        <w:rPr>
          <w:rFonts w:cs="Calibri"/>
        </w:rPr>
        <w:t xml:space="preserve">he Tribunal </w:t>
      </w:r>
      <w:r>
        <w:rPr>
          <w:rFonts w:cs="Calibri"/>
        </w:rPr>
        <w:t>noted</w:t>
      </w:r>
      <w:r w:rsidRPr="001C56AB">
        <w:rPr>
          <w:rFonts w:cs="Calibri"/>
        </w:rPr>
        <w:t xml:space="preserve"> the </w:t>
      </w:r>
      <w:r>
        <w:rPr>
          <w:rFonts w:cs="Calibri"/>
        </w:rPr>
        <w:t>importance</w:t>
      </w:r>
      <w:r w:rsidRPr="001C56AB">
        <w:rPr>
          <w:rFonts w:cs="Calibri"/>
        </w:rPr>
        <w:t xml:space="preserv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w:t>
      </w:r>
      <w:r>
        <w:rPr>
          <w:rFonts w:cs="Calibri"/>
        </w:rPr>
        <w:t xml:space="preserve"> to</w:t>
      </w:r>
      <w:r w:rsidRPr="001C56AB">
        <w:rPr>
          <w:rFonts w:cs="Calibri"/>
        </w:rPr>
        <w:t xml:space="preserve"> attract and retain high calibre individuals</w:t>
      </w:r>
      <w:r>
        <w:rPr>
          <w:rFonts w:cs="Calibri"/>
        </w:rPr>
        <w:t xml:space="preserve">. </w:t>
      </w:r>
      <w:r>
        <w:t xml:space="preserve">The Tribunal considered community expectations that good quality services ought </w:t>
      </w:r>
      <w:proofErr w:type="gramStart"/>
      <w:r>
        <w:t>be</w:t>
      </w:r>
      <w:proofErr w:type="gramEnd"/>
      <w:r>
        <w:t xml:space="preserve"> delivered at a reasonable cost to the ratepayer. </w:t>
      </w:r>
      <w:r>
        <w:rPr>
          <w:rFonts w:cs="Calibri"/>
        </w:rPr>
        <w:t>T</w:t>
      </w:r>
      <w:r w:rsidRPr="001C56AB">
        <w:rPr>
          <w:rFonts w:cs="Calibri"/>
        </w:rPr>
        <w:t>he Tribunal noted the wage policies and recent remuneration determinations by its Commonwealth and State/Territory counterparts.</w:t>
      </w:r>
      <w:r>
        <w:rPr>
          <w:rFonts w:cs="Calibri"/>
        </w:rPr>
        <w:t xml:space="preserve"> The Tribunal continues to be cognisant of the future compounding effect of not providing increases in remuneration. </w:t>
      </w:r>
    </w:p>
    <w:p w14:paraId="3983ED73" w14:textId="6CD37264" w:rsidR="000A0141" w:rsidRPr="000A0141" w:rsidRDefault="000A0141" w:rsidP="000A0141">
      <w:pPr>
        <w:spacing w:before="120" w:after="60"/>
        <w:rPr>
          <w:rFonts w:asciiTheme="majorHAnsi" w:hAnsiTheme="majorHAnsi" w:cstheme="majorHAnsi"/>
        </w:rPr>
      </w:pPr>
      <w:r w:rsidRPr="000A0141">
        <w:rPr>
          <w:rFonts w:asciiTheme="majorHAnsi" w:hAnsiTheme="majorHAnsi" w:cstheme="majorHAnsi"/>
        </w:rPr>
        <w:t xml:space="preserve">While the rise in cost of living continues to be material, the Tribunal recognised that CPI growth is gradually slowing </w:t>
      </w:r>
      <w:r w:rsidRPr="000A0141">
        <w:rPr>
          <w:rFonts w:asciiTheme="majorHAnsi" w:hAnsiTheme="majorHAnsi" w:cstheme="majorHAnsi"/>
          <w:szCs w:val="24"/>
        </w:rPr>
        <w:t>and noted the additional cost of living relief for wage and salary earners resulting from the personal income tax cuts that came into effect on 1 July 2024</w:t>
      </w:r>
      <w:r w:rsidR="00EA26AE">
        <w:rPr>
          <w:rFonts w:asciiTheme="majorHAnsi" w:hAnsiTheme="majorHAnsi" w:cstheme="majorHAnsi"/>
          <w:szCs w:val="24"/>
        </w:rPr>
        <w:t>.</w:t>
      </w:r>
      <w:r w:rsidRPr="000A0141">
        <w:rPr>
          <w:rStyle w:val="FootnoteReference"/>
          <w:rFonts w:asciiTheme="majorHAnsi" w:hAnsiTheme="majorHAnsi" w:cstheme="majorHAnsi"/>
        </w:rPr>
        <w:footnoteReference w:id="1"/>
      </w:r>
      <w:r w:rsidRPr="000A0141">
        <w:rPr>
          <w:rFonts w:asciiTheme="majorHAnsi" w:hAnsiTheme="majorHAnsi" w:cstheme="majorHAnsi"/>
          <w:szCs w:val="24"/>
        </w:rPr>
        <w:t xml:space="preserve"> </w:t>
      </w:r>
      <w:bookmarkEnd w:id="3"/>
    </w:p>
    <w:p w14:paraId="15391E36" w14:textId="203E0332" w:rsidR="000A0141" w:rsidRPr="000A0141" w:rsidRDefault="000A0141" w:rsidP="000A0141">
      <w:pPr>
        <w:spacing w:before="120" w:after="60"/>
        <w:rPr>
          <w:rFonts w:asciiTheme="majorHAnsi" w:hAnsiTheme="majorHAnsi" w:cstheme="majorHAnsi"/>
        </w:rPr>
      </w:pPr>
      <w:r w:rsidRPr="000A0141">
        <w:rPr>
          <w:rFonts w:asciiTheme="majorHAnsi" w:hAnsiTheme="majorHAnsi" w:cstheme="majorHAnsi"/>
          <w:color w:val="000000" w:themeColor="text1"/>
          <w:szCs w:val="24"/>
        </w:rPr>
        <w:t>The briefing provided to the Tribunal by ACT Treasury confirmed that the Territory continues to experience sustained economic and employment growth with high levels of participation in the labour market. The Tribunal noted</w:t>
      </w:r>
      <w:r w:rsidR="001F1E2D">
        <w:rPr>
          <w:rFonts w:asciiTheme="majorHAnsi" w:hAnsiTheme="majorHAnsi" w:cstheme="majorHAnsi"/>
          <w:color w:val="000000" w:themeColor="text1"/>
          <w:szCs w:val="24"/>
        </w:rPr>
        <w:t xml:space="preserve"> that</w:t>
      </w:r>
      <w:r w:rsidRPr="000A0141">
        <w:rPr>
          <w:rFonts w:asciiTheme="majorHAnsi" w:hAnsiTheme="majorHAnsi" w:cstheme="majorHAnsi"/>
          <w:color w:val="000000" w:themeColor="text1"/>
          <w:szCs w:val="24"/>
        </w:rPr>
        <w:t xml:space="preserve"> the labour market continues to be tight</w:t>
      </w:r>
      <w:r w:rsidR="001F1E2D">
        <w:rPr>
          <w:rFonts w:asciiTheme="majorHAnsi" w:hAnsiTheme="majorHAnsi" w:cstheme="majorHAnsi"/>
          <w:color w:val="000000" w:themeColor="text1"/>
          <w:szCs w:val="24"/>
        </w:rPr>
        <w:t>,</w:t>
      </w:r>
      <w:r w:rsidRPr="000A0141">
        <w:rPr>
          <w:rFonts w:asciiTheme="majorHAnsi" w:hAnsiTheme="majorHAnsi" w:cstheme="majorHAnsi"/>
          <w:color w:val="000000" w:themeColor="text1"/>
          <w:szCs w:val="24"/>
        </w:rPr>
        <w:t xml:space="preserve"> particularly given the growth in the Commonwealth Public Service. The Tribunal </w:t>
      </w:r>
      <w:r w:rsidR="001F1E2D">
        <w:rPr>
          <w:rFonts w:asciiTheme="majorHAnsi" w:hAnsiTheme="majorHAnsi" w:cstheme="majorHAnsi"/>
          <w:color w:val="000000" w:themeColor="text1"/>
          <w:szCs w:val="24"/>
        </w:rPr>
        <w:t xml:space="preserve">also </w:t>
      </w:r>
      <w:r w:rsidRPr="000A0141">
        <w:rPr>
          <w:rFonts w:asciiTheme="majorHAnsi" w:hAnsiTheme="majorHAnsi" w:cstheme="majorHAnsi"/>
          <w:color w:val="000000" w:themeColor="text1"/>
          <w:szCs w:val="24"/>
        </w:rPr>
        <w:t xml:space="preserve">noted that wage price forecasts are moderating slightly while inflationary pressures persist. </w:t>
      </w:r>
    </w:p>
    <w:p w14:paraId="4B48B164" w14:textId="77777777" w:rsidR="000A0141" w:rsidRPr="000A0141" w:rsidRDefault="000A0141" w:rsidP="000A0141">
      <w:pPr>
        <w:spacing w:before="120" w:after="60"/>
        <w:rPr>
          <w:rFonts w:asciiTheme="majorHAnsi" w:hAnsiTheme="majorHAnsi" w:cstheme="majorHAnsi"/>
        </w:rPr>
      </w:pPr>
      <w:r w:rsidRPr="000A0141">
        <w:rPr>
          <w:rFonts w:asciiTheme="majorHAnsi" w:hAnsiTheme="majorHAnsi" w:cstheme="majorHAnsi"/>
        </w:rPr>
        <w:t xml:space="preserve">Treasury officials confirmed that wage growth in the ACT was at around the national average through the year to the June Quarter 2024, supported by a recent strengthening in public sector wages growth. The Tribunal noted that the wage price index for the public and private sectors is evening out across Australia, including in the ACT. </w:t>
      </w:r>
      <w:r w:rsidRPr="000A0141">
        <w:rPr>
          <w:rStyle w:val="FootnoteReference"/>
          <w:rFonts w:asciiTheme="majorHAnsi" w:hAnsiTheme="majorHAnsi" w:cstheme="majorHAnsi"/>
        </w:rPr>
        <w:footnoteReference w:id="2"/>
      </w:r>
    </w:p>
    <w:p w14:paraId="3ECA36E0" w14:textId="77777777" w:rsidR="000A0141" w:rsidRPr="000A0141" w:rsidRDefault="000A0141" w:rsidP="000A0141">
      <w:pPr>
        <w:spacing w:before="120" w:after="60"/>
        <w:rPr>
          <w:rFonts w:asciiTheme="majorHAnsi" w:hAnsiTheme="majorHAnsi" w:cstheme="majorHAnsi"/>
          <w:color w:val="000000" w:themeColor="text1"/>
          <w:szCs w:val="24"/>
        </w:rPr>
      </w:pPr>
      <w:r w:rsidRPr="000A0141">
        <w:rPr>
          <w:rFonts w:asciiTheme="majorHAnsi" w:hAnsiTheme="majorHAnsi" w:cstheme="majorHAnsi"/>
          <w:color w:val="000000" w:themeColor="text1"/>
          <w:szCs w:val="24"/>
        </w:rPr>
        <w:t>The Australian Bureau of Statistics released the Consumer Price Index for the June Quarter on 31 July 2024, which included an increase of 0.9 per cent for the ACT during the June quarter, with a 3.1 per cent increase over the year (June 2023 to June 2024).</w:t>
      </w:r>
      <w:r w:rsidRPr="000A0141">
        <w:rPr>
          <w:rStyle w:val="FootnoteReference"/>
          <w:rFonts w:asciiTheme="majorHAnsi" w:hAnsiTheme="majorHAnsi" w:cstheme="majorHAnsi"/>
          <w:color w:val="000000" w:themeColor="text1"/>
        </w:rPr>
        <w:footnoteReference w:id="3"/>
      </w:r>
      <w:r w:rsidRPr="000A0141">
        <w:rPr>
          <w:rFonts w:asciiTheme="majorHAnsi" w:hAnsiTheme="majorHAnsi" w:cstheme="majorHAnsi"/>
          <w:color w:val="000000" w:themeColor="text1"/>
          <w:szCs w:val="24"/>
        </w:rPr>
        <w:t xml:space="preserve"> The national mean inflation was 3.8 per cent over the year.</w:t>
      </w:r>
      <w:r w:rsidRPr="000A0141">
        <w:rPr>
          <w:rStyle w:val="FootnoteReference"/>
          <w:rFonts w:asciiTheme="majorHAnsi" w:hAnsiTheme="majorHAnsi" w:cstheme="majorHAnsi"/>
          <w:color w:val="000000" w:themeColor="text1"/>
        </w:rPr>
        <w:footnoteReference w:id="4"/>
      </w:r>
      <w:r w:rsidRPr="000A0141">
        <w:rPr>
          <w:rFonts w:asciiTheme="majorHAnsi" w:hAnsiTheme="majorHAnsi" w:cstheme="majorHAnsi"/>
          <w:color w:val="000000" w:themeColor="text1"/>
          <w:szCs w:val="24"/>
        </w:rPr>
        <w:t xml:space="preserve"> </w:t>
      </w:r>
    </w:p>
    <w:p w14:paraId="6EA7F847" w14:textId="699FF735" w:rsidR="000A0141" w:rsidRPr="000A0141" w:rsidRDefault="000A0141" w:rsidP="000A0141">
      <w:pPr>
        <w:spacing w:before="120" w:after="60"/>
        <w:rPr>
          <w:rFonts w:asciiTheme="majorHAnsi" w:hAnsiTheme="majorHAnsi" w:cstheme="majorHAnsi"/>
          <w:szCs w:val="24"/>
        </w:rPr>
      </w:pPr>
      <w:r w:rsidRPr="000A0141">
        <w:rPr>
          <w:rFonts w:asciiTheme="majorHAnsi" w:hAnsiTheme="majorHAnsi" w:cstheme="majorHAnsi"/>
          <w:szCs w:val="24"/>
        </w:rPr>
        <w:t xml:space="preserve">The Tribunal had regard to the 2023–24 ACT Budget Review, released in February 2024 by ACT Treasury, which detailed a stabilising economy in 2022–23, including </w:t>
      </w:r>
      <w:r w:rsidR="001F1E2D">
        <w:rPr>
          <w:rFonts w:asciiTheme="majorHAnsi" w:hAnsiTheme="majorHAnsi" w:cstheme="majorHAnsi"/>
          <w:szCs w:val="24"/>
        </w:rPr>
        <w:t xml:space="preserve">a </w:t>
      </w:r>
      <w:r w:rsidRPr="000A0141">
        <w:rPr>
          <w:rFonts w:asciiTheme="majorHAnsi" w:hAnsiTheme="majorHAnsi" w:cstheme="majorHAnsi"/>
          <w:szCs w:val="24"/>
        </w:rPr>
        <w:t>4 per cent</w:t>
      </w:r>
      <w:r w:rsidR="001F1E2D">
        <w:rPr>
          <w:rFonts w:asciiTheme="majorHAnsi" w:hAnsiTheme="majorHAnsi" w:cstheme="majorHAnsi"/>
          <w:szCs w:val="24"/>
        </w:rPr>
        <w:t xml:space="preserve"> increase</w:t>
      </w:r>
      <w:r w:rsidRPr="000A0141">
        <w:rPr>
          <w:rFonts w:asciiTheme="majorHAnsi" w:hAnsiTheme="majorHAnsi" w:cstheme="majorHAnsi"/>
          <w:szCs w:val="24"/>
        </w:rPr>
        <w:t xml:space="preserve"> in WPI and 5.7 per cent </w:t>
      </w:r>
      <w:r w:rsidR="001F1E2D">
        <w:rPr>
          <w:rFonts w:asciiTheme="majorHAnsi" w:hAnsiTheme="majorHAnsi" w:cstheme="majorHAnsi"/>
          <w:szCs w:val="24"/>
        </w:rPr>
        <w:t xml:space="preserve">increase </w:t>
      </w:r>
      <w:r w:rsidRPr="000A0141">
        <w:rPr>
          <w:rFonts w:asciiTheme="majorHAnsi" w:hAnsiTheme="majorHAnsi" w:cstheme="majorHAnsi"/>
          <w:szCs w:val="24"/>
        </w:rPr>
        <w:t>in CPI during that financial year.</w:t>
      </w:r>
      <w:r w:rsidRPr="000A0141">
        <w:rPr>
          <w:rStyle w:val="FootnoteReference"/>
          <w:rFonts w:asciiTheme="majorHAnsi" w:hAnsiTheme="majorHAnsi" w:cstheme="majorHAnsi"/>
        </w:rPr>
        <w:footnoteReference w:id="5"/>
      </w:r>
      <w:r w:rsidRPr="000A0141">
        <w:rPr>
          <w:rFonts w:asciiTheme="majorHAnsi" w:hAnsiTheme="majorHAnsi" w:cstheme="majorHAnsi"/>
          <w:szCs w:val="24"/>
        </w:rPr>
        <w:t xml:space="preserve"> </w:t>
      </w:r>
    </w:p>
    <w:p w14:paraId="5B048EB7" w14:textId="77777777" w:rsidR="000A0141" w:rsidRPr="000A0141" w:rsidRDefault="000A0141" w:rsidP="000A0141">
      <w:pPr>
        <w:spacing w:before="120" w:after="60"/>
        <w:rPr>
          <w:rFonts w:asciiTheme="majorHAnsi" w:hAnsiTheme="majorHAnsi" w:cstheme="majorHAnsi"/>
          <w:color w:val="000000" w:themeColor="text1"/>
          <w:szCs w:val="24"/>
        </w:rPr>
      </w:pPr>
      <w:bookmarkStart w:id="4" w:name="_Hlk174623758"/>
      <w:bookmarkStart w:id="5" w:name="_Hlk174623770"/>
      <w:bookmarkEnd w:id="1"/>
      <w:r w:rsidRPr="000A0141">
        <w:rPr>
          <w:rFonts w:asciiTheme="majorHAnsi" w:hAnsiTheme="majorHAnsi" w:cstheme="majorHAnsi"/>
          <w:color w:val="000000" w:themeColor="text1"/>
          <w:szCs w:val="24"/>
        </w:rPr>
        <w:t xml:space="preserve">The Tribunal considered the national and the local contexts, in particular the anticipated </w:t>
      </w:r>
      <w:bookmarkEnd w:id="4"/>
      <w:r w:rsidRPr="000A0141">
        <w:rPr>
          <w:rFonts w:asciiTheme="majorHAnsi" w:hAnsiTheme="majorHAnsi" w:cstheme="majorHAnsi"/>
          <w:color w:val="000000" w:themeColor="text1"/>
          <w:szCs w:val="24"/>
        </w:rPr>
        <w:t xml:space="preserve">movements in wages locally and nationally and the advice that the current economic circumstances in the Territory are stable. It therefore decided that an increase to remuneration of 3 per cent is a prudent response given the current circumstances. </w:t>
      </w:r>
    </w:p>
    <w:bookmarkEnd w:id="5"/>
    <w:p w14:paraId="32F144F1" w14:textId="696416A3" w:rsidR="00A10D88" w:rsidRPr="000A0141" w:rsidRDefault="00791C85" w:rsidP="000A0141">
      <w:pPr>
        <w:spacing w:before="120" w:after="60"/>
        <w:rPr>
          <w:rFonts w:asciiTheme="majorHAnsi" w:hAnsiTheme="majorHAnsi" w:cstheme="majorHAnsi"/>
          <w:b/>
          <w:color w:val="000000" w:themeColor="text1"/>
        </w:rPr>
      </w:pPr>
      <w:r w:rsidRPr="000A0141">
        <w:rPr>
          <w:rFonts w:asciiTheme="majorHAnsi" w:hAnsiTheme="majorHAnsi" w:cstheme="majorHAnsi"/>
          <w:b/>
          <w:color w:val="000000" w:themeColor="text1"/>
        </w:rPr>
        <w:t>Decision</w:t>
      </w:r>
    </w:p>
    <w:p w14:paraId="45D7225C" w14:textId="1CB9C63B" w:rsidR="002A6CF5" w:rsidRPr="002B4EE8" w:rsidRDefault="008B2404" w:rsidP="002B4EE8">
      <w:pPr>
        <w:spacing w:before="120" w:after="60"/>
        <w:rPr>
          <w:rFonts w:asciiTheme="majorHAnsi" w:hAnsiTheme="majorHAnsi" w:cstheme="majorHAnsi"/>
        </w:rPr>
      </w:pPr>
      <w:r w:rsidRPr="000A0141">
        <w:rPr>
          <w:rFonts w:asciiTheme="majorHAnsi" w:hAnsiTheme="majorHAnsi" w:cstheme="majorHAnsi"/>
        </w:rPr>
        <w:t xml:space="preserve">The Tribunal </w:t>
      </w:r>
      <w:r w:rsidR="008113F2" w:rsidRPr="000A0141">
        <w:rPr>
          <w:rFonts w:asciiTheme="majorHAnsi" w:hAnsiTheme="majorHAnsi" w:cstheme="majorHAnsi"/>
        </w:rPr>
        <w:t>d</w:t>
      </w:r>
      <w:r w:rsidR="00A74E4E" w:rsidRPr="000A0141">
        <w:rPr>
          <w:rFonts w:asciiTheme="majorHAnsi" w:hAnsiTheme="majorHAnsi" w:cstheme="majorHAnsi"/>
        </w:rPr>
        <w:t xml:space="preserve">etermines </w:t>
      </w:r>
      <w:r w:rsidRPr="000A0141">
        <w:rPr>
          <w:rFonts w:asciiTheme="majorHAnsi" w:hAnsiTheme="majorHAnsi" w:cstheme="majorHAnsi"/>
        </w:rPr>
        <w:t xml:space="preserve">to </w:t>
      </w:r>
      <w:r w:rsidR="0090293B" w:rsidRPr="000A0141">
        <w:rPr>
          <w:rFonts w:asciiTheme="majorHAnsi" w:hAnsiTheme="majorHAnsi" w:cstheme="majorHAnsi"/>
        </w:rPr>
        <w:t>increase</w:t>
      </w:r>
      <w:r w:rsidR="006C5639" w:rsidRPr="000A0141">
        <w:rPr>
          <w:rFonts w:asciiTheme="majorHAnsi" w:hAnsiTheme="majorHAnsi" w:cstheme="majorHAnsi"/>
        </w:rPr>
        <w:t xml:space="preserve"> base</w:t>
      </w:r>
      <w:r w:rsidR="0090293B" w:rsidRPr="000A0141">
        <w:rPr>
          <w:rFonts w:asciiTheme="majorHAnsi" w:hAnsiTheme="majorHAnsi" w:cstheme="majorHAnsi"/>
        </w:rPr>
        <w:t xml:space="preserve"> remuneration for the Chief Executive Officer, ACT Integrity Commission by </w:t>
      </w:r>
      <w:r w:rsidR="00B83804" w:rsidRPr="000A0141">
        <w:rPr>
          <w:rFonts w:asciiTheme="majorHAnsi" w:hAnsiTheme="majorHAnsi" w:cstheme="majorHAnsi"/>
        </w:rPr>
        <w:t>3</w:t>
      </w:r>
      <w:r w:rsidR="002F37EF" w:rsidRPr="000A0141">
        <w:rPr>
          <w:rFonts w:asciiTheme="majorHAnsi" w:hAnsiTheme="majorHAnsi" w:cstheme="majorHAnsi"/>
        </w:rPr>
        <w:t xml:space="preserve"> per cent</w:t>
      </w:r>
      <w:r w:rsidR="0090293B" w:rsidRPr="000A0141">
        <w:rPr>
          <w:rFonts w:asciiTheme="majorHAnsi" w:hAnsiTheme="majorHAnsi" w:cstheme="majorHAnsi"/>
        </w:rPr>
        <w:t>, with effect from 1 November 202</w:t>
      </w:r>
      <w:r w:rsidR="000A0141" w:rsidRPr="000A0141">
        <w:rPr>
          <w:rFonts w:asciiTheme="majorHAnsi" w:hAnsiTheme="majorHAnsi" w:cstheme="majorHAnsi"/>
        </w:rPr>
        <w:t>4</w:t>
      </w:r>
      <w:r w:rsidRPr="000A0141">
        <w:rPr>
          <w:rFonts w:asciiTheme="majorHAnsi" w:hAnsiTheme="majorHAnsi" w:cstheme="majorHAnsi"/>
        </w:rPr>
        <w:t>.</w:t>
      </w:r>
    </w:p>
    <w:p w14:paraId="7D023FEF" w14:textId="5EFA56A3" w:rsidR="00DC6C6D" w:rsidRPr="0018623B" w:rsidRDefault="002B4EE8" w:rsidP="00DC6C6D">
      <w:pPr>
        <w:ind w:left="360"/>
        <w:jc w:val="right"/>
        <w:rPr>
          <w:color w:val="000000" w:themeColor="text1"/>
          <w:szCs w:val="24"/>
        </w:rPr>
      </w:pPr>
      <w:r>
        <w:rPr>
          <w:color w:val="000000" w:themeColor="text1"/>
          <w:szCs w:val="24"/>
        </w:rPr>
        <w:t>22</w:t>
      </w:r>
      <w:r w:rsidR="000A0141">
        <w:rPr>
          <w:color w:val="000000" w:themeColor="text1"/>
          <w:szCs w:val="24"/>
        </w:rPr>
        <w:t xml:space="preserve"> August 2024</w:t>
      </w:r>
    </w:p>
    <w:p w14:paraId="3F368893" w14:textId="77777777" w:rsidR="00DC6C6D" w:rsidRPr="003B1A08" w:rsidRDefault="00DC6C6D" w:rsidP="00DC6C6D">
      <w:pPr>
        <w:spacing w:before="120"/>
        <w:rPr>
          <w:rFonts w:cs="Arial"/>
        </w:rPr>
        <w:sectPr w:rsidR="00DC6C6D" w:rsidRPr="003B1A08" w:rsidSect="002A6CF5">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134"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1EF5780E" w:rsidR="0071674A" w:rsidRPr="00852752" w:rsidRDefault="0071674A" w:rsidP="0071674A">
      <w:pPr>
        <w:pStyle w:val="Heading1"/>
        <w:keepLines/>
        <w:pageBreakBefore w:val="0"/>
        <w:pBdr>
          <w:bottom w:val="none" w:sz="0" w:space="0" w:color="auto"/>
        </w:pBdr>
        <w:spacing w:before="240"/>
        <w:rPr>
          <w:color w:val="000000" w:themeColor="text1"/>
        </w:rPr>
      </w:pPr>
      <w:r w:rsidRPr="0076650A">
        <w:rPr>
          <w:color w:val="000000" w:themeColor="text1"/>
        </w:rPr>
        <w:t xml:space="preserve">Determination </w:t>
      </w:r>
      <w:r w:rsidR="004A2109" w:rsidRPr="0076650A">
        <w:rPr>
          <w:color w:val="000000" w:themeColor="text1"/>
        </w:rPr>
        <w:t>1</w:t>
      </w:r>
      <w:r w:rsidR="000A0141">
        <w:rPr>
          <w:color w:val="000000" w:themeColor="text1"/>
        </w:rPr>
        <w:t>2</w:t>
      </w:r>
      <w:r w:rsidR="00E012BE" w:rsidRPr="0076650A">
        <w:rPr>
          <w:color w:val="000000" w:themeColor="text1"/>
        </w:rPr>
        <w:t xml:space="preserve"> </w:t>
      </w:r>
      <w:r w:rsidRPr="0076650A">
        <w:rPr>
          <w:color w:val="000000" w:themeColor="text1"/>
        </w:rPr>
        <w:t xml:space="preserve">of </w:t>
      </w:r>
      <w:r w:rsidR="008B31E7" w:rsidRPr="00852752">
        <w:rPr>
          <w:color w:val="000000" w:themeColor="text1"/>
        </w:rPr>
        <w:t>20</w:t>
      </w:r>
      <w:r w:rsidR="004D1DF2">
        <w:rPr>
          <w:color w:val="000000" w:themeColor="text1"/>
        </w:rPr>
        <w:t>2</w:t>
      </w:r>
      <w:r w:rsidR="000A0141">
        <w:rPr>
          <w:color w:val="000000" w:themeColor="text1"/>
        </w:rPr>
        <w:t>4</w:t>
      </w:r>
    </w:p>
    <w:p w14:paraId="3A6DB1E1" w14:textId="77777777" w:rsidR="006B712C" w:rsidRPr="00DC6C6D" w:rsidRDefault="006B712C" w:rsidP="006B712C">
      <w:pPr>
        <w:pStyle w:val="Heading1"/>
        <w:keepLines/>
        <w:pageBreakBefore w:val="0"/>
        <w:pBdr>
          <w:bottom w:val="none" w:sz="0" w:space="0" w:color="auto"/>
        </w:pBdr>
        <w:spacing w:before="240"/>
      </w:pPr>
      <w:r>
        <w:t>Full-Time Statutory Office Holder: Chief Executive Officer, ACT Integrity Commission</w:t>
      </w:r>
    </w:p>
    <w:p w14:paraId="32D2E939" w14:textId="77777777" w:rsidR="00DC6C6D" w:rsidRPr="003B1A08" w:rsidRDefault="00DC6C6D" w:rsidP="002A6CF5">
      <w:pPr>
        <w:pStyle w:val="madeunder"/>
        <w:spacing w:before="0" w:after="0"/>
      </w:pPr>
      <w:r w:rsidRPr="003B1A08">
        <w:t xml:space="preserve">made under the </w:t>
      </w:r>
    </w:p>
    <w:p w14:paraId="604A07D2" w14:textId="77777777" w:rsidR="00DC6C6D" w:rsidRPr="003B1A08" w:rsidRDefault="00DC6C6D" w:rsidP="002A6CF5">
      <w:pPr>
        <w:pStyle w:val="CoverActName"/>
        <w:spacing w:before="0" w:after="240"/>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8B2404" w:rsidRDefault="00DC6C6D" w:rsidP="00D63476">
      <w:pPr>
        <w:pStyle w:val="Heading3"/>
        <w:keepLines w:val="0"/>
        <w:tabs>
          <w:tab w:val="clear" w:pos="720"/>
        </w:tabs>
        <w:spacing w:before="0"/>
        <w:ind w:left="0" w:firstLine="0"/>
        <w:rPr>
          <w:rFonts w:cs="Arial"/>
        </w:rPr>
      </w:pPr>
      <w:r w:rsidRPr="008B2404">
        <w:rPr>
          <w:rFonts w:cs="Arial"/>
          <w:szCs w:val="26"/>
        </w:rPr>
        <w:t>Commencement</w:t>
      </w:r>
      <w:r w:rsidRPr="008B2404">
        <w:rPr>
          <w:rFonts w:cs="Arial"/>
        </w:rPr>
        <w:t xml:space="preserve"> </w:t>
      </w:r>
    </w:p>
    <w:p w14:paraId="05AA1483" w14:textId="369006C6" w:rsidR="00DC6C6D" w:rsidRPr="008B2404" w:rsidRDefault="001D03AE" w:rsidP="00D63476">
      <w:pPr>
        <w:spacing w:before="120" w:after="60"/>
        <w:ind w:left="709"/>
      </w:pPr>
      <w:r w:rsidRPr="008B2404">
        <w:t xml:space="preserve">The instrument </w:t>
      </w:r>
      <w:r w:rsidR="0090293B">
        <w:t>is taken to have commenced</w:t>
      </w:r>
      <w:r w:rsidR="00E66FEB" w:rsidRPr="008B2404">
        <w:t xml:space="preserve"> </w:t>
      </w:r>
      <w:r w:rsidR="00E66FEB" w:rsidRPr="008B2404">
        <w:rPr>
          <w:color w:val="000000" w:themeColor="text1"/>
        </w:rPr>
        <w:t>on</w:t>
      </w:r>
      <w:r w:rsidR="00F02E75" w:rsidRPr="008B2404">
        <w:rPr>
          <w:color w:val="000000" w:themeColor="text1"/>
        </w:rPr>
        <w:t xml:space="preserve"> </w:t>
      </w:r>
      <w:r w:rsidR="008B2404" w:rsidRPr="008B2404">
        <w:rPr>
          <w:color w:val="000000" w:themeColor="text1"/>
        </w:rPr>
        <w:t>1 November</w:t>
      </w:r>
      <w:r w:rsidR="00B530EA" w:rsidRPr="008B2404">
        <w:rPr>
          <w:color w:val="000000" w:themeColor="text1"/>
        </w:rPr>
        <w:t xml:space="preserve"> 20</w:t>
      </w:r>
      <w:r w:rsidR="004D1DF2" w:rsidRPr="008B2404">
        <w:rPr>
          <w:color w:val="000000" w:themeColor="text1"/>
        </w:rPr>
        <w:t>2</w:t>
      </w:r>
      <w:r w:rsidR="000A0141">
        <w:rPr>
          <w:color w:val="000000" w:themeColor="text1"/>
        </w:rPr>
        <w:t>4</w:t>
      </w:r>
      <w:r w:rsidRPr="008B2404">
        <w:rPr>
          <w:color w:val="000000" w:themeColor="text1"/>
        </w:rPr>
        <w:t xml:space="preserve">. </w:t>
      </w:r>
    </w:p>
    <w:p w14:paraId="68E198C4" w14:textId="77777777" w:rsidR="00DC6C6D" w:rsidRPr="0040603C" w:rsidRDefault="00DC6C6D" w:rsidP="000A0141">
      <w:pPr>
        <w:pStyle w:val="Heading3"/>
        <w:keepLines w:val="0"/>
        <w:tabs>
          <w:tab w:val="clear" w:pos="720"/>
        </w:tabs>
        <w:spacing w:before="120"/>
        <w:rPr>
          <w:rFonts w:cs="Arial"/>
          <w:szCs w:val="26"/>
        </w:rPr>
      </w:pPr>
      <w:r w:rsidRPr="0040603C">
        <w:rPr>
          <w:rFonts w:cs="Arial"/>
          <w:szCs w:val="26"/>
        </w:rPr>
        <w:t>Remuneration</w:t>
      </w:r>
    </w:p>
    <w:p w14:paraId="28C606D6" w14:textId="633AB022" w:rsidR="00B7130C" w:rsidRPr="00EE0C69" w:rsidRDefault="00B7130C" w:rsidP="000A0141">
      <w:pPr>
        <w:numPr>
          <w:ilvl w:val="1"/>
          <w:numId w:val="4"/>
        </w:numPr>
        <w:tabs>
          <w:tab w:val="clear" w:pos="720"/>
        </w:tabs>
        <w:spacing w:before="120" w:after="60"/>
        <w:ind w:left="709" w:hanging="709"/>
      </w:pPr>
      <w:r>
        <w:t>T</w:t>
      </w:r>
      <w:r w:rsidRPr="00EC70AA">
        <w:rPr>
          <w:color w:val="000000" w:themeColor="text1"/>
        </w:rPr>
        <w:t xml:space="preserve">he </w:t>
      </w:r>
      <w:r w:rsidR="005F5B54">
        <w:rPr>
          <w:color w:val="000000" w:themeColor="text1"/>
        </w:rPr>
        <w:t>I</w:t>
      </w:r>
      <w:r w:rsidR="00B004BB" w:rsidRPr="00EC70AA">
        <w:rPr>
          <w:color w:val="000000" w:themeColor="text1"/>
        </w:rPr>
        <w:t xml:space="preserve">ntegrity </w:t>
      </w:r>
      <w:r w:rsidR="005F5B54">
        <w:rPr>
          <w:color w:val="000000" w:themeColor="text1"/>
        </w:rPr>
        <w:t>C</w:t>
      </w:r>
      <w:r w:rsidR="00B004BB" w:rsidRPr="00EC70AA">
        <w:rPr>
          <w:color w:val="000000" w:themeColor="text1"/>
        </w:rPr>
        <w:t xml:space="preserve">ommission CEO </w:t>
      </w:r>
      <w:r w:rsidRPr="00EC70AA">
        <w:rPr>
          <w:color w:val="000000" w:themeColor="text1"/>
        </w:rPr>
        <w:t xml:space="preserve">is entitled to be paid </w:t>
      </w:r>
      <w:r w:rsidR="00EE0C69">
        <w:rPr>
          <w:color w:val="000000" w:themeColor="text1"/>
        </w:rPr>
        <w:t xml:space="preserve">the following </w:t>
      </w:r>
      <w:r w:rsidRPr="00EC70AA">
        <w:rPr>
          <w:color w:val="000000" w:themeColor="text1"/>
        </w:rPr>
        <w:t>remuneration</w:t>
      </w:r>
      <w:r w:rsidR="00EE0C69">
        <w:rPr>
          <w:color w:val="000000" w:themeColor="text1"/>
        </w:rPr>
        <w:t>:</w:t>
      </w:r>
      <w:r w:rsidRPr="00EC70AA">
        <w:rPr>
          <w:color w:val="000000" w:themeColor="text1"/>
        </w:rPr>
        <w:t xml:space="preserve"> </w:t>
      </w:r>
    </w:p>
    <w:p w14:paraId="14719DE2" w14:textId="27224EAB" w:rsidR="00EE0C69" w:rsidRPr="00435F72" w:rsidRDefault="00EE0C69" w:rsidP="00D63476">
      <w:pPr>
        <w:pStyle w:val="Heading3"/>
        <w:numPr>
          <w:ilvl w:val="0"/>
          <w:numId w:val="0"/>
        </w:numPr>
        <w:spacing w:before="120"/>
        <w:ind w:left="720"/>
      </w:pPr>
      <w:r w:rsidRPr="00435F72">
        <w:t>T</w:t>
      </w:r>
      <w:r w:rsidR="002A6CF5">
        <w:t>able</w:t>
      </w:r>
      <w:r w:rsidRPr="00435F72">
        <w:t xml:space="preserv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EE0C69" w:rsidRPr="00435F72" w14:paraId="7E2A0681" w14:textId="77777777" w:rsidTr="00D63476">
        <w:trPr>
          <w:trHeight w:val="374"/>
        </w:trPr>
        <w:tc>
          <w:tcPr>
            <w:tcW w:w="2897" w:type="dxa"/>
            <w:tcBorders>
              <w:bottom w:val="single" w:sz="4" w:space="0" w:color="auto"/>
            </w:tcBorders>
          </w:tcPr>
          <w:p w14:paraId="65C2A8D0" w14:textId="77777777" w:rsidR="00EE0C69" w:rsidRPr="00435F72" w:rsidRDefault="00EE0C69" w:rsidP="00D63476">
            <w:pPr>
              <w:pStyle w:val="Header"/>
              <w:tabs>
                <w:tab w:val="clear" w:pos="4153"/>
                <w:tab w:val="clear" w:pos="8306"/>
              </w:tabs>
              <w:rPr>
                <w:sz w:val="20"/>
              </w:rPr>
            </w:pPr>
            <w:r w:rsidRPr="00435F72">
              <w:rPr>
                <w:sz w:val="20"/>
              </w:rPr>
              <w:t>Column 1</w:t>
            </w:r>
          </w:p>
          <w:p w14:paraId="77D318DD" w14:textId="77777777" w:rsidR="00EE0C69" w:rsidRPr="00435F72" w:rsidRDefault="00EE0C69" w:rsidP="00D63476">
            <w:pPr>
              <w:pStyle w:val="Header"/>
              <w:tabs>
                <w:tab w:val="clear" w:pos="4153"/>
                <w:tab w:val="clear" w:pos="8306"/>
              </w:tabs>
              <w:rPr>
                <w:b/>
              </w:rPr>
            </w:pPr>
            <w:r w:rsidRPr="00435F72">
              <w:rPr>
                <w:b/>
              </w:rPr>
              <w:t>Office</w:t>
            </w:r>
          </w:p>
        </w:tc>
        <w:tc>
          <w:tcPr>
            <w:tcW w:w="2960" w:type="dxa"/>
            <w:tcBorders>
              <w:bottom w:val="single" w:sz="4" w:space="0" w:color="auto"/>
            </w:tcBorders>
            <w:shd w:val="clear" w:color="auto" w:fill="auto"/>
          </w:tcPr>
          <w:p w14:paraId="786DC64D" w14:textId="77777777" w:rsidR="00EE0C69" w:rsidRPr="00435F72" w:rsidRDefault="00EE0C69" w:rsidP="00D63476">
            <w:pPr>
              <w:rPr>
                <w:sz w:val="20"/>
              </w:rPr>
            </w:pPr>
            <w:r w:rsidRPr="00435F72">
              <w:rPr>
                <w:sz w:val="20"/>
              </w:rPr>
              <w:t>Column 2</w:t>
            </w:r>
          </w:p>
          <w:p w14:paraId="265D6718" w14:textId="77777777" w:rsidR="00EE0C69" w:rsidRPr="00435F72" w:rsidRDefault="00EE0C69" w:rsidP="00D63476">
            <w:r>
              <w:rPr>
                <w:b/>
              </w:rPr>
              <w:t xml:space="preserve">Base </w:t>
            </w:r>
            <w:r w:rsidRPr="00435F72">
              <w:rPr>
                <w:b/>
              </w:rPr>
              <w:t>Remuneration</w:t>
            </w:r>
          </w:p>
        </w:tc>
        <w:tc>
          <w:tcPr>
            <w:tcW w:w="2456" w:type="dxa"/>
            <w:tcBorders>
              <w:bottom w:val="single" w:sz="4" w:space="0" w:color="auto"/>
            </w:tcBorders>
          </w:tcPr>
          <w:p w14:paraId="6848C594" w14:textId="77777777" w:rsidR="00EE0C69" w:rsidRDefault="00EE0C69" w:rsidP="00D63476">
            <w:pPr>
              <w:rPr>
                <w:bCs/>
                <w:sz w:val="22"/>
                <w:szCs w:val="22"/>
              </w:rPr>
            </w:pPr>
            <w:r w:rsidRPr="00BF5C70">
              <w:rPr>
                <w:sz w:val="20"/>
              </w:rPr>
              <w:t>Column 3</w:t>
            </w:r>
            <w:r w:rsidRPr="00B12950">
              <w:rPr>
                <w:rStyle w:val="FootnoteReference"/>
                <w:bCs/>
                <w:sz w:val="20"/>
              </w:rPr>
              <w:footnoteReference w:id="6"/>
            </w:r>
          </w:p>
          <w:p w14:paraId="4349B824" w14:textId="0F4CD794" w:rsidR="00EE0C69" w:rsidRPr="00D63476" w:rsidRDefault="00EE0C69" w:rsidP="00D63476">
            <w:pPr>
              <w:rPr>
                <w:b/>
              </w:rPr>
            </w:pPr>
            <w:r w:rsidRPr="00BF5C70">
              <w:rPr>
                <w:b/>
              </w:rPr>
              <w:t>Total Remuneration</w:t>
            </w:r>
          </w:p>
        </w:tc>
      </w:tr>
      <w:tr w:rsidR="00EE0C69" w:rsidRPr="00435F72" w14:paraId="2D77BDA3" w14:textId="77777777" w:rsidTr="00D63476">
        <w:tc>
          <w:tcPr>
            <w:tcW w:w="2897" w:type="dxa"/>
            <w:shd w:val="clear" w:color="auto" w:fill="auto"/>
          </w:tcPr>
          <w:p w14:paraId="2D48835E" w14:textId="1752202C" w:rsidR="00EE0C69" w:rsidRPr="00435F72" w:rsidRDefault="00EE0C69" w:rsidP="00D63476">
            <w:pPr>
              <w:rPr>
                <w:szCs w:val="24"/>
              </w:rPr>
            </w:pPr>
            <w:r>
              <w:rPr>
                <w:szCs w:val="24"/>
              </w:rPr>
              <w:t>Integrity Commission Chief Executive Officer</w:t>
            </w:r>
          </w:p>
        </w:tc>
        <w:tc>
          <w:tcPr>
            <w:tcW w:w="2960" w:type="dxa"/>
            <w:shd w:val="clear" w:color="auto" w:fill="auto"/>
          </w:tcPr>
          <w:p w14:paraId="51E47468" w14:textId="3ED4F027" w:rsidR="00EE0C69" w:rsidRPr="0081649A" w:rsidRDefault="00EE0C69" w:rsidP="00D63476">
            <w:pPr>
              <w:rPr>
                <w:szCs w:val="24"/>
              </w:rPr>
            </w:pPr>
            <w:r w:rsidRPr="00EE0C69">
              <w:rPr>
                <w:szCs w:val="24"/>
              </w:rPr>
              <w:t>$3</w:t>
            </w:r>
            <w:r w:rsidR="000A0141">
              <w:rPr>
                <w:szCs w:val="24"/>
              </w:rPr>
              <w:t>16,372</w:t>
            </w:r>
            <w:r>
              <w:rPr>
                <w:szCs w:val="24"/>
              </w:rPr>
              <w:t xml:space="preserve"> per annum</w:t>
            </w:r>
          </w:p>
        </w:tc>
        <w:tc>
          <w:tcPr>
            <w:tcW w:w="2456" w:type="dxa"/>
          </w:tcPr>
          <w:p w14:paraId="445289A8" w14:textId="71FC6DEC" w:rsidR="00EE0C69" w:rsidRPr="00EE0C69" w:rsidRDefault="00EE0C69" w:rsidP="00D63476">
            <w:pPr>
              <w:rPr>
                <w:szCs w:val="24"/>
              </w:rPr>
            </w:pPr>
            <w:r>
              <w:rPr>
                <w:szCs w:val="24"/>
              </w:rPr>
              <w:t>$</w:t>
            </w:r>
            <w:r w:rsidRPr="00EE0C69">
              <w:rPr>
                <w:szCs w:val="24"/>
              </w:rPr>
              <w:t>34</w:t>
            </w:r>
            <w:r w:rsidR="000A0141">
              <w:rPr>
                <w:szCs w:val="24"/>
              </w:rPr>
              <w:t>9</w:t>
            </w:r>
            <w:r w:rsidRPr="00EE0C69">
              <w:rPr>
                <w:szCs w:val="24"/>
              </w:rPr>
              <w:t>,</w:t>
            </w:r>
            <w:r w:rsidR="000A0141">
              <w:rPr>
                <w:szCs w:val="24"/>
              </w:rPr>
              <w:t>372</w:t>
            </w:r>
            <w:r>
              <w:rPr>
                <w:szCs w:val="24"/>
              </w:rPr>
              <w:t xml:space="preserve"> per annum</w:t>
            </w:r>
          </w:p>
        </w:tc>
      </w:tr>
    </w:tbl>
    <w:p w14:paraId="43CA1A2A" w14:textId="1FCB0DE8" w:rsidR="002F37EF" w:rsidRPr="002F37EF" w:rsidRDefault="003B109F" w:rsidP="000A0141">
      <w:pPr>
        <w:numPr>
          <w:ilvl w:val="1"/>
          <w:numId w:val="4"/>
        </w:numPr>
        <w:spacing w:before="120" w:after="60"/>
        <w:rPr>
          <w:color w:val="000000" w:themeColor="text1"/>
        </w:rPr>
      </w:pPr>
      <w:r>
        <w:t xml:space="preserve">Where a person appointed to an office mentioned in clause 2.1 of this Determination has an employer-provided vehicle, remuneration listed in </w:t>
      </w:r>
      <w:r w:rsidR="00EE0C69">
        <w:t>column 2 of Table 2.1</w:t>
      </w:r>
      <w:r>
        <w:t xml:space="preserve"> is the total remuneration payable</w:t>
      </w:r>
      <w:r w:rsidR="00F56CE0">
        <w:t>.</w:t>
      </w:r>
    </w:p>
    <w:p w14:paraId="0C296652"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Salary packaging</w:t>
      </w:r>
    </w:p>
    <w:p w14:paraId="2B4710E3" w14:textId="409EC876" w:rsidR="0069220A" w:rsidRDefault="0069220A" w:rsidP="000A0141">
      <w:pPr>
        <w:numPr>
          <w:ilvl w:val="1"/>
          <w:numId w:val="4"/>
        </w:numPr>
        <w:tabs>
          <w:tab w:val="clear" w:pos="720"/>
          <w:tab w:val="num" w:pos="0"/>
        </w:tabs>
        <w:spacing w:before="120" w:after="60"/>
        <w:ind w:left="709" w:hanging="709"/>
      </w:pPr>
      <w:r w:rsidRPr="00E433F0">
        <w:t>A person appointed to an office</w:t>
      </w:r>
      <w:r w:rsidR="00B7130C">
        <w:t xml:space="preserve"> in clause</w:t>
      </w:r>
      <w:r w:rsidRPr="00E433F0">
        <w:t xml:space="preserv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00B7130C">
        <w:t xml:space="preserve">clause </w:t>
      </w:r>
      <w:r w:rsidRPr="00E433F0">
        <w:t>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0A0141">
      <w:pPr>
        <w:numPr>
          <w:ilvl w:val="1"/>
          <w:numId w:val="4"/>
        </w:numPr>
        <w:tabs>
          <w:tab w:val="clear" w:pos="720"/>
          <w:tab w:val="num" w:pos="0"/>
        </w:tabs>
        <w:spacing w:before="120" w:after="60"/>
        <w:ind w:left="709" w:hanging="709"/>
      </w:pPr>
      <w:r>
        <w:lastRenderedPageBreak/>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0A0141">
      <w:pPr>
        <w:numPr>
          <w:ilvl w:val="1"/>
          <w:numId w:val="4"/>
        </w:numPr>
        <w:tabs>
          <w:tab w:val="clear" w:pos="720"/>
          <w:tab w:val="num" w:pos="0"/>
        </w:tabs>
        <w:spacing w:before="12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 xml:space="preserve">Employer provided </w:t>
      </w:r>
      <w:proofErr w:type="gramStart"/>
      <w:r w:rsidRPr="0040603C">
        <w:rPr>
          <w:rFonts w:cs="Arial"/>
          <w:szCs w:val="26"/>
        </w:rPr>
        <w:t>benefits</w:t>
      </w:r>
      <w:proofErr w:type="gramEnd"/>
    </w:p>
    <w:p w14:paraId="12D01C8A" w14:textId="520EF0CA" w:rsidR="00C616D7" w:rsidRDefault="00EE2454" w:rsidP="000A0141">
      <w:pPr>
        <w:numPr>
          <w:ilvl w:val="1"/>
          <w:numId w:val="4"/>
        </w:numPr>
        <w:tabs>
          <w:tab w:val="clear" w:pos="720"/>
          <w:tab w:val="num" w:pos="0"/>
        </w:tabs>
        <w:spacing w:before="12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12A76C34" w14:textId="551C0AE3" w:rsidR="004C5D8F" w:rsidRPr="00567498" w:rsidRDefault="004C5D8F" w:rsidP="000A0141">
      <w:pPr>
        <w:pStyle w:val="ListParagraph"/>
        <w:numPr>
          <w:ilvl w:val="1"/>
          <w:numId w:val="4"/>
        </w:numPr>
        <w:spacing w:before="120" w:after="60" w:line="240" w:lineRule="auto"/>
        <w:contextualSpacing w:val="0"/>
        <w:rPr>
          <w:rFonts w:eastAsia="Times New Roman"/>
          <w:sz w:val="24"/>
          <w:szCs w:val="20"/>
        </w:rPr>
      </w:pPr>
      <w:r w:rsidRPr="00567498">
        <w:rPr>
          <w:rFonts w:eastAsia="Times New Roman"/>
          <w:sz w:val="24"/>
          <w:szCs w:val="20"/>
        </w:rPr>
        <w:t xml:space="preserve">An employer-provided benefit, or cash payment in lieu of an employer-provided benefit, is in addition to the remuneration specified in clause 2.1 of this </w:t>
      </w:r>
      <w:r w:rsidR="000A0141" w:rsidRPr="00567498">
        <w:rPr>
          <w:rFonts w:eastAsia="Times New Roman"/>
          <w:sz w:val="24"/>
          <w:szCs w:val="20"/>
        </w:rPr>
        <w:t>determination and</w:t>
      </w:r>
      <w:r w:rsidRPr="00567498">
        <w:rPr>
          <w:rFonts w:eastAsia="Times New Roman"/>
          <w:sz w:val="24"/>
          <w:szCs w:val="20"/>
        </w:rPr>
        <w:t xml:space="preserve"> does not affect salary for superannuation purposes.</w:t>
      </w:r>
    </w:p>
    <w:p w14:paraId="089D3033" w14:textId="1FEE9FF5" w:rsidR="004C5D8F" w:rsidRPr="00567498" w:rsidRDefault="004C5D8F" w:rsidP="000A0141">
      <w:pPr>
        <w:pStyle w:val="ListParagraph"/>
        <w:numPr>
          <w:ilvl w:val="1"/>
          <w:numId w:val="4"/>
        </w:numPr>
        <w:spacing w:before="120" w:after="60" w:line="240" w:lineRule="auto"/>
        <w:contextualSpacing w:val="0"/>
        <w:rPr>
          <w:rFonts w:eastAsia="Times New Roman"/>
          <w:sz w:val="24"/>
          <w:szCs w:val="20"/>
        </w:rPr>
      </w:pPr>
      <w:r w:rsidRPr="00567498">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B2909EA" w14:textId="77777777" w:rsidR="002F37EF" w:rsidRPr="007F5CF1" w:rsidRDefault="002F37EF" w:rsidP="000A0141">
      <w:pPr>
        <w:pStyle w:val="Heading3"/>
        <w:keepLines w:val="0"/>
        <w:spacing w:before="120"/>
        <w:ind w:left="709" w:hanging="709"/>
        <w:rPr>
          <w:rFonts w:cs="Arial"/>
          <w:szCs w:val="26"/>
        </w:rPr>
      </w:pPr>
      <w:r w:rsidRPr="007F5CF1">
        <w:rPr>
          <w:rFonts w:cs="Arial"/>
          <w:szCs w:val="26"/>
        </w:rPr>
        <w:t>Vehicle parking space</w:t>
      </w:r>
    </w:p>
    <w:p w14:paraId="006E341F" w14:textId="77777777" w:rsidR="002F37EF" w:rsidRPr="00752AFC" w:rsidRDefault="002F37EF" w:rsidP="00D63476">
      <w:pPr>
        <w:pStyle w:val="ListParagraph"/>
        <w:spacing w:before="120" w:after="60" w:line="240" w:lineRule="auto"/>
        <w:contextualSpacing w:val="0"/>
        <w:rPr>
          <w:rFonts w:eastAsia="Times New Roman"/>
          <w:i/>
          <w:iCs/>
          <w:sz w:val="24"/>
          <w:szCs w:val="20"/>
        </w:rPr>
      </w:pPr>
      <w:r w:rsidRPr="007F5CF1">
        <w:rPr>
          <w:rFonts w:eastAsia="Times New Roman"/>
          <w:sz w:val="24"/>
          <w:szCs w:val="20"/>
        </w:rPr>
        <w:t xml:space="preserve">An executive is entitled to a parking space in accordance with the </w:t>
      </w:r>
      <w:r w:rsidRPr="00752AFC">
        <w:rPr>
          <w:rFonts w:eastAsia="Times New Roman"/>
          <w:i/>
          <w:iCs/>
          <w:sz w:val="24"/>
          <w:szCs w:val="20"/>
        </w:rPr>
        <w:t>Public Sector Management Standards 2016.</w:t>
      </w:r>
    </w:p>
    <w:p w14:paraId="7610DE60" w14:textId="77777777" w:rsidR="0069220A" w:rsidRPr="00403576" w:rsidRDefault="0069220A" w:rsidP="000A0141">
      <w:pPr>
        <w:pStyle w:val="Heading3"/>
        <w:keepLines w:val="0"/>
        <w:spacing w:before="12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0A0141">
      <w:pPr>
        <w:numPr>
          <w:ilvl w:val="1"/>
          <w:numId w:val="4"/>
        </w:numPr>
        <w:tabs>
          <w:tab w:val="clear" w:pos="720"/>
        </w:tabs>
        <w:spacing w:before="12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2A03432B" w14:textId="77777777" w:rsidR="00F56CE0" w:rsidRPr="007E4A6C" w:rsidRDefault="00F56CE0" w:rsidP="000A0141">
      <w:pPr>
        <w:numPr>
          <w:ilvl w:val="1"/>
          <w:numId w:val="4"/>
        </w:numPr>
        <w:tabs>
          <w:tab w:val="clear" w:pos="720"/>
          <w:tab w:val="num" w:pos="0"/>
        </w:tabs>
        <w:spacing w:before="12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1AED50C2" w14:textId="743D9D73" w:rsidR="0069220A" w:rsidRDefault="0069220A" w:rsidP="000A0141">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0B4F6899" w14:textId="6D0D1FFF" w:rsidR="0069220A" w:rsidRPr="0040603C" w:rsidRDefault="0069220A" w:rsidP="000A0141">
      <w:pPr>
        <w:pStyle w:val="Heading3"/>
        <w:keepLines w:val="0"/>
        <w:spacing w:before="12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0A0141">
      <w:pPr>
        <w:keepNext/>
        <w:keepLines/>
        <w:numPr>
          <w:ilvl w:val="1"/>
          <w:numId w:val="4"/>
        </w:numPr>
        <w:tabs>
          <w:tab w:val="clear" w:pos="720"/>
          <w:tab w:val="num" w:pos="0"/>
        </w:tabs>
        <w:spacing w:before="12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56899EA8" w:rsidR="0018623B" w:rsidRPr="00B530EA" w:rsidRDefault="0018623B" w:rsidP="0018623B">
      <w:pPr>
        <w:numPr>
          <w:ilvl w:val="1"/>
          <w:numId w:val="4"/>
        </w:numPr>
        <w:tabs>
          <w:tab w:val="clear" w:pos="720"/>
          <w:tab w:val="num" w:pos="0"/>
        </w:tabs>
        <w:spacing w:before="80" w:after="60"/>
        <w:ind w:left="709" w:hanging="709"/>
        <w:rPr>
          <w:color w:val="000000" w:themeColor="text1"/>
          <w:szCs w:val="24"/>
        </w:rPr>
      </w:pPr>
      <w:r w:rsidRPr="00B530EA">
        <w:rPr>
          <w:color w:val="000000" w:themeColor="text1"/>
          <w:szCs w:val="24"/>
        </w:rPr>
        <w:t xml:space="preserve">Relocation allowance is provided to assist an individual with the costs to relocate from their home location to the ACT </w:t>
      </w:r>
      <w:proofErr w:type="gramStart"/>
      <w:r w:rsidRPr="00B530EA">
        <w:rPr>
          <w:color w:val="000000" w:themeColor="text1"/>
          <w:szCs w:val="24"/>
        </w:rPr>
        <w:t>in order to</w:t>
      </w:r>
      <w:proofErr w:type="gramEnd"/>
      <w:r w:rsidRPr="00B530EA">
        <w:rPr>
          <w:color w:val="000000" w:themeColor="text1"/>
          <w:szCs w:val="24"/>
        </w:rPr>
        <w:t xml:space="preserve"> take up </w:t>
      </w:r>
      <w:r w:rsidR="00FE1D94" w:rsidRPr="00B530EA">
        <w:rPr>
          <w:color w:val="000000" w:themeColor="text1"/>
          <w:szCs w:val="24"/>
        </w:rPr>
        <w:t xml:space="preserve">a position with the </w:t>
      </w:r>
      <w:r w:rsidR="00216330" w:rsidRPr="00B530EA">
        <w:rPr>
          <w:color w:val="000000" w:themeColor="text1"/>
          <w:szCs w:val="24"/>
        </w:rPr>
        <w:t>Territory</w:t>
      </w:r>
      <w:r w:rsidRPr="00B530EA">
        <w:rPr>
          <w:color w:val="000000" w:themeColor="text1"/>
          <w:szCs w:val="24"/>
        </w:rPr>
        <w:t xml:space="preserve">.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lastRenderedPageBreak/>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6AEABB5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details of the relocation; and</w:t>
      </w:r>
    </w:p>
    <w:p w14:paraId="4733CC56" w14:textId="10E15D4B"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expenses incurred by the </w:t>
      </w:r>
      <w:r w:rsidR="00FE1D94" w:rsidRPr="00B530EA">
        <w:rPr>
          <w:color w:val="000000" w:themeColor="text1"/>
          <w:szCs w:val="24"/>
        </w:rPr>
        <w:t>person</w:t>
      </w:r>
      <w:r w:rsidRPr="00B530EA">
        <w:rPr>
          <w:color w:val="000000" w:themeColor="text1"/>
          <w:szCs w:val="24"/>
        </w:rPr>
        <w:t>; and</w:t>
      </w:r>
    </w:p>
    <w:p w14:paraId="2932DE67" w14:textId="62A44066"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the</w:t>
      </w:r>
      <w:r w:rsidR="00FE1D94" w:rsidRPr="00B530EA">
        <w:rPr>
          <w:color w:val="000000" w:themeColor="text1"/>
          <w:szCs w:val="24"/>
        </w:rPr>
        <w:t>ir</w:t>
      </w:r>
      <w:r w:rsidRPr="00B530EA">
        <w:rPr>
          <w:color w:val="000000" w:themeColor="text1"/>
          <w:szCs w:val="24"/>
        </w:rPr>
        <w:t xml:space="preserve"> expected total relocation expenses; and</w:t>
      </w:r>
    </w:p>
    <w:p w14:paraId="1F8AE31F" w14:textId="3E3C4AEA"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the level of assistance the </w:t>
      </w:r>
      <w:r w:rsidR="00FE1D94" w:rsidRPr="00B530EA">
        <w:rPr>
          <w:color w:val="000000" w:themeColor="text1"/>
          <w:szCs w:val="24"/>
        </w:rPr>
        <w:t>person</w:t>
      </w:r>
      <w:r w:rsidRPr="00B530EA">
        <w:rPr>
          <w:color w:val="000000" w:themeColor="text1"/>
          <w:szCs w:val="24"/>
        </w:rPr>
        <w:t xml:space="preserve"> considers should be provided; and</w:t>
      </w:r>
    </w:p>
    <w:p w14:paraId="2E37DD9A"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any other relevant information.</w:t>
      </w:r>
    </w:p>
    <w:p w14:paraId="303D1F68" w14:textId="41BC3E7E"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6207BC" w:rsidRPr="00403576">
        <w:rPr>
          <w:color w:val="000000" w:themeColor="text1"/>
          <w:szCs w:val="24"/>
        </w:rPr>
        <w:t>may be</w:t>
      </w:r>
      <w:r w:rsidRPr="00403576">
        <w:rPr>
          <w:color w:val="000000" w:themeColor="text1"/>
          <w:szCs w:val="24"/>
        </w:rPr>
        <w:t xml:space="preserv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w:t>
      </w:r>
      <w:proofErr w:type="gramStart"/>
      <w:r w:rsidRPr="00403576">
        <w:rPr>
          <w:color w:val="000000" w:themeColor="text1"/>
          <w:szCs w:val="24"/>
        </w:rPr>
        <w:t>5.3;</w:t>
      </w:r>
      <w:proofErr w:type="gramEnd"/>
      <w:r w:rsidRPr="00403576">
        <w:rPr>
          <w:color w:val="000000" w:themeColor="text1"/>
          <w:szCs w:val="24"/>
        </w:rPr>
        <w:t xml:space="preserve">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33B41E5C" w:rsidR="009458C6" w:rsidRPr="00403576" w:rsidRDefault="0018623B" w:rsidP="000A0141">
      <w:pPr>
        <w:spacing w:before="120" w:after="60"/>
        <w:ind w:left="709"/>
        <w:rPr>
          <w:color w:val="000000" w:themeColor="text1"/>
          <w:szCs w:val="24"/>
        </w:rPr>
      </w:pPr>
      <w:r w:rsidRPr="00403576">
        <w:rPr>
          <w:color w:val="000000" w:themeColor="text1"/>
          <w:szCs w:val="24"/>
        </w:rPr>
        <w:t>Note: Relocation allowance does not apply to any expenses incurred at the conclusion of employment with the Territory.</w:t>
      </w:r>
    </w:p>
    <w:p w14:paraId="2A4D3012" w14:textId="77777777" w:rsidR="001B199D" w:rsidRPr="00403576" w:rsidRDefault="001B199D" w:rsidP="000A0141">
      <w:pPr>
        <w:pStyle w:val="Heading3"/>
        <w:keepLines w:val="0"/>
        <w:spacing w:before="12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0A0141">
      <w:pPr>
        <w:numPr>
          <w:ilvl w:val="1"/>
          <w:numId w:val="4"/>
        </w:numPr>
        <w:tabs>
          <w:tab w:val="clear" w:pos="720"/>
        </w:tabs>
        <w:spacing w:before="12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roofErr w:type="gramStart"/>
      <w:r>
        <w:t>);</w:t>
      </w:r>
      <w:proofErr w:type="gramEnd"/>
    </w:p>
    <w:p w14:paraId="3924B3FD" w14:textId="77777777" w:rsidR="001B199D" w:rsidRPr="001F472A" w:rsidRDefault="001B199D" w:rsidP="001B199D">
      <w:pPr>
        <w:numPr>
          <w:ilvl w:val="2"/>
          <w:numId w:val="4"/>
        </w:numPr>
        <w:tabs>
          <w:tab w:val="clear" w:pos="720"/>
        </w:tabs>
        <w:spacing w:after="60"/>
        <w:ind w:left="1134" w:hanging="436"/>
      </w:pPr>
      <w:r>
        <w:t>part 4.1 (continuity of service</w:t>
      </w:r>
      <w:proofErr w:type="gramStart"/>
      <w:r>
        <w:t>);</w:t>
      </w:r>
      <w:proofErr w:type="gramEnd"/>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roofErr w:type="gramStart"/>
      <w:r>
        <w:t>);</w:t>
      </w:r>
      <w:proofErr w:type="gramEnd"/>
    </w:p>
    <w:p w14:paraId="71A2C94A" w14:textId="039E6FBD" w:rsidR="001B199D" w:rsidRDefault="001B199D" w:rsidP="001B199D">
      <w:pPr>
        <w:numPr>
          <w:ilvl w:val="2"/>
          <w:numId w:val="4"/>
        </w:numPr>
        <w:tabs>
          <w:tab w:val="clear" w:pos="720"/>
        </w:tabs>
        <w:spacing w:after="60"/>
        <w:ind w:left="1134" w:hanging="436"/>
      </w:pPr>
      <w:r>
        <w:lastRenderedPageBreak/>
        <w:t>part 9.4 (statutory office-holder financial entitlements); and</w:t>
      </w:r>
    </w:p>
    <w:p w14:paraId="0D110802" w14:textId="77777777" w:rsidR="001B199D" w:rsidRPr="00B530EA" w:rsidRDefault="001B199D" w:rsidP="001B199D">
      <w:pPr>
        <w:numPr>
          <w:ilvl w:val="2"/>
          <w:numId w:val="4"/>
        </w:numPr>
        <w:tabs>
          <w:tab w:val="clear" w:pos="720"/>
        </w:tabs>
        <w:spacing w:after="60"/>
        <w:ind w:left="1134" w:hanging="436"/>
        <w:rPr>
          <w:color w:val="000000" w:themeColor="text1"/>
        </w:rPr>
      </w:pPr>
      <w:r>
        <w:t xml:space="preserve">part 9.6 (executive employee and statutory </w:t>
      </w:r>
      <w:proofErr w:type="gramStart"/>
      <w:r>
        <w:t>office-holder</w:t>
      </w:r>
      <w:proofErr w:type="gramEnd"/>
      <w:r>
        <w:t xml:space="preserve"> leave and other entitlements</w:t>
      </w:r>
      <w:r w:rsidRPr="00B530EA">
        <w:rPr>
          <w:color w:val="000000" w:themeColor="text1"/>
        </w:rPr>
        <w:t>).</w:t>
      </w:r>
    </w:p>
    <w:p w14:paraId="6DDC9CCB" w14:textId="6C199B62" w:rsidR="00867F9A" w:rsidRPr="00B530EA" w:rsidRDefault="00867F9A" w:rsidP="000A0141">
      <w:pPr>
        <w:numPr>
          <w:ilvl w:val="1"/>
          <w:numId w:val="4"/>
        </w:numPr>
        <w:tabs>
          <w:tab w:val="clear" w:pos="720"/>
        </w:tabs>
        <w:spacing w:before="120" w:after="60"/>
        <w:ind w:left="709" w:hanging="709"/>
        <w:rPr>
          <w:color w:val="000000" w:themeColor="text1"/>
        </w:rPr>
      </w:pPr>
      <w:r w:rsidRPr="00B530EA">
        <w:rPr>
          <w:color w:val="000000" w:themeColor="text1"/>
        </w:rPr>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A0141">
      <w:pPr>
        <w:pStyle w:val="Heading3"/>
        <w:keepLines w:val="0"/>
        <w:spacing w:before="12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0A0141">
      <w:pPr>
        <w:numPr>
          <w:ilvl w:val="1"/>
          <w:numId w:val="4"/>
        </w:numPr>
        <w:tabs>
          <w:tab w:val="clear" w:pos="720"/>
          <w:tab w:val="num" w:pos="0"/>
        </w:tabs>
        <w:spacing w:before="120" w:after="60"/>
        <w:ind w:left="709" w:hanging="709"/>
      </w:pPr>
      <w:r w:rsidRPr="00EE36F5">
        <w:t>In this clause:</w:t>
      </w:r>
    </w:p>
    <w:p w14:paraId="7377BE00" w14:textId="77777777" w:rsidR="00B4120B" w:rsidRPr="00470D11" w:rsidRDefault="00B4120B" w:rsidP="000A0141">
      <w:pPr>
        <w:pStyle w:val="Heading3"/>
        <w:numPr>
          <w:ilvl w:val="0"/>
          <w:numId w:val="0"/>
        </w:numPr>
        <w:spacing w:before="120"/>
        <w:ind w:left="720"/>
      </w:pPr>
      <w:r w:rsidRPr="00470D11">
        <w:rPr>
          <w:i/>
        </w:rPr>
        <w:t>home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proofErr w:type="gramStart"/>
      <w:r>
        <w:t>means</w:t>
      </w:r>
      <w:proofErr w:type="gramEnd"/>
      <w:r>
        <w:t xml:space="preserve">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684E18">
        <w:rPr>
          <w:rStyle w:val="FootnoteReference"/>
          <w:rFonts w:asciiTheme="majorHAnsi" w:hAnsiTheme="majorHAnsi" w:cstheme="majorHAnsi"/>
          <w:color w:val="000000" w:themeColor="text1"/>
        </w:rPr>
        <w:footnoteReference w:id="7"/>
      </w:r>
      <w:r w:rsidRPr="00684E18">
        <w:rPr>
          <w:rFonts w:asciiTheme="majorHAnsi" w:hAnsiTheme="majorHAnsi" w:cstheme="maj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558EBF4A" w:rsidR="0069220A" w:rsidRPr="00EA04F4" w:rsidRDefault="00DB27EE" w:rsidP="000A0141">
      <w:pPr>
        <w:numPr>
          <w:ilvl w:val="1"/>
          <w:numId w:val="4"/>
        </w:numPr>
        <w:tabs>
          <w:tab w:val="clear" w:pos="720"/>
          <w:tab w:val="num" w:pos="0"/>
        </w:tabs>
        <w:spacing w:before="120" w:after="60"/>
        <w:ind w:left="709" w:hanging="709"/>
      </w:pPr>
      <w:r>
        <w:t xml:space="preserve">All reasonable expenses incurred by a traveller can be reimbursed. </w:t>
      </w:r>
    </w:p>
    <w:p w14:paraId="10FB0937"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Travel</w:t>
      </w:r>
    </w:p>
    <w:p w14:paraId="099D2D2B" w14:textId="77777777" w:rsidR="00DB27EE" w:rsidRDefault="00DB27EE" w:rsidP="000A0141">
      <w:pPr>
        <w:numPr>
          <w:ilvl w:val="1"/>
          <w:numId w:val="4"/>
        </w:numPr>
        <w:tabs>
          <w:tab w:val="clear" w:pos="720"/>
          <w:tab w:val="num" w:pos="0"/>
        </w:tabs>
        <w:spacing w:before="12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w:t>
      </w:r>
      <w:proofErr w:type="gramStart"/>
      <w:r>
        <w:t>transport;</w:t>
      </w:r>
      <w:proofErr w:type="gramEnd"/>
      <w:r>
        <w:t xml:space="preserve"> </w:t>
      </w:r>
    </w:p>
    <w:p w14:paraId="1E42DAD2" w14:textId="77777777" w:rsidR="0069220A" w:rsidRDefault="0069220A" w:rsidP="0069220A">
      <w:pPr>
        <w:numPr>
          <w:ilvl w:val="2"/>
          <w:numId w:val="4"/>
        </w:numPr>
        <w:tabs>
          <w:tab w:val="clear" w:pos="720"/>
        </w:tabs>
        <w:spacing w:after="60"/>
        <w:ind w:left="1134" w:hanging="436"/>
      </w:pPr>
      <w:r>
        <w:t xml:space="preserve">commercially provided </w:t>
      </w:r>
      <w:proofErr w:type="gramStart"/>
      <w:r>
        <w:t>flights;</w:t>
      </w:r>
      <w:proofErr w:type="gramEnd"/>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 xml:space="preserve">Commercially provided travel should be selected </w:t>
      </w:r>
      <w:proofErr w:type="gramStart"/>
      <w:r>
        <w:t>on the basis of</w:t>
      </w:r>
      <w:proofErr w:type="gramEnd"/>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lastRenderedPageBreak/>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 xml:space="preserve">—economy </w:t>
      </w:r>
      <w:proofErr w:type="gramStart"/>
      <w:r w:rsidRPr="00E433F0">
        <w:rPr>
          <w:rFonts w:eastAsia="Calibri"/>
          <w:szCs w:val="24"/>
        </w:rPr>
        <w:t>class;</w:t>
      </w:r>
      <w:proofErr w:type="gramEnd"/>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 xml:space="preserve">—business </w:t>
      </w:r>
      <w:proofErr w:type="gramStart"/>
      <w:r w:rsidRPr="00E433F0">
        <w:rPr>
          <w:rFonts w:eastAsia="Calibri"/>
          <w:szCs w:val="24"/>
        </w:rPr>
        <w:t>class;</w:t>
      </w:r>
      <w:proofErr w:type="gramEnd"/>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742740D" w14:textId="3B1C55B6" w:rsidR="005E42B9" w:rsidRPr="002F37EF" w:rsidRDefault="0069220A" w:rsidP="000A0141">
      <w:pPr>
        <w:numPr>
          <w:ilvl w:val="1"/>
          <w:numId w:val="4"/>
        </w:numPr>
        <w:tabs>
          <w:tab w:val="clear" w:pos="720"/>
          <w:tab w:val="num" w:pos="0"/>
        </w:tabs>
        <w:spacing w:before="120" w:after="60"/>
        <w:ind w:left="709" w:hanging="709"/>
        <w:rPr>
          <w:color w:val="000000" w:themeColor="text1"/>
        </w:rPr>
      </w:pPr>
      <w:r>
        <w:t xml:space="preserve">If a </w:t>
      </w:r>
      <w:r w:rsidR="00DB27EE">
        <w:t>traveller</w:t>
      </w:r>
      <w:r>
        <w:t xml:space="preserve"> has approval to travel by private motor vehicle, the employer will pay the owner of the </w:t>
      </w:r>
      <w:r w:rsidRPr="00DF71E7">
        <w:rPr>
          <w:color w:val="000000" w:themeColor="text1"/>
        </w:rPr>
        <w:t>vehicle an allowance calculated in accordance with the Motor Vehicle Allowance set out</w:t>
      </w:r>
      <w:r w:rsidR="005E42B9" w:rsidRPr="00DF71E7">
        <w:rPr>
          <w:color w:val="000000" w:themeColor="text1"/>
        </w:rPr>
        <w:t xml:space="preserve"> in</w:t>
      </w:r>
      <w:r w:rsidR="002F37EF">
        <w:rPr>
          <w:color w:val="000000" w:themeColor="text1"/>
        </w:rPr>
        <w:t xml:space="preserve"> </w:t>
      </w:r>
      <w:r w:rsidR="005E42B9" w:rsidRPr="002F37EF">
        <w:rPr>
          <w:color w:val="000000" w:themeColor="text1"/>
        </w:rPr>
        <w:t xml:space="preserve">the </w:t>
      </w:r>
      <w:r w:rsidR="005E42B9" w:rsidRPr="002F37EF">
        <w:rPr>
          <w:i/>
          <w:color w:val="000000" w:themeColor="text1"/>
        </w:rPr>
        <w:t>ACT Public Sector Administrative and Related Classifications Enterprise Agreement 202</w:t>
      </w:r>
      <w:r w:rsidR="00496DE5">
        <w:rPr>
          <w:i/>
          <w:color w:val="000000" w:themeColor="text1"/>
        </w:rPr>
        <w:t>3</w:t>
      </w:r>
      <w:r w:rsidR="005E42B9" w:rsidRPr="002F37EF">
        <w:rPr>
          <w:i/>
          <w:color w:val="000000" w:themeColor="text1"/>
        </w:rPr>
        <w:t>-202</w:t>
      </w:r>
      <w:r w:rsidR="00496DE5">
        <w:rPr>
          <w:i/>
          <w:color w:val="000000" w:themeColor="text1"/>
        </w:rPr>
        <w:t>6</w:t>
      </w:r>
      <w:r w:rsidR="005E42B9" w:rsidRPr="002F37EF">
        <w:rPr>
          <w:color w:val="000000" w:themeColor="text1"/>
        </w:rPr>
        <w:t xml:space="preserve"> </w:t>
      </w:r>
      <w:r w:rsidR="002F37EF">
        <w:rPr>
          <w:color w:val="000000" w:themeColor="text1"/>
        </w:rPr>
        <w:t>or its replacement</w:t>
      </w:r>
      <w:r w:rsidR="005E42B9" w:rsidRPr="002F37EF">
        <w:rPr>
          <w:color w:val="000000" w:themeColor="text1"/>
        </w:rPr>
        <w:t>.</w:t>
      </w:r>
    </w:p>
    <w:p w14:paraId="1B23CB6A"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Accommodation</w:t>
      </w:r>
    </w:p>
    <w:p w14:paraId="473F60BF" w14:textId="2FBAFFCE" w:rsidR="0069220A" w:rsidRDefault="00DB27EE" w:rsidP="000A0141">
      <w:pPr>
        <w:numPr>
          <w:ilvl w:val="1"/>
          <w:numId w:val="4"/>
        </w:numPr>
        <w:tabs>
          <w:tab w:val="clear" w:pos="720"/>
          <w:tab w:val="num" w:pos="0"/>
        </w:tabs>
        <w:spacing w:before="12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 xml:space="preserve">—4.5 </w:t>
      </w:r>
      <w:proofErr w:type="gramStart"/>
      <w:r w:rsidRPr="00E433F0">
        <w:rPr>
          <w:rFonts w:eastAsia="Calibri"/>
          <w:szCs w:val="24"/>
        </w:rPr>
        <w:t>stars;</w:t>
      </w:r>
      <w:proofErr w:type="gramEnd"/>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w:t>
      </w:r>
      <w:proofErr w:type="gramStart"/>
      <w:r>
        <w:t>4.5 star</w:t>
      </w:r>
      <w:proofErr w:type="gramEnd"/>
      <w:r>
        <w:t xml:space="preserve">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proofErr w:type="spellStart"/>
      <w:r w:rsidR="00DB27EE">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 xml:space="preserve">is being </w:t>
      </w:r>
      <w:proofErr w:type="gramStart"/>
      <w:r w:rsidRPr="001458A6">
        <w:rPr>
          <w:sz w:val="20"/>
          <w:lang w:val="en-US"/>
        </w:rPr>
        <w:t>held</w:t>
      </w:r>
      <w:proofErr w:type="gramEnd"/>
    </w:p>
    <w:p w14:paraId="33CC7C7C" w14:textId="4B34008B" w:rsidR="0069220A" w:rsidRPr="00534427" w:rsidRDefault="0069220A" w:rsidP="000A0141">
      <w:pPr>
        <w:pStyle w:val="ColorfulShading-Accent31"/>
        <w:keepNext/>
        <w:numPr>
          <w:ilvl w:val="0"/>
          <w:numId w:val="18"/>
        </w:numPr>
        <w:tabs>
          <w:tab w:val="num" w:pos="1134"/>
        </w:tabs>
        <w:autoSpaceDE w:val="0"/>
        <w:autoSpaceDN w:val="0"/>
        <w:adjustRightInd w:val="0"/>
        <w:spacing w:before="120" w:after="60"/>
        <w:rPr>
          <w:sz w:val="20"/>
          <w:lang w:val="en-US"/>
        </w:rPr>
      </w:pPr>
      <w:r w:rsidRPr="00534427">
        <w:rPr>
          <w:sz w:val="20"/>
          <w:lang w:val="en-US"/>
        </w:rPr>
        <w:t xml:space="preserve">to allow a </w:t>
      </w:r>
      <w:proofErr w:type="spellStart"/>
      <w:r w:rsidR="00DB27EE">
        <w:rPr>
          <w:sz w:val="20"/>
          <w:lang w:val="en-US"/>
        </w:rPr>
        <w:t>traveller</w:t>
      </w:r>
      <w:proofErr w:type="spellEnd"/>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Meals</w:t>
      </w:r>
    </w:p>
    <w:p w14:paraId="440D6A68" w14:textId="44AB0F52" w:rsidR="0069220A" w:rsidRDefault="0069220A" w:rsidP="002A6CF5">
      <w:pPr>
        <w:spacing w:before="120" w:after="60"/>
        <w:ind w:left="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Incidental expenses</w:t>
      </w:r>
    </w:p>
    <w:p w14:paraId="1B5AF44E" w14:textId="77777777" w:rsidR="0069220A" w:rsidRDefault="0069220A" w:rsidP="0022752C">
      <w:pPr>
        <w:spacing w:before="120" w:after="60"/>
        <w:ind w:left="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t>airport taxes or charges.</w:t>
      </w:r>
    </w:p>
    <w:p w14:paraId="183C4E68"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lastRenderedPageBreak/>
        <w:t>Frequent Flyer Program</w:t>
      </w:r>
    </w:p>
    <w:p w14:paraId="5C98B4C3" w14:textId="15D45967" w:rsidR="00DB27EE" w:rsidRPr="00380585" w:rsidRDefault="00DB27EE" w:rsidP="00D63476">
      <w:pPr>
        <w:spacing w:before="120" w:after="60"/>
        <w:ind w:left="709"/>
        <w:rPr>
          <w:szCs w:val="24"/>
        </w:rPr>
      </w:pPr>
      <w:r w:rsidRPr="00380585">
        <w:rPr>
          <w:szCs w:val="24"/>
        </w:rPr>
        <w:t>Frequent flyer points can</w:t>
      </w:r>
      <w:r w:rsidR="00B4120B">
        <w:rPr>
          <w:szCs w:val="24"/>
        </w:rPr>
        <w:t>not</w:t>
      </w:r>
      <w:r w:rsidRPr="00380585">
        <w:rPr>
          <w:szCs w:val="24"/>
        </w:rPr>
        <w:t xml:space="preserve"> be accrued or used by a traveller </w:t>
      </w:r>
      <w:proofErr w:type="gramStart"/>
      <w:r w:rsidRPr="00380585">
        <w:rPr>
          <w:szCs w:val="24"/>
        </w:rPr>
        <w:t>as a result of</w:t>
      </w:r>
      <w:proofErr w:type="gramEnd"/>
      <w:r w:rsidRPr="00380585">
        <w:rPr>
          <w:szCs w:val="24"/>
        </w:rPr>
        <w:t xml:space="preserve"> travel and accommodation paid for by the employer for official travel.  </w:t>
      </w:r>
    </w:p>
    <w:p w14:paraId="695B7388" w14:textId="77777777" w:rsidR="00DB27EE" w:rsidRPr="0040603C" w:rsidRDefault="00DB27EE" w:rsidP="000A0141">
      <w:pPr>
        <w:pStyle w:val="Heading3"/>
        <w:keepLines w:val="0"/>
        <w:spacing w:before="120"/>
        <w:ind w:left="709" w:hanging="709"/>
        <w:rPr>
          <w:rFonts w:cs="Arial"/>
          <w:szCs w:val="26"/>
        </w:rPr>
      </w:pPr>
      <w:r>
        <w:rPr>
          <w:rFonts w:cs="Arial"/>
          <w:szCs w:val="26"/>
        </w:rPr>
        <w:t>Incidental travel in conjunction with official travel</w:t>
      </w:r>
    </w:p>
    <w:p w14:paraId="746C0850" w14:textId="77777777" w:rsidR="00DB27EE" w:rsidRDefault="00DB27EE" w:rsidP="000A0141">
      <w:pPr>
        <w:numPr>
          <w:ilvl w:val="1"/>
          <w:numId w:val="4"/>
        </w:numPr>
        <w:spacing w:before="12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0A0141">
      <w:pPr>
        <w:numPr>
          <w:ilvl w:val="1"/>
          <w:numId w:val="4"/>
        </w:numPr>
        <w:spacing w:before="120" w:after="60"/>
      </w:pPr>
      <w:r>
        <w:t>If insurance has been obtained for official travel, it will not cover the traveller for the duration of the personal leave.</w:t>
      </w:r>
    </w:p>
    <w:p w14:paraId="571FBF33" w14:textId="77777777" w:rsidR="00DB27EE" w:rsidRPr="0040603C" w:rsidRDefault="00DB27EE" w:rsidP="000A0141">
      <w:pPr>
        <w:pStyle w:val="Heading3"/>
        <w:keepLines w:val="0"/>
        <w:spacing w:before="120"/>
        <w:ind w:left="709" w:hanging="709"/>
        <w:rPr>
          <w:rFonts w:cs="Arial"/>
          <w:szCs w:val="26"/>
        </w:rPr>
      </w:pPr>
      <w:r>
        <w:rPr>
          <w:rFonts w:cs="Arial"/>
          <w:szCs w:val="26"/>
        </w:rPr>
        <w:t xml:space="preserve">Travel </w:t>
      </w:r>
      <w:proofErr w:type="gramStart"/>
      <w:r>
        <w:rPr>
          <w:rFonts w:cs="Arial"/>
          <w:szCs w:val="26"/>
        </w:rPr>
        <w:t>insurance</w:t>
      </w:r>
      <w:proofErr w:type="gramEnd"/>
    </w:p>
    <w:p w14:paraId="77F6EBC7" w14:textId="77777777" w:rsidR="00DB27EE" w:rsidRDefault="00DB27EE" w:rsidP="000A0141">
      <w:pPr>
        <w:numPr>
          <w:ilvl w:val="1"/>
          <w:numId w:val="4"/>
        </w:numPr>
        <w:spacing w:before="12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 xml:space="preserve">If necessary, the cost of travel insurance will be met as a reasonable </w:t>
      </w:r>
      <w:proofErr w:type="gramStart"/>
      <w:r>
        <w:t>work related</w:t>
      </w:r>
      <w:proofErr w:type="gramEnd"/>
      <w:r>
        <w:t xml:space="preserve"> expense by the Territory.</w:t>
      </w:r>
    </w:p>
    <w:p w14:paraId="00FD7E7F" w14:textId="77777777" w:rsidR="00DB27EE" w:rsidRDefault="00DB27EE" w:rsidP="000A0141">
      <w:pPr>
        <w:numPr>
          <w:ilvl w:val="1"/>
          <w:numId w:val="4"/>
        </w:numPr>
        <w:spacing w:before="120" w:after="60"/>
      </w:pPr>
      <w:r>
        <w:t xml:space="preserve">All legitimate and reasonable </w:t>
      </w:r>
      <w:proofErr w:type="gramStart"/>
      <w:r>
        <w:t>work related</w:t>
      </w:r>
      <w:proofErr w:type="gramEnd"/>
      <w:r>
        <w:t xml:space="preserve"> claims will be covered by the Territory.</w:t>
      </w:r>
    </w:p>
    <w:p w14:paraId="17EA78A0" w14:textId="77777777" w:rsidR="0069220A" w:rsidRPr="0040603C" w:rsidRDefault="0069220A" w:rsidP="000A0141">
      <w:pPr>
        <w:pStyle w:val="Heading3"/>
        <w:keepLines w:val="0"/>
        <w:spacing w:before="120"/>
        <w:ind w:left="709" w:hanging="709"/>
        <w:rPr>
          <w:rFonts w:cs="Arial"/>
          <w:szCs w:val="26"/>
        </w:rPr>
      </w:pPr>
      <w:r w:rsidRPr="0040603C">
        <w:rPr>
          <w:rFonts w:cs="Arial"/>
          <w:szCs w:val="26"/>
        </w:rPr>
        <w:t>Definitions</w:t>
      </w:r>
    </w:p>
    <w:p w14:paraId="1922453B" w14:textId="77777777" w:rsidR="0069220A" w:rsidRDefault="0069220A" w:rsidP="002A6CF5">
      <w:pPr>
        <w:spacing w:before="120" w:after="60"/>
        <w:ind w:left="709"/>
      </w:pPr>
      <w:r w:rsidRPr="003C55D8">
        <w:t xml:space="preserve">In this </w:t>
      </w:r>
      <w:r>
        <w:t>Determination</w:t>
      </w:r>
      <w:r w:rsidRPr="003C55D8">
        <w:t>:</w:t>
      </w:r>
    </w:p>
    <w:p w14:paraId="1A046F03" w14:textId="77777777" w:rsidR="00B4120B" w:rsidRDefault="00B4120B" w:rsidP="00B4120B">
      <w:pPr>
        <w:spacing w:before="80"/>
        <w:ind w:left="709"/>
        <w:jc w:val="both"/>
      </w:pPr>
      <w:r>
        <w:rPr>
          <w:b/>
          <w:i/>
        </w:rPr>
        <w:t>d</w:t>
      </w:r>
      <w:r w:rsidRPr="00EE36F5">
        <w:rPr>
          <w:b/>
          <w:i/>
        </w:rPr>
        <w:t>omestic travel</w:t>
      </w:r>
      <w:r>
        <w:t xml:space="preserve"> means official travel to a destination within Australia.</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41373B39" w14:textId="439509C8" w:rsidR="00DB27EE" w:rsidRDefault="00DB27EE" w:rsidP="000A0141">
      <w:pPr>
        <w:spacing w:before="12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w:t>
      </w:r>
      <w:proofErr w:type="gramStart"/>
      <w:r>
        <w:t>a number of</w:t>
      </w:r>
      <w:proofErr w:type="gramEnd"/>
      <w:r>
        <w:t xml:space="preserve"> the same entitlements as </w:t>
      </w:r>
      <w:r w:rsidRPr="00403576">
        <w:rPr>
          <w:color w:val="000000" w:themeColor="text1"/>
        </w:rPr>
        <w:t>an SES Member.</w:t>
      </w:r>
    </w:p>
    <w:p w14:paraId="1A91DC46" w14:textId="77777777" w:rsidR="00D63476" w:rsidRDefault="00D63476" w:rsidP="000A0141">
      <w:pPr>
        <w:spacing w:before="120" w:after="60"/>
        <w:ind w:left="709"/>
        <w:rPr>
          <w:color w:val="000000" w:themeColor="text1"/>
        </w:rPr>
      </w:pPr>
    </w:p>
    <w:p w14:paraId="15C469E7" w14:textId="77777777" w:rsidR="00D63476" w:rsidRDefault="00D63476" w:rsidP="000A0141">
      <w:pPr>
        <w:spacing w:before="120" w:after="60"/>
        <w:ind w:left="709"/>
        <w:rPr>
          <w:color w:val="000000" w:themeColor="text1"/>
        </w:rPr>
      </w:pPr>
    </w:p>
    <w:p w14:paraId="711951D8" w14:textId="77777777" w:rsidR="00D63476" w:rsidRDefault="00D63476" w:rsidP="000A0141">
      <w:pPr>
        <w:spacing w:before="120" w:after="60"/>
        <w:ind w:left="709"/>
        <w:rPr>
          <w:color w:val="000000" w:themeColor="text1"/>
        </w:rPr>
      </w:pPr>
    </w:p>
    <w:p w14:paraId="20B9B476" w14:textId="77777777" w:rsidR="00D63476" w:rsidRDefault="00D63476" w:rsidP="000A0141">
      <w:pPr>
        <w:spacing w:before="120" w:after="60"/>
        <w:ind w:left="709"/>
        <w:rPr>
          <w:color w:val="000000" w:themeColor="text1"/>
        </w:rPr>
      </w:pPr>
    </w:p>
    <w:p w14:paraId="0AF881EB" w14:textId="77777777" w:rsidR="0090293B" w:rsidRPr="002E55A6" w:rsidRDefault="0090293B" w:rsidP="000A0141">
      <w:pPr>
        <w:pStyle w:val="Heading3"/>
        <w:keepLines w:val="0"/>
        <w:spacing w:before="120"/>
        <w:ind w:left="709" w:hanging="709"/>
        <w:rPr>
          <w:rFonts w:cs="Arial"/>
          <w:szCs w:val="26"/>
        </w:rPr>
      </w:pPr>
      <w:r w:rsidRPr="002E55A6">
        <w:rPr>
          <w:rFonts w:cs="Arial"/>
          <w:szCs w:val="26"/>
        </w:rPr>
        <w:lastRenderedPageBreak/>
        <w:t>Revocation of previous Determination</w:t>
      </w:r>
    </w:p>
    <w:p w14:paraId="7A9CCBBD" w14:textId="1D5650DA" w:rsidR="0090293B" w:rsidRPr="00DF71E7" w:rsidRDefault="0090293B" w:rsidP="002A6CF5">
      <w:pPr>
        <w:spacing w:before="120" w:after="60"/>
        <w:ind w:left="709"/>
      </w:pPr>
      <w:r w:rsidRPr="00AB5D83">
        <w:rPr>
          <w:color w:val="000000" w:themeColor="text1"/>
        </w:rPr>
        <w:t xml:space="preserve">Determination </w:t>
      </w:r>
      <w:r w:rsidR="002F37EF">
        <w:rPr>
          <w:color w:val="000000" w:themeColor="text1"/>
        </w:rPr>
        <w:t>1</w:t>
      </w:r>
      <w:r w:rsidR="000A0141">
        <w:rPr>
          <w:color w:val="000000" w:themeColor="text1"/>
        </w:rPr>
        <w:t>5</w:t>
      </w:r>
      <w:r w:rsidRPr="00FA7579">
        <w:rPr>
          <w:color w:val="000000" w:themeColor="text1"/>
        </w:rPr>
        <w:t xml:space="preserve"> of 20</w:t>
      </w:r>
      <w:r w:rsidR="002F37EF">
        <w:rPr>
          <w:color w:val="000000" w:themeColor="text1"/>
        </w:rPr>
        <w:t>2</w:t>
      </w:r>
      <w:r w:rsidR="000A0141">
        <w:rPr>
          <w:color w:val="000000" w:themeColor="text1"/>
        </w:rPr>
        <w:t>3</w:t>
      </w:r>
      <w:r w:rsidRPr="0090293B">
        <w:rPr>
          <w:color w:val="000000" w:themeColor="text1"/>
        </w:rPr>
        <w:t xml:space="preserve"> is</w:t>
      </w:r>
      <w:r w:rsidRPr="00AB5D83">
        <w:rPr>
          <w:color w:val="000000" w:themeColor="text1"/>
        </w:rPr>
        <w:t xml:space="preserve"> revoked</w:t>
      </w:r>
      <w:r w:rsidRPr="002E55A6">
        <w:rPr>
          <w:b/>
        </w:rPr>
        <w:t>.</w:t>
      </w:r>
    </w:p>
    <w:bookmarkEnd w:id="0"/>
    <w:p w14:paraId="4BC8A14A" w14:textId="76651C29" w:rsidR="003112CD" w:rsidRDefault="003112CD"/>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340"/>
      </w:tblGrid>
      <w:tr w:rsidR="00D84313" w14:paraId="1DE65F1F" w14:textId="77777777" w:rsidTr="00785EBE">
        <w:tc>
          <w:tcPr>
            <w:tcW w:w="4610" w:type="dxa"/>
          </w:tcPr>
          <w:p w14:paraId="654EA41C" w14:textId="77777777" w:rsidR="00D84313" w:rsidRDefault="00D84313" w:rsidP="00785EBE">
            <w:pPr>
              <w:tabs>
                <w:tab w:val="left" w:pos="4253"/>
                <w:tab w:val="left" w:leader="dot" w:pos="8222"/>
              </w:tabs>
              <w:rPr>
                <w:szCs w:val="24"/>
              </w:rPr>
            </w:pPr>
            <w:r>
              <w:rPr>
                <w:szCs w:val="24"/>
              </w:rPr>
              <w:t>Ms Sandra Lambert AM</w:t>
            </w:r>
          </w:p>
          <w:p w14:paraId="14FAB48B" w14:textId="77777777" w:rsidR="00D84313" w:rsidRDefault="00D84313" w:rsidP="00785EBE">
            <w:pPr>
              <w:tabs>
                <w:tab w:val="left" w:pos="4253"/>
                <w:tab w:val="left" w:leader="dot" w:pos="8222"/>
              </w:tabs>
              <w:rPr>
                <w:szCs w:val="24"/>
              </w:rPr>
            </w:pPr>
            <w:r>
              <w:rPr>
                <w:szCs w:val="24"/>
              </w:rPr>
              <w:t>Chair</w:t>
            </w:r>
          </w:p>
          <w:p w14:paraId="70ED0153" w14:textId="77777777" w:rsidR="00D84313" w:rsidRDefault="00D84313" w:rsidP="00785EBE">
            <w:pPr>
              <w:tabs>
                <w:tab w:val="left" w:pos="4253"/>
                <w:tab w:val="left" w:leader="dot" w:pos="8222"/>
              </w:tabs>
              <w:rPr>
                <w:szCs w:val="24"/>
              </w:rPr>
            </w:pPr>
          </w:p>
          <w:p w14:paraId="4F58BC45" w14:textId="77777777" w:rsidR="00D84313" w:rsidRDefault="00D84313" w:rsidP="00785EBE">
            <w:pPr>
              <w:tabs>
                <w:tab w:val="left" w:pos="4253"/>
                <w:tab w:val="left" w:leader="dot" w:pos="8222"/>
              </w:tabs>
              <w:rPr>
                <w:szCs w:val="24"/>
              </w:rPr>
            </w:pPr>
          </w:p>
          <w:p w14:paraId="1A3B8B4B" w14:textId="77777777" w:rsidR="00D84313" w:rsidRPr="000F41B0" w:rsidRDefault="00D84313" w:rsidP="00785EBE">
            <w:pPr>
              <w:tabs>
                <w:tab w:val="left" w:pos="4253"/>
                <w:tab w:val="left" w:leader="dot" w:pos="8222"/>
              </w:tabs>
              <w:rPr>
                <w:szCs w:val="24"/>
              </w:rPr>
            </w:pPr>
            <w:r>
              <w:rPr>
                <w:szCs w:val="24"/>
              </w:rPr>
              <w:t>Ms Pam Davoren PSM</w:t>
            </w:r>
            <w:r w:rsidRPr="000F41B0">
              <w:rPr>
                <w:szCs w:val="24"/>
              </w:rPr>
              <w:tab/>
            </w:r>
          </w:p>
          <w:p w14:paraId="795B891F" w14:textId="77777777" w:rsidR="00D84313" w:rsidRDefault="00D84313" w:rsidP="00785EBE">
            <w:pPr>
              <w:tabs>
                <w:tab w:val="left" w:pos="4253"/>
                <w:tab w:val="left" w:leader="dot" w:pos="8222"/>
              </w:tabs>
              <w:rPr>
                <w:szCs w:val="24"/>
              </w:rPr>
            </w:pPr>
            <w:r w:rsidRPr="000F41B0">
              <w:rPr>
                <w:szCs w:val="24"/>
              </w:rPr>
              <w:t>Member</w:t>
            </w:r>
          </w:p>
          <w:p w14:paraId="47A8520A" w14:textId="77777777" w:rsidR="00D84313" w:rsidRDefault="00D84313" w:rsidP="00785EBE">
            <w:pPr>
              <w:tabs>
                <w:tab w:val="left" w:pos="4253"/>
                <w:tab w:val="left" w:pos="7230"/>
                <w:tab w:val="left" w:leader="dot" w:pos="8222"/>
              </w:tabs>
              <w:rPr>
                <w:szCs w:val="24"/>
              </w:rPr>
            </w:pPr>
          </w:p>
          <w:p w14:paraId="1F601324" w14:textId="77777777" w:rsidR="00D84313" w:rsidRDefault="00D84313" w:rsidP="00785EBE">
            <w:pPr>
              <w:tabs>
                <w:tab w:val="left" w:pos="4253"/>
                <w:tab w:val="left" w:pos="7230"/>
                <w:tab w:val="left" w:leader="dot" w:pos="8222"/>
              </w:tabs>
              <w:rPr>
                <w:szCs w:val="24"/>
              </w:rPr>
            </w:pPr>
          </w:p>
          <w:p w14:paraId="43CB06D2" w14:textId="77777777" w:rsidR="00D84313" w:rsidRDefault="00D84313" w:rsidP="00785EBE">
            <w:pPr>
              <w:tabs>
                <w:tab w:val="left" w:pos="4253"/>
                <w:tab w:val="left" w:pos="7230"/>
                <w:tab w:val="left" w:leader="dot" w:pos="8222"/>
              </w:tabs>
              <w:rPr>
                <w:szCs w:val="24"/>
              </w:rPr>
            </w:pPr>
            <w:r>
              <w:rPr>
                <w:szCs w:val="24"/>
              </w:rPr>
              <w:t>Mr Michael Manthorpe PSM FIPAA</w:t>
            </w:r>
          </w:p>
          <w:p w14:paraId="5ED18FB6" w14:textId="77777777" w:rsidR="00D84313" w:rsidRDefault="00D84313" w:rsidP="00785EBE">
            <w:pPr>
              <w:tabs>
                <w:tab w:val="left" w:pos="4253"/>
                <w:tab w:val="left" w:leader="dot" w:pos="8222"/>
              </w:tabs>
              <w:rPr>
                <w:szCs w:val="24"/>
              </w:rPr>
            </w:pPr>
            <w:r>
              <w:rPr>
                <w:szCs w:val="24"/>
              </w:rPr>
              <w:t>Member</w:t>
            </w:r>
          </w:p>
          <w:p w14:paraId="288328C3" w14:textId="77777777" w:rsidR="00D84313" w:rsidRDefault="00D84313" w:rsidP="00785EBE">
            <w:pPr>
              <w:tabs>
                <w:tab w:val="left" w:pos="4253"/>
                <w:tab w:val="left" w:leader="dot" w:pos="8222"/>
              </w:tabs>
              <w:rPr>
                <w:szCs w:val="24"/>
              </w:rPr>
            </w:pPr>
          </w:p>
          <w:p w14:paraId="4ABF8D0B" w14:textId="77777777" w:rsidR="00D84313" w:rsidRDefault="00D84313" w:rsidP="00785EBE">
            <w:pPr>
              <w:tabs>
                <w:tab w:val="left" w:pos="4253"/>
                <w:tab w:val="left" w:leader="dot" w:pos="8222"/>
              </w:tabs>
            </w:pPr>
          </w:p>
        </w:tc>
        <w:tc>
          <w:tcPr>
            <w:tcW w:w="4340" w:type="dxa"/>
          </w:tcPr>
          <w:p w14:paraId="3192AE6C" w14:textId="77777777" w:rsidR="00D84313" w:rsidRDefault="00D84313" w:rsidP="00785EBE">
            <w:pPr>
              <w:pStyle w:val="NormalWeb"/>
            </w:pPr>
          </w:p>
          <w:p w14:paraId="633A2D63" w14:textId="77777777" w:rsidR="00D84313" w:rsidRDefault="00D84313" w:rsidP="00785EBE">
            <w:pPr>
              <w:tabs>
                <w:tab w:val="left" w:pos="567"/>
              </w:tabs>
              <w:spacing w:before="120" w:after="60"/>
            </w:pPr>
          </w:p>
          <w:p w14:paraId="49EC2C18" w14:textId="77777777" w:rsidR="00D84313" w:rsidRPr="00F10A9A" w:rsidRDefault="00D84313" w:rsidP="00785EBE">
            <w:pPr>
              <w:tabs>
                <w:tab w:val="left" w:pos="567"/>
              </w:tabs>
              <w:spacing w:before="120" w:after="60"/>
            </w:pPr>
          </w:p>
          <w:p w14:paraId="04647B99" w14:textId="77777777" w:rsidR="00D84313" w:rsidRDefault="00D84313" w:rsidP="00785EBE">
            <w:pPr>
              <w:tabs>
                <w:tab w:val="left" w:pos="567"/>
              </w:tabs>
              <w:spacing w:before="120" w:after="60"/>
            </w:pPr>
          </w:p>
        </w:tc>
      </w:tr>
    </w:tbl>
    <w:p w14:paraId="29DBE721" w14:textId="77777777" w:rsidR="00D84313" w:rsidRPr="00C30543" w:rsidRDefault="00D84313" w:rsidP="00D84313">
      <w:pPr>
        <w:ind w:left="360"/>
        <w:jc w:val="right"/>
        <w:rPr>
          <w:szCs w:val="24"/>
        </w:rPr>
      </w:pPr>
      <w:r>
        <w:rPr>
          <w:szCs w:val="24"/>
        </w:rPr>
        <w:t>22 August 2024</w:t>
      </w:r>
    </w:p>
    <w:p w14:paraId="1FF657D8" w14:textId="77777777" w:rsidR="00EA1E01" w:rsidRDefault="00EA1E01"/>
    <w:sectPr w:rsidR="00EA1E01" w:rsidSect="00D63476">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18" w:left="1440" w:header="720" w:footer="6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8467" w14:textId="77777777" w:rsidR="00536355" w:rsidRDefault="00536355">
      <w:r>
        <w:separator/>
      </w:r>
    </w:p>
  </w:endnote>
  <w:endnote w:type="continuationSeparator" w:id="0">
    <w:p w14:paraId="46D83DE3" w14:textId="77777777" w:rsidR="00536355" w:rsidRDefault="005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6DA" w14:textId="77777777" w:rsidR="00767BDB" w:rsidRDefault="0076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22572" w:rsidRPr="000424F9" w:rsidRDefault="00822572">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w:t>
    </w:r>
    <w:r w:rsidRPr="000424F9">
      <w:rPr>
        <w:rFonts w:ascii="Calibri" w:hAnsi="Calibri"/>
        <w:noProof/>
      </w:rPr>
      <w:fldChar w:fldCharType="end"/>
    </w:r>
  </w:p>
  <w:p w14:paraId="3981253C" w14:textId="77777777" w:rsidR="00822572" w:rsidRDefault="00822572"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AF9" w14:textId="77777777" w:rsidR="00767BDB" w:rsidRDefault="00767B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22572" w:rsidRDefault="00822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22572" w:rsidRDefault="0082257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22572" w:rsidRPr="000424F9" w:rsidRDefault="00822572"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10</w:t>
    </w:r>
    <w:r w:rsidRPr="000424F9">
      <w:rPr>
        <w:rFonts w:ascii="Calibri" w:hAnsi="Calibri"/>
        <w:noProof/>
      </w:rPr>
      <w:fldChar w:fldCharType="end"/>
    </w:r>
  </w:p>
  <w:p w14:paraId="3C83327D" w14:textId="77777777" w:rsidR="00822572" w:rsidRDefault="0082257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22572" w:rsidRDefault="0082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4340" w14:textId="77777777" w:rsidR="00536355" w:rsidRDefault="00536355">
      <w:r>
        <w:separator/>
      </w:r>
    </w:p>
  </w:footnote>
  <w:footnote w:type="continuationSeparator" w:id="0">
    <w:p w14:paraId="5562E28C" w14:textId="77777777" w:rsidR="00536355" w:rsidRDefault="00536355">
      <w:r>
        <w:continuationSeparator/>
      </w:r>
    </w:p>
  </w:footnote>
  <w:footnote w:id="1">
    <w:p w14:paraId="3CECB1E1" w14:textId="77777777" w:rsidR="000A0141" w:rsidRPr="000A0141" w:rsidRDefault="000A0141" w:rsidP="000A0141">
      <w:pPr>
        <w:pStyle w:val="FootnoteText"/>
        <w:rPr>
          <w:rFonts w:asciiTheme="majorHAnsi" w:hAnsiTheme="majorHAnsi" w:cstheme="majorHAnsi"/>
          <w:sz w:val="16"/>
          <w:szCs w:val="16"/>
        </w:rPr>
      </w:pPr>
      <w:r w:rsidRPr="000A0141">
        <w:rPr>
          <w:rStyle w:val="FootnoteReference"/>
          <w:rFonts w:asciiTheme="majorHAnsi" w:hAnsiTheme="majorHAnsi" w:cstheme="majorHAnsi"/>
          <w:sz w:val="16"/>
          <w:szCs w:val="16"/>
        </w:rPr>
        <w:footnoteRef/>
      </w:r>
      <w:r w:rsidRPr="000A0141">
        <w:rPr>
          <w:rFonts w:asciiTheme="majorHAnsi" w:hAnsiTheme="majorHAnsi" w:cstheme="majorHAnsi"/>
          <w:sz w:val="16"/>
          <w:szCs w:val="16"/>
        </w:rPr>
        <w:t xml:space="preserve"> </w:t>
      </w:r>
      <w:hyperlink r:id="rId1" w:anchor=":~:text=From%201%20July%202024%2C%20the%20tax%20cuts%20will%3A,cent%20tax%20rate%20applies%20from%20%24180%2C000%20to%20%24190%2C000" w:history="1">
        <w:r w:rsidRPr="000A0141">
          <w:rPr>
            <w:rStyle w:val="Hyperlink"/>
            <w:rFonts w:asciiTheme="majorHAnsi" w:hAnsiTheme="majorHAnsi" w:cstheme="majorHAnsi"/>
            <w:sz w:val="16"/>
            <w:szCs w:val="16"/>
          </w:rPr>
          <w:t>Tax cuts to help with the cost of living | Treasury.gov.au</w:t>
        </w:r>
      </w:hyperlink>
    </w:p>
  </w:footnote>
  <w:footnote w:id="2">
    <w:p w14:paraId="5F70E8C4" w14:textId="77777777" w:rsidR="000A0141" w:rsidRPr="000A0141" w:rsidRDefault="000A0141" w:rsidP="000A0141">
      <w:pPr>
        <w:pStyle w:val="FootnoteText"/>
        <w:rPr>
          <w:rFonts w:asciiTheme="majorHAnsi" w:hAnsiTheme="majorHAnsi" w:cstheme="majorHAnsi"/>
          <w:sz w:val="16"/>
          <w:szCs w:val="16"/>
        </w:rPr>
      </w:pPr>
      <w:r w:rsidRPr="000A0141">
        <w:rPr>
          <w:rStyle w:val="FootnoteReference"/>
          <w:rFonts w:asciiTheme="majorHAnsi" w:hAnsiTheme="majorHAnsi" w:cstheme="majorHAnsi"/>
          <w:sz w:val="16"/>
          <w:szCs w:val="16"/>
        </w:rPr>
        <w:footnoteRef/>
      </w:r>
      <w:r w:rsidRPr="000A0141">
        <w:rPr>
          <w:rFonts w:asciiTheme="majorHAnsi" w:hAnsiTheme="majorHAnsi" w:cstheme="majorHAnsi"/>
          <w:sz w:val="16"/>
          <w:szCs w:val="16"/>
        </w:rPr>
        <w:t xml:space="preserve"> Australian Bureau of Statistics Release 13 August 2024 </w:t>
      </w:r>
      <w:hyperlink r:id="rId2" w:anchor="data-downloads" w:history="1">
        <w:r w:rsidRPr="000A0141">
          <w:rPr>
            <w:rStyle w:val="Hyperlink"/>
            <w:rFonts w:asciiTheme="majorHAnsi" w:hAnsiTheme="majorHAnsi" w:cstheme="majorHAnsi"/>
            <w:sz w:val="16"/>
            <w:szCs w:val="16"/>
          </w:rPr>
          <w:t>Wage Price Index, Australia, June 2024 | Australian Bureau of Statistics (abs.gov.au)</w:t>
        </w:r>
      </w:hyperlink>
    </w:p>
  </w:footnote>
  <w:footnote w:id="3">
    <w:p w14:paraId="099E93DA" w14:textId="77777777" w:rsidR="000A0141" w:rsidRPr="000A0141" w:rsidRDefault="000A0141" w:rsidP="000A0141">
      <w:pPr>
        <w:pStyle w:val="FootnoteText"/>
        <w:rPr>
          <w:rFonts w:asciiTheme="majorHAnsi" w:hAnsiTheme="majorHAnsi" w:cstheme="majorHAnsi"/>
          <w:sz w:val="16"/>
          <w:szCs w:val="16"/>
        </w:rPr>
      </w:pPr>
      <w:r w:rsidRPr="000A0141">
        <w:rPr>
          <w:rStyle w:val="FootnoteReference"/>
          <w:rFonts w:asciiTheme="majorHAnsi" w:hAnsiTheme="majorHAnsi" w:cstheme="majorHAnsi"/>
          <w:sz w:val="16"/>
          <w:szCs w:val="16"/>
        </w:rPr>
        <w:footnoteRef/>
      </w:r>
      <w:r w:rsidRPr="000A0141">
        <w:rPr>
          <w:rFonts w:asciiTheme="majorHAnsi" w:hAnsiTheme="majorHAnsi" w:cstheme="majorHAnsi"/>
          <w:sz w:val="16"/>
          <w:szCs w:val="16"/>
        </w:rPr>
        <w:t xml:space="preserve"> ACT Treasury, 24 April 2024, CPI – March Quarter 2024 </w:t>
      </w:r>
      <w:hyperlink r:id="rId3" w:history="1">
        <w:r w:rsidRPr="000A0141">
          <w:rPr>
            <w:rStyle w:val="Hyperlink"/>
            <w:rFonts w:asciiTheme="majorHAnsi" w:hAnsiTheme="majorHAnsi" w:cstheme="majorHAnsi"/>
            <w:sz w:val="16"/>
            <w:szCs w:val="16"/>
          </w:rPr>
          <w:t>Consumer Price Index (CPI) (act.gov.au)</w:t>
        </w:r>
      </w:hyperlink>
    </w:p>
  </w:footnote>
  <w:footnote w:id="4">
    <w:p w14:paraId="239AD436" w14:textId="77777777" w:rsidR="000A0141" w:rsidRPr="000A0141" w:rsidRDefault="000A0141" w:rsidP="000A0141">
      <w:pPr>
        <w:pStyle w:val="FootnoteText"/>
        <w:rPr>
          <w:rFonts w:asciiTheme="majorHAnsi" w:hAnsiTheme="majorHAnsi" w:cstheme="majorHAnsi"/>
          <w:sz w:val="16"/>
          <w:szCs w:val="16"/>
        </w:rPr>
      </w:pPr>
      <w:r w:rsidRPr="000A0141">
        <w:rPr>
          <w:rStyle w:val="FootnoteReference"/>
          <w:rFonts w:asciiTheme="majorHAnsi" w:hAnsiTheme="majorHAnsi" w:cstheme="majorHAnsi"/>
          <w:sz w:val="16"/>
          <w:szCs w:val="16"/>
        </w:rPr>
        <w:footnoteRef/>
      </w:r>
      <w:r w:rsidRPr="000A0141">
        <w:rPr>
          <w:rFonts w:asciiTheme="majorHAnsi" w:hAnsiTheme="majorHAnsi" w:cstheme="majorHAnsi"/>
          <w:sz w:val="16"/>
          <w:szCs w:val="16"/>
        </w:rPr>
        <w:t xml:space="preserve"> Australian Bureau of Statistics Release 31 July 2024 </w:t>
      </w:r>
      <w:hyperlink r:id="rId4" w:anchor="key-statistics" w:history="1">
        <w:r w:rsidRPr="000A0141">
          <w:rPr>
            <w:rStyle w:val="Hyperlink"/>
            <w:rFonts w:asciiTheme="majorHAnsi" w:hAnsiTheme="majorHAnsi" w:cstheme="majorHAnsi"/>
            <w:sz w:val="16"/>
            <w:szCs w:val="16"/>
          </w:rPr>
          <w:t>Consumer Price Index, Australia, June Quarter 2024 | Australian Bureau of Statistics (abs.gov.au)</w:t>
        </w:r>
      </w:hyperlink>
    </w:p>
  </w:footnote>
  <w:footnote w:id="5">
    <w:p w14:paraId="05CBD012" w14:textId="77777777" w:rsidR="000A0141" w:rsidRPr="00014CFC" w:rsidRDefault="000A0141" w:rsidP="000A0141">
      <w:pPr>
        <w:pStyle w:val="FootnoteText"/>
        <w:rPr>
          <w:rFonts w:cs="Calibri"/>
          <w:szCs w:val="12"/>
        </w:rPr>
      </w:pPr>
      <w:r w:rsidRPr="000A0141">
        <w:rPr>
          <w:rStyle w:val="FootnoteReference"/>
          <w:rFonts w:asciiTheme="majorHAnsi" w:hAnsiTheme="majorHAnsi" w:cstheme="majorHAnsi"/>
          <w:sz w:val="16"/>
          <w:szCs w:val="16"/>
        </w:rPr>
        <w:footnoteRef/>
      </w:r>
      <w:r w:rsidRPr="000A0141">
        <w:rPr>
          <w:rFonts w:asciiTheme="majorHAnsi" w:hAnsiTheme="majorHAnsi" w:cstheme="majorHAnsi"/>
          <w:sz w:val="16"/>
          <w:szCs w:val="16"/>
        </w:rPr>
        <w:t xml:space="preserve">  </w:t>
      </w:r>
      <w:hyperlink r:id="rId5" w:history="1">
        <w:r w:rsidRPr="000A0141">
          <w:rPr>
            <w:rStyle w:val="Hyperlink"/>
            <w:rFonts w:asciiTheme="majorHAnsi" w:hAnsiTheme="majorHAnsi" w:cstheme="majorHAnsi"/>
            <w:sz w:val="16"/>
            <w:szCs w:val="16"/>
          </w:rPr>
          <w:t>ACT Budget 2023-2024 Budget Review</w:t>
        </w:r>
      </w:hyperlink>
      <w:r w:rsidRPr="000A0141">
        <w:rPr>
          <w:rFonts w:asciiTheme="majorHAnsi" w:hAnsiTheme="majorHAnsi" w:cstheme="majorHAnsi"/>
          <w:sz w:val="16"/>
          <w:szCs w:val="16"/>
        </w:rPr>
        <w:t>, page 9.</w:t>
      </w:r>
    </w:p>
  </w:footnote>
  <w:footnote w:id="6">
    <w:p w14:paraId="65B2D441" w14:textId="77777777" w:rsidR="00EE0C69" w:rsidRPr="007A5A88" w:rsidRDefault="00EE0C69" w:rsidP="00EE0C69">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7">
    <w:p w14:paraId="0E8B3DA5" w14:textId="4BED818A" w:rsidR="00822572" w:rsidRPr="004A2109" w:rsidRDefault="00822572" w:rsidP="00B80DBB">
      <w:pPr>
        <w:rPr>
          <w:rFonts w:asciiTheme="majorHAnsi" w:hAnsiTheme="majorHAnsi" w:cstheme="majorHAnsi"/>
        </w:rPr>
      </w:pPr>
      <w:r w:rsidRPr="004A2109">
        <w:rPr>
          <w:rStyle w:val="FootnoteReference"/>
          <w:rFonts w:asciiTheme="majorHAnsi" w:hAnsiTheme="majorHAnsi" w:cstheme="majorHAnsi"/>
          <w:color w:val="000000" w:themeColor="text1"/>
          <w:sz w:val="16"/>
          <w:szCs w:val="16"/>
        </w:rPr>
        <w:footnoteRef/>
      </w:r>
      <w:r w:rsidRPr="004A2109">
        <w:rPr>
          <w:rFonts w:asciiTheme="majorHAnsi" w:hAnsiTheme="majorHAnsi" w:cstheme="majorHAnsi"/>
          <w:color w:val="000000" w:themeColor="text1"/>
          <w:sz w:val="16"/>
          <w:szCs w:val="16"/>
        </w:rPr>
        <w:t xml:space="preserve"> </w:t>
      </w:r>
      <w:hyperlink r:id="rId6" w:history="1">
        <w:r w:rsidRPr="004A2109">
          <w:rPr>
            <w:rStyle w:val="Hyperlink"/>
            <w:rFonts w:asciiTheme="majorHAnsi" w:hAnsiTheme="majorHAnsi" w:cstheme="majorHAnsi"/>
            <w:sz w:val="16"/>
            <w:szCs w:val="16"/>
            <w:lang w:val="en-GB"/>
          </w:rPr>
          <w:t>Australian Taxation Office – Taxation Determination 202</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 xml:space="preserve"> Income tax: what are the reasonable travel and overtime meal allowance expense amounts for the 202</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-2</w:t>
        </w:r>
        <w:r w:rsidR="00F56CE0">
          <w:rPr>
            <w:rStyle w:val="Hyperlink"/>
            <w:rFonts w:asciiTheme="majorHAnsi" w:hAnsiTheme="majorHAnsi" w:cstheme="majorHAnsi"/>
            <w:sz w:val="16"/>
            <w:szCs w:val="16"/>
            <w:lang w:val="en-GB"/>
          </w:rPr>
          <w:t>4</w:t>
        </w:r>
        <w:r w:rsidRPr="004A2109">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D01" w14:textId="0D6336B9" w:rsidR="00822572" w:rsidRDefault="0082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2D2" w14:textId="32371F24" w:rsidR="00822572" w:rsidRDefault="0082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254C" w14:textId="082BA4F0" w:rsidR="00822572" w:rsidRDefault="0082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62970F6D" w:rsidR="00822572" w:rsidRDefault="00822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5837B05F" w:rsidR="00822572" w:rsidRDefault="008225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07B269F2" w:rsidR="00822572" w:rsidRDefault="0082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442EF"/>
    <w:multiLevelType w:val="hybridMultilevel"/>
    <w:tmpl w:val="2CEA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6"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3"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5081048">
    <w:abstractNumId w:val="2"/>
  </w:num>
  <w:num w:numId="2" w16cid:durableId="1659847908">
    <w:abstractNumId w:val="7"/>
  </w:num>
  <w:num w:numId="3" w16cid:durableId="2064021339">
    <w:abstractNumId w:val="1"/>
  </w:num>
  <w:num w:numId="4" w16cid:durableId="484512473">
    <w:abstractNumId w:val="23"/>
  </w:num>
  <w:num w:numId="5" w16cid:durableId="503400301">
    <w:abstractNumId w:val="16"/>
  </w:num>
  <w:num w:numId="6" w16cid:durableId="117839772">
    <w:abstractNumId w:val="19"/>
  </w:num>
  <w:num w:numId="7" w16cid:durableId="457919108">
    <w:abstractNumId w:val="10"/>
  </w:num>
  <w:num w:numId="8" w16cid:durableId="1334183895">
    <w:abstractNumId w:val="21"/>
  </w:num>
  <w:num w:numId="9" w16cid:durableId="572548244">
    <w:abstractNumId w:val="23"/>
  </w:num>
  <w:num w:numId="10" w16cid:durableId="1528979437">
    <w:abstractNumId w:val="23"/>
  </w:num>
  <w:num w:numId="11" w16cid:durableId="427509939">
    <w:abstractNumId w:val="22"/>
  </w:num>
  <w:num w:numId="12" w16cid:durableId="310330088">
    <w:abstractNumId w:val="17"/>
  </w:num>
  <w:num w:numId="13" w16cid:durableId="837423769">
    <w:abstractNumId w:val="18"/>
  </w:num>
  <w:num w:numId="14" w16cid:durableId="2117865107">
    <w:abstractNumId w:val="11"/>
  </w:num>
  <w:num w:numId="15" w16cid:durableId="1095981282">
    <w:abstractNumId w:val="24"/>
  </w:num>
  <w:num w:numId="16" w16cid:durableId="1239287192">
    <w:abstractNumId w:val="15"/>
  </w:num>
  <w:num w:numId="17" w16cid:durableId="720591358">
    <w:abstractNumId w:val="3"/>
  </w:num>
  <w:num w:numId="18" w16cid:durableId="84544176">
    <w:abstractNumId w:val="6"/>
  </w:num>
  <w:num w:numId="19" w16cid:durableId="333267855">
    <w:abstractNumId w:val="0"/>
  </w:num>
  <w:num w:numId="20" w16cid:durableId="2018076558">
    <w:abstractNumId w:val="8"/>
  </w:num>
  <w:num w:numId="21" w16cid:durableId="1260065067">
    <w:abstractNumId w:val="20"/>
  </w:num>
  <w:num w:numId="22" w16cid:durableId="1516116344">
    <w:abstractNumId w:val="4"/>
  </w:num>
  <w:num w:numId="23" w16cid:durableId="2041859995">
    <w:abstractNumId w:val="13"/>
  </w:num>
  <w:num w:numId="24" w16cid:durableId="1390880365">
    <w:abstractNumId w:val="5"/>
  </w:num>
  <w:num w:numId="25" w16cid:durableId="1445877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774873">
    <w:abstractNumId w:val="23"/>
  </w:num>
  <w:num w:numId="27" w16cid:durableId="32077613">
    <w:abstractNumId w:val="12"/>
  </w:num>
  <w:num w:numId="28" w16cid:durableId="1819877175">
    <w:abstractNumId w:val="9"/>
  </w:num>
  <w:num w:numId="29" w16cid:durableId="46728836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5042"/>
    <w:rsid w:val="000235E0"/>
    <w:rsid w:val="00026546"/>
    <w:rsid w:val="00026E8D"/>
    <w:rsid w:val="00031CFC"/>
    <w:rsid w:val="000424F9"/>
    <w:rsid w:val="00042DBD"/>
    <w:rsid w:val="00046500"/>
    <w:rsid w:val="0005314A"/>
    <w:rsid w:val="0005529F"/>
    <w:rsid w:val="00056206"/>
    <w:rsid w:val="00056F1E"/>
    <w:rsid w:val="000656D9"/>
    <w:rsid w:val="000739D1"/>
    <w:rsid w:val="00073E8C"/>
    <w:rsid w:val="00073FA6"/>
    <w:rsid w:val="00090A4E"/>
    <w:rsid w:val="000945B5"/>
    <w:rsid w:val="00094C9A"/>
    <w:rsid w:val="00097FB9"/>
    <w:rsid w:val="000A0141"/>
    <w:rsid w:val="000C05D0"/>
    <w:rsid w:val="000C0FBA"/>
    <w:rsid w:val="000C405B"/>
    <w:rsid w:val="000C5092"/>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17D7E"/>
    <w:rsid w:val="0012152F"/>
    <w:rsid w:val="00127666"/>
    <w:rsid w:val="00134510"/>
    <w:rsid w:val="00134E9D"/>
    <w:rsid w:val="0013640A"/>
    <w:rsid w:val="0014157D"/>
    <w:rsid w:val="00145B13"/>
    <w:rsid w:val="00151E69"/>
    <w:rsid w:val="0015430B"/>
    <w:rsid w:val="001579A7"/>
    <w:rsid w:val="0016506F"/>
    <w:rsid w:val="0018623B"/>
    <w:rsid w:val="0018767C"/>
    <w:rsid w:val="001877F5"/>
    <w:rsid w:val="00194E6B"/>
    <w:rsid w:val="001A333D"/>
    <w:rsid w:val="001B199D"/>
    <w:rsid w:val="001B4DE2"/>
    <w:rsid w:val="001D03AE"/>
    <w:rsid w:val="001D1882"/>
    <w:rsid w:val="001E266C"/>
    <w:rsid w:val="001E59FD"/>
    <w:rsid w:val="001E7230"/>
    <w:rsid w:val="001F12AB"/>
    <w:rsid w:val="001F1E2D"/>
    <w:rsid w:val="001F44E1"/>
    <w:rsid w:val="001F7592"/>
    <w:rsid w:val="0020481F"/>
    <w:rsid w:val="0021099D"/>
    <w:rsid w:val="00216330"/>
    <w:rsid w:val="00220C1E"/>
    <w:rsid w:val="0022752C"/>
    <w:rsid w:val="0024270A"/>
    <w:rsid w:val="00247608"/>
    <w:rsid w:val="00260189"/>
    <w:rsid w:val="002740B6"/>
    <w:rsid w:val="00283721"/>
    <w:rsid w:val="002A134C"/>
    <w:rsid w:val="002A22B8"/>
    <w:rsid w:val="002A4ADA"/>
    <w:rsid w:val="002A6CF5"/>
    <w:rsid w:val="002B391E"/>
    <w:rsid w:val="002B4EE8"/>
    <w:rsid w:val="002C0635"/>
    <w:rsid w:val="002C2521"/>
    <w:rsid w:val="002C2963"/>
    <w:rsid w:val="002C3B13"/>
    <w:rsid w:val="002C5A60"/>
    <w:rsid w:val="002C785E"/>
    <w:rsid w:val="002D40AF"/>
    <w:rsid w:val="002E23E7"/>
    <w:rsid w:val="002F37EF"/>
    <w:rsid w:val="003019CD"/>
    <w:rsid w:val="003112CD"/>
    <w:rsid w:val="003114FB"/>
    <w:rsid w:val="00315E63"/>
    <w:rsid w:val="003306A2"/>
    <w:rsid w:val="003306D0"/>
    <w:rsid w:val="00330938"/>
    <w:rsid w:val="0033335A"/>
    <w:rsid w:val="00347A7E"/>
    <w:rsid w:val="00362495"/>
    <w:rsid w:val="00362946"/>
    <w:rsid w:val="0036438B"/>
    <w:rsid w:val="003661F9"/>
    <w:rsid w:val="00366512"/>
    <w:rsid w:val="003715E6"/>
    <w:rsid w:val="00372DD3"/>
    <w:rsid w:val="00373E37"/>
    <w:rsid w:val="00376B1D"/>
    <w:rsid w:val="00381CF4"/>
    <w:rsid w:val="00383A02"/>
    <w:rsid w:val="00391A54"/>
    <w:rsid w:val="00391B63"/>
    <w:rsid w:val="003A1AA3"/>
    <w:rsid w:val="003A3824"/>
    <w:rsid w:val="003B0300"/>
    <w:rsid w:val="003B109F"/>
    <w:rsid w:val="003B1A08"/>
    <w:rsid w:val="003D2768"/>
    <w:rsid w:val="003D2D25"/>
    <w:rsid w:val="003D4E8A"/>
    <w:rsid w:val="003D561D"/>
    <w:rsid w:val="003D59CB"/>
    <w:rsid w:val="003E79F7"/>
    <w:rsid w:val="003F065F"/>
    <w:rsid w:val="003F5154"/>
    <w:rsid w:val="003F5F18"/>
    <w:rsid w:val="003F6933"/>
    <w:rsid w:val="003F7A76"/>
    <w:rsid w:val="004004FA"/>
    <w:rsid w:val="00403576"/>
    <w:rsid w:val="00437715"/>
    <w:rsid w:val="00441444"/>
    <w:rsid w:val="00444337"/>
    <w:rsid w:val="004443E9"/>
    <w:rsid w:val="004455DD"/>
    <w:rsid w:val="00451281"/>
    <w:rsid w:val="00451A02"/>
    <w:rsid w:val="00466A6D"/>
    <w:rsid w:val="00470F0C"/>
    <w:rsid w:val="00475411"/>
    <w:rsid w:val="004755BE"/>
    <w:rsid w:val="00490653"/>
    <w:rsid w:val="00491394"/>
    <w:rsid w:val="00496DE5"/>
    <w:rsid w:val="004A2109"/>
    <w:rsid w:val="004A2467"/>
    <w:rsid w:val="004A61D6"/>
    <w:rsid w:val="004B3191"/>
    <w:rsid w:val="004B4A80"/>
    <w:rsid w:val="004B66BB"/>
    <w:rsid w:val="004B688C"/>
    <w:rsid w:val="004B71C5"/>
    <w:rsid w:val="004C2A9A"/>
    <w:rsid w:val="004C42DA"/>
    <w:rsid w:val="004C4847"/>
    <w:rsid w:val="004C5D8F"/>
    <w:rsid w:val="004C6DE2"/>
    <w:rsid w:val="004D1DF2"/>
    <w:rsid w:val="004D1FFC"/>
    <w:rsid w:val="004D35A7"/>
    <w:rsid w:val="004D44E5"/>
    <w:rsid w:val="004F77CB"/>
    <w:rsid w:val="00501D7C"/>
    <w:rsid w:val="00507722"/>
    <w:rsid w:val="00510BDD"/>
    <w:rsid w:val="00513C42"/>
    <w:rsid w:val="005152BC"/>
    <w:rsid w:val="00516063"/>
    <w:rsid w:val="005210C7"/>
    <w:rsid w:val="0052148D"/>
    <w:rsid w:val="00521DCD"/>
    <w:rsid w:val="00524C8A"/>
    <w:rsid w:val="00531C63"/>
    <w:rsid w:val="0053413C"/>
    <w:rsid w:val="005359E6"/>
    <w:rsid w:val="00536355"/>
    <w:rsid w:val="005515EE"/>
    <w:rsid w:val="00557E3B"/>
    <w:rsid w:val="00567177"/>
    <w:rsid w:val="00567498"/>
    <w:rsid w:val="005708C7"/>
    <w:rsid w:val="00570E42"/>
    <w:rsid w:val="00576AF2"/>
    <w:rsid w:val="00585560"/>
    <w:rsid w:val="0059383C"/>
    <w:rsid w:val="005B0ACC"/>
    <w:rsid w:val="005B2D86"/>
    <w:rsid w:val="005B397F"/>
    <w:rsid w:val="005B596D"/>
    <w:rsid w:val="005C08FE"/>
    <w:rsid w:val="005D23A4"/>
    <w:rsid w:val="005D7ACA"/>
    <w:rsid w:val="005D7B83"/>
    <w:rsid w:val="005E0200"/>
    <w:rsid w:val="005E0686"/>
    <w:rsid w:val="005E42B9"/>
    <w:rsid w:val="005E66E2"/>
    <w:rsid w:val="005E7A3E"/>
    <w:rsid w:val="005F20B2"/>
    <w:rsid w:val="005F35AD"/>
    <w:rsid w:val="005F5B54"/>
    <w:rsid w:val="00604F0B"/>
    <w:rsid w:val="006075AD"/>
    <w:rsid w:val="00615D24"/>
    <w:rsid w:val="00616924"/>
    <w:rsid w:val="0061777D"/>
    <w:rsid w:val="006207BC"/>
    <w:rsid w:val="00621F10"/>
    <w:rsid w:val="00625BA0"/>
    <w:rsid w:val="00647F0A"/>
    <w:rsid w:val="00667D31"/>
    <w:rsid w:val="00670AE2"/>
    <w:rsid w:val="00671720"/>
    <w:rsid w:val="00671B76"/>
    <w:rsid w:val="00671C75"/>
    <w:rsid w:val="00674580"/>
    <w:rsid w:val="00674BD0"/>
    <w:rsid w:val="00675113"/>
    <w:rsid w:val="00676255"/>
    <w:rsid w:val="00677B60"/>
    <w:rsid w:val="00684E18"/>
    <w:rsid w:val="00691D8A"/>
    <w:rsid w:val="0069220A"/>
    <w:rsid w:val="00697229"/>
    <w:rsid w:val="006A4265"/>
    <w:rsid w:val="006A5149"/>
    <w:rsid w:val="006A66DB"/>
    <w:rsid w:val="006B07F3"/>
    <w:rsid w:val="006B1541"/>
    <w:rsid w:val="006B231A"/>
    <w:rsid w:val="006B2E82"/>
    <w:rsid w:val="006B712C"/>
    <w:rsid w:val="006C5639"/>
    <w:rsid w:val="006C663F"/>
    <w:rsid w:val="006C6954"/>
    <w:rsid w:val="006C7757"/>
    <w:rsid w:val="006D2E1E"/>
    <w:rsid w:val="006D6312"/>
    <w:rsid w:val="006E1141"/>
    <w:rsid w:val="006E53A9"/>
    <w:rsid w:val="006E6165"/>
    <w:rsid w:val="006F1565"/>
    <w:rsid w:val="00714AD4"/>
    <w:rsid w:val="00714C87"/>
    <w:rsid w:val="0071674A"/>
    <w:rsid w:val="00730C82"/>
    <w:rsid w:val="00732D04"/>
    <w:rsid w:val="00733599"/>
    <w:rsid w:val="00743266"/>
    <w:rsid w:val="00747932"/>
    <w:rsid w:val="00752702"/>
    <w:rsid w:val="00752D4A"/>
    <w:rsid w:val="007534BC"/>
    <w:rsid w:val="007612FA"/>
    <w:rsid w:val="007653BC"/>
    <w:rsid w:val="0076650A"/>
    <w:rsid w:val="00767BDB"/>
    <w:rsid w:val="00773D21"/>
    <w:rsid w:val="007746CC"/>
    <w:rsid w:val="00774F91"/>
    <w:rsid w:val="0078119F"/>
    <w:rsid w:val="00791C85"/>
    <w:rsid w:val="007A0CEA"/>
    <w:rsid w:val="007A11BD"/>
    <w:rsid w:val="007B25A5"/>
    <w:rsid w:val="007B2F07"/>
    <w:rsid w:val="007B3033"/>
    <w:rsid w:val="007B444B"/>
    <w:rsid w:val="007B5A4D"/>
    <w:rsid w:val="007B6EFD"/>
    <w:rsid w:val="007B7D04"/>
    <w:rsid w:val="007C1022"/>
    <w:rsid w:val="007C5913"/>
    <w:rsid w:val="007C75E1"/>
    <w:rsid w:val="007D06A6"/>
    <w:rsid w:val="007E0063"/>
    <w:rsid w:val="007E11E5"/>
    <w:rsid w:val="007E3378"/>
    <w:rsid w:val="007E3CF8"/>
    <w:rsid w:val="007E4A6C"/>
    <w:rsid w:val="007E6AB7"/>
    <w:rsid w:val="00802958"/>
    <w:rsid w:val="00802ACA"/>
    <w:rsid w:val="0080694B"/>
    <w:rsid w:val="0081036B"/>
    <w:rsid w:val="008113F2"/>
    <w:rsid w:val="00813EED"/>
    <w:rsid w:val="0081580E"/>
    <w:rsid w:val="00816BA9"/>
    <w:rsid w:val="00822572"/>
    <w:rsid w:val="008236B1"/>
    <w:rsid w:val="00823A0D"/>
    <w:rsid w:val="0082683A"/>
    <w:rsid w:val="008316A3"/>
    <w:rsid w:val="00832CA7"/>
    <w:rsid w:val="00835A36"/>
    <w:rsid w:val="00842A40"/>
    <w:rsid w:val="00842AA2"/>
    <w:rsid w:val="00852752"/>
    <w:rsid w:val="00854C0A"/>
    <w:rsid w:val="00864B6A"/>
    <w:rsid w:val="00865598"/>
    <w:rsid w:val="00867A92"/>
    <w:rsid w:val="00867F9A"/>
    <w:rsid w:val="00870068"/>
    <w:rsid w:val="0087377E"/>
    <w:rsid w:val="00877EB0"/>
    <w:rsid w:val="00882C73"/>
    <w:rsid w:val="00883CEC"/>
    <w:rsid w:val="00891859"/>
    <w:rsid w:val="0089656C"/>
    <w:rsid w:val="008A1A0A"/>
    <w:rsid w:val="008B2404"/>
    <w:rsid w:val="008B31E7"/>
    <w:rsid w:val="008B6DDC"/>
    <w:rsid w:val="008C43AB"/>
    <w:rsid w:val="008C5BE2"/>
    <w:rsid w:val="008D0A3D"/>
    <w:rsid w:val="008D5909"/>
    <w:rsid w:val="008F23A3"/>
    <w:rsid w:val="008F3111"/>
    <w:rsid w:val="008F53E6"/>
    <w:rsid w:val="0090293B"/>
    <w:rsid w:val="009031DC"/>
    <w:rsid w:val="0090376D"/>
    <w:rsid w:val="0091032A"/>
    <w:rsid w:val="009118FF"/>
    <w:rsid w:val="00913DC0"/>
    <w:rsid w:val="0091771F"/>
    <w:rsid w:val="0092035A"/>
    <w:rsid w:val="00926988"/>
    <w:rsid w:val="009277F6"/>
    <w:rsid w:val="00935862"/>
    <w:rsid w:val="0093643E"/>
    <w:rsid w:val="00944F8D"/>
    <w:rsid w:val="009458C6"/>
    <w:rsid w:val="00946780"/>
    <w:rsid w:val="009468BC"/>
    <w:rsid w:val="00946CD2"/>
    <w:rsid w:val="00960FDB"/>
    <w:rsid w:val="00964233"/>
    <w:rsid w:val="00966F2A"/>
    <w:rsid w:val="0097023D"/>
    <w:rsid w:val="00977C4D"/>
    <w:rsid w:val="00981913"/>
    <w:rsid w:val="00983CF1"/>
    <w:rsid w:val="009846DA"/>
    <w:rsid w:val="009859F7"/>
    <w:rsid w:val="009901EC"/>
    <w:rsid w:val="00992018"/>
    <w:rsid w:val="00995FB3"/>
    <w:rsid w:val="009A108C"/>
    <w:rsid w:val="009D1A1F"/>
    <w:rsid w:val="009D5A09"/>
    <w:rsid w:val="009E34DA"/>
    <w:rsid w:val="009E4C67"/>
    <w:rsid w:val="009E735F"/>
    <w:rsid w:val="00A04EC4"/>
    <w:rsid w:val="00A10D88"/>
    <w:rsid w:val="00A2357D"/>
    <w:rsid w:val="00A403CA"/>
    <w:rsid w:val="00A42F30"/>
    <w:rsid w:val="00A53B73"/>
    <w:rsid w:val="00A64D1C"/>
    <w:rsid w:val="00A7057A"/>
    <w:rsid w:val="00A72561"/>
    <w:rsid w:val="00A74E4E"/>
    <w:rsid w:val="00A760A2"/>
    <w:rsid w:val="00A77538"/>
    <w:rsid w:val="00A83E30"/>
    <w:rsid w:val="00A90AB7"/>
    <w:rsid w:val="00AA3434"/>
    <w:rsid w:val="00AA388B"/>
    <w:rsid w:val="00AB0311"/>
    <w:rsid w:val="00AB0F13"/>
    <w:rsid w:val="00AC1C71"/>
    <w:rsid w:val="00AC729A"/>
    <w:rsid w:val="00AD06CC"/>
    <w:rsid w:val="00AD5324"/>
    <w:rsid w:val="00AD58CE"/>
    <w:rsid w:val="00AE2CF2"/>
    <w:rsid w:val="00AE3615"/>
    <w:rsid w:val="00AE5F84"/>
    <w:rsid w:val="00AE689E"/>
    <w:rsid w:val="00AE77C3"/>
    <w:rsid w:val="00AF6998"/>
    <w:rsid w:val="00B00077"/>
    <w:rsid w:val="00B004BB"/>
    <w:rsid w:val="00B26588"/>
    <w:rsid w:val="00B34D90"/>
    <w:rsid w:val="00B40DE4"/>
    <w:rsid w:val="00B41011"/>
    <w:rsid w:val="00B4120B"/>
    <w:rsid w:val="00B42918"/>
    <w:rsid w:val="00B44433"/>
    <w:rsid w:val="00B4542F"/>
    <w:rsid w:val="00B50DAA"/>
    <w:rsid w:val="00B530EA"/>
    <w:rsid w:val="00B543C2"/>
    <w:rsid w:val="00B602B7"/>
    <w:rsid w:val="00B61E76"/>
    <w:rsid w:val="00B634A3"/>
    <w:rsid w:val="00B7130C"/>
    <w:rsid w:val="00B7359A"/>
    <w:rsid w:val="00B75CD8"/>
    <w:rsid w:val="00B76438"/>
    <w:rsid w:val="00B80DBB"/>
    <w:rsid w:val="00B83804"/>
    <w:rsid w:val="00B94E3B"/>
    <w:rsid w:val="00B960E0"/>
    <w:rsid w:val="00B96194"/>
    <w:rsid w:val="00B97BF2"/>
    <w:rsid w:val="00BA3464"/>
    <w:rsid w:val="00BB3562"/>
    <w:rsid w:val="00BB4A62"/>
    <w:rsid w:val="00BB7044"/>
    <w:rsid w:val="00BC0DD8"/>
    <w:rsid w:val="00BC2ABD"/>
    <w:rsid w:val="00BC5C75"/>
    <w:rsid w:val="00BD1474"/>
    <w:rsid w:val="00BD7F7E"/>
    <w:rsid w:val="00BE3052"/>
    <w:rsid w:val="00BE4B52"/>
    <w:rsid w:val="00C03DBD"/>
    <w:rsid w:val="00C05120"/>
    <w:rsid w:val="00C053A5"/>
    <w:rsid w:val="00C067B1"/>
    <w:rsid w:val="00C10C16"/>
    <w:rsid w:val="00C22742"/>
    <w:rsid w:val="00C23982"/>
    <w:rsid w:val="00C241CD"/>
    <w:rsid w:val="00C2538E"/>
    <w:rsid w:val="00C253FA"/>
    <w:rsid w:val="00C27763"/>
    <w:rsid w:val="00C343BB"/>
    <w:rsid w:val="00C5322A"/>
    <w:rsid w:val="00C561B4"/>
    <w:rsid w:val="00C616D7"/>
    <w:rsid w:val="00C61F9D"/>
    <w:rsid w:val="00C71AC8"/>
    <w:rsid w:val="00C76A53"/>
    <w:rsid w:val="00C802A3"/>
    <w:rsid w:val="00C810A6"/>
    <w:rsid w:val="00C90DE3"/>
    <w:rsid w:val="00C91627"/>
    <w:rsid w:val="00C93019"/>
    <w:rsid w:val="00C95977"/>
    <w:rsid w:val="00CA01A6"/>
    <w:rsid w:val="00CA0D6A"/>
    <w:rsid w:val="00CA0E47"/>
    <w:rsid w:val="00CA3EEA"/>
    <w:rsid w:val="00CA4D79"/>
    <w:rsid w:val="00CA59D1"/>
    <w:rsid w:val="00CA682D"/>
    <w:rsid w:val="00CB1C7E"/>
    <w:rsid w:val="00CB4279"/>
    <w:rsid w:val="00CB7D64"/>
    <w:rsid w:val="00CB7ED3"/>
    <w:rsid w:val="00CC0A5A"/>
    <w:rsid w:val="00CC57FE"/>
    <w:rsid w:val="00CD1532"/>
    <w:rsid w:val="00CD197C"/>
    <w:rsid w:val="00CD1EAD"/>
    <w:rsid w:val="00CD4DBB"/>
    <w:rsid w:val="00CE67FD"/>
    <w:rsid w:val="00CF1875"/>
    <w:rsid w:val="00CF2E46"/>
    <w:rsid w:val="00D003B9"/>
    <w:rsid w:val="00D04F1B"/>
    <w:rsid w:val="00D170B8"/>
    <w:rsid w:val="00D2178F"/>
    <w:rsid w:val="00D24A6F"/>
    <w:rsid w:val="00D31E04"/>
    <w:rsid w:val="00D364F2"/>
    <w:rsid w:val="00D42DD5"/>
    <w:rsid w:val="00D44030"/>
    <w:rsid w:val="00D452F4"/>
    <w:rsid w:val="00D47FC9"/>
    <w:rsid w:val="00D52E4E"/>
    <w:rsid w:val="00D5308B"/>
    <w:rsid w:val="00D6128B"/>
    <w:rsid w:val="00D6184E"/>
    <w:rsid w:val="00D63476"/>
    <w:rsid w:val="00D66012"/>
    <w:rsid w:val="00D72264"/>
    <w:rsid w:val="00D833FF"/>
    <w:rsid w:val="00D84313"/>
    <w:rsid w:val="00D850CE"/>
    <w:rsid w:val="00DA3D0F"/>
    <w:rsid w:val="00DB27EE"/>
    <w:rsid w:val="00DC011D"/>
    <w:rsid w:val="00DC337A"/>
    <w:rsid w:val="00DC35CF"/>
    <w:rsid w:val="00DC5108"/>
    <w:rsid w:val="00DC66C7"/>
    <w:rsid w:val="00DC6C6D"/>
    <w:rsid w:val="00DD73BE"/>
    <w:rsid w:val="00DE6EB1"/>
    <w:rsid w:val="00DF0D48"/>
    <w:rsid w:val="00DF10B8"/>
    <w:rsid w:val="00DF140E"/>
    <w:rsid w:val="00DF3859"/>
    <w:rsid w:val="00DF4AC6"/>
    <w:rsid w:val="00DF71E7"/>
    <w:rsid w:val="00E012BE"/>
    <w:rsid w:val="00E01547"/>
    <w:rsid w:val="00E14F84"/>
    <w:rsid w:val="00E16907"/>
    <w:rsid w:val="00E27CCC"/>
    <w:rsid w:val="00E306CB"/>
    <w:rsid w:val="00E32058"/>
    <w:rsid w:val="00E33098"/>
    <w:rsid w:val="00E356CE"/>
    <w:rsid w:val="00E35B41"/>
    <w:rsid w:val="00E43087"/>
    <w:rsid w:val="00E546CC"/>
    <w:rsid w:val="00E61D6D"/>
    <w:rsid w:val="00E66FEB"/>
    <w:rsid w:val="00E73A41"/>
    <w:rsid w:val="00E81815"/>
    <w:rsid w:val="00E846BF"/>
    <w:rsid w:val="00E8606F"/>
    <w:rsid w:val="00EA1A9E"/>
    <w:rsid w:val="00EA1E01"/>
    <w:rsid w:val="00EA26AE"/>
    <w:rsid w:val="00EC70AA"/>
    <w:rsid w:val="00EE0C69"/>
    <w:rsid w:val="00EE2454"/>
    <w:rsid w:val="00EF040C"/>
    <w:rsid w:val="00EF1442"/>
    <w:rsid w:val="00F02E75"/>
    <w:rsid w:val="00F07BE6"/>
    <w:rsid w:val="00F10839"/>
    <w:rsid w:val="00F20117"/>
    <w:rsid w:val="00F21272"/>
    <w:rsid w:val="00F215BD"/>
    <w:rsid w:val="00F23FF5"/>
    <w:rsid w:val="00F31978"/>
    <w:rsid w:val="00F35025"/>
    <w:rsid w:val="00F35D0F"/>
    <w:rsid w:val="00F412B1"/>
    <w:rsid w:val="00F5318D"/>
    <w:rsid w:val="00F54DBA"/>
    <w:rsid w:val="00F5535C"/>
    <w:rsid w:val="00F55699"/>
    <w:rsid w:val="00F56CE0"/>
    <w:rsid w:val="00F572EC"/>
    <w:rsid w:val="00F64856"/>
    <w:rsid w:val="00F67784"/>
    <w:rsid w:val="00F67DFE"/>
    <w:rsid w:val="00F74957"/>
    <w:rsid w:val="00F74FF0"/>
    <w:rsid w:val="00F84806"/>
    <w:rsid w:val="00F85829"/>
    <w:rsid w:val="00F875AC"/>
    <w:rsid w:val="00F8791E"/>
    <w:rsid w:val="00FA3A75"/>
    <w:rsid w:val="00FA7579"/>
    <w:rsid w:val="00FB06AE"/>
    <w:rsid w:val="00FB4530"/>
    <w:rsid w:val="00FB7E3C"/>
    <w:rsid w:val="00FB7E6A"/>
    <w:rsid w:val="00FC1A46"/>
    <w:rsid w:val="00FC1AD2"/>
    <w:rsid w:val="00FC1B1F"/>
    <w:rsid w:val="00FC5C65"/>
    <w:rsid w:val="00FD657A"/>
    <w:rsid w:val="00FD77B8"/>
    <w:rsid w:val="00FE11B6"/>
    <w:rsid w:val="00FE1D94"/>
    <w:rsid w:val="00FE2E19"/>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6BFBE6FD-074A-4179-BA34-A5362D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2F37EF"/>
    <w:rPr>
      <w:rFonts w:ascii="Calibri" w:hAnsi="Calibri"/>
      <w:b/>
      <w:bCs/>
      <w:sz w:val="24"/>
    </w:rPr>
  </w:style>
  <w:style w:type="paragraph" w:styleId="Revision">
    <w:name w:val="Revision"/>
    <w:hidden/>
    <w:uiPriority w:val="99"/>
    <w:semiHidden/>
    <w:rsid w:val="005D7ACA"/>
    <w:rPr>
      <w:rFonts w:ascii="Calibri" w:hAnsi="Calibri"/>
      <w:sz w:val="24"/>
    </w:rPr>
  </w:style>
  <w:style w:type="paragraph" w:styleId="NormalWeb">
    <w:name w:val="Normal (Web)"/>
    <w:basedOn w:val="Normal"/>
    <w:uiPriority w:val="99"/>
    <w:semiHidden/>
    <w:unhideWhenUsed/>
    <w:rsid w:val="002B4EE8"/>
    <w:pPr>
      <w:spacing w:before="100" w:beforeAutospacing="1" w:after="100" w:afterAutospacing="1"/>
    </w:pPr>
    <w:rPr>
      <w:rFonts w:ascii="Times New Roman"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5219">
      <w:bodyDiv w:val="1"/>
      <w:marLeft w:val="0"/>
      <w:marRight w:val="0"/>
      <w:marTop w:val="0"/>
      <w:marBottom w:val="0"/>
      <w:divBdr>
        <w:top w:val="none" w:sz="0" w:space="0" w:color="auto"/>
        <w:left w:val="none" w:sz="0" w:space="0" w:color="auto"/>
        <w:bottom w:val="none" w:sz="0" w:space="0" w:color="auto"/>
        <w:right w:val="none" w:sz="0" w:space="0" w:color="auto"/>
      </w:divBdr>
    </w:div>
    <w:div w:id="168316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act.gov.au/__data/assets/pdf_file/0009/399978/CPI.pdf/_recache" TargetMode="External"/><Relationship Id="rId2" Type="http://schemas.openxmlformats.org/officeDocument/2006/relationships/hyperlink" Target="https://www.abs.gov.au/statistics/economy/price-indexes-and-inflation/wage-price-index-australia/jun-2024" TargetMode="External"/><Relationship Id="rId1" Type="http://schemas.openxmlformats.org/officeDocument/2006/relationships/hyperlink" Target="https://treasury.gov.au/tax-cuts" TargetMode="External"/><Relationship Id="rId6" Type="http://schemas.openxmlformats.org/officeDocument/2006/relationships/hyperlink" Target="https://www.ato.gov.au/law/view/pdf/pbr/td2023-003.pdf" TargetMode="External"/><Relationship Id="rId5" Type="http://schemas.openxmlformats.org/officeDocument/2006/relationships/hyperlink" Target="https://www.treasury.act.gov.au/__data/assets/pdf_file/0003/2391636/2023-24-Budget-Review.pdf" TargetMode="External"/><Relationship Id="rId4" Type="http://schemas.openxmlformats.org/officeDocument/2006/relationships/hyperlink" Target="https://www.abs.gov.au/statistics/economy/price-indexes-and-inflation/consumer-price-index-australia/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F583BB54-6790-4B63-B5F2-FA6CD926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2795</Words>
  <Characters>15175</Characters>
  <Application>Microsoft Office Word</Application>
  <DocSecurity>0</DocSecurity>
  <Lines>319</Lines>
  <Paragraphs>173</Paragraphs>
  <ScaleCrop>false</ScaleCrop>
  <HeadingPairs>
    <vt:vector size="2" baseType="variant">
      <vt:variant>
        <vt:lpstr>Title</vt:lpstr>
      </vt:variant>
      <vt:variant>
        <vt:i4>1</vt:i4>
      </vt:variant>
    </vt:vector>
  </HeadingPairs>
  <TitlesOfParts>
    <vt:vector size="1" baseType="lpstr">
      <vt:lpstr>Determination 10 of 2022 - FTSOH CEO IC</vt:lpstr>
    </vt:vector>
  </TitlesOfParts>
  <Company>InTACT</Company>
  <LinksUpToDate>false</LinksUpToDate>
  <CharactersWithSpaces>17860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15 of 2023 - FTSOH CEO IC</dc:title>
  <dc:subject>Remuneration</dc:subject>
  <dc:creator>Secretary, ACT Remuneration Tribunal</dc:creator>
  <cp:keywords/>
  <dc:description/>
  <cp:lastModifiedBy>Hopkins, Lela</cp:lastModifiedBy>
  <cp:revision>14</cp:revision>
  <cp:lastPrinted>2024-08-29T07:12:00Z</cp:lastPrinted>
  <dcterms:created xsi:type="dcterms:W3CDTF">2024-08-01T01:38:00Z</dcterms:created>
  <dcterms:modified xsi:type="dcterms:W3CDTF">2024-08-29T07:13:00Z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2024-08-01T01:38:38Z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fb94e793-b81a-4d76-867b-03e7d61accc3</vt:lpwstr>
  </property>
  <property fmtid="{D5CDD505-2E9C-101B-9397-08002B2CF9AE}" pid="18" name="MSIP_Label_69af8531-eb46-4968-8cb3-105d2f5ea87e_ContentBits">
    <vt:lpwstr>0</vt:lpwstr>
  </property>
</Properties>
</file>