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C67" w:rsidRPr="00DC6C6D" w:rsidRDefault="001D1882" w:rsidP="00DC6C6D">
      <w:pPr>
        <w:keepNext/>
        <w:keepLines/>
        <w:spacing w:before="120"/>
        <w:rPr>
          <w:rFonts w:cs="Arial"/>
          <w:sz w:val="28"/>
          <w:szCs w:val="28"/>
        </w:rPr>
      </w:pPr>
      <w:bookmarkStart w:id="0" w:name="_Toc44738651"/>
      <w:r>
        <w:rPr>
          <w:rFonts w:cs="Arial"/>
          <w:noProof/>
          <w:lang w:eastAsia="en-AU"/>
        </w:rPr>
        <w:drawing>
          <wp:inline distT="0" distB="0" distL="0" distR="0">
            <wp:extent cx="1016000" cy="931545"/>
            <wp:effectExtent l="0" t="0" r="0" b="8255"/>
            <wp:docPr id="1"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9">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44209"/>
                    <a:stretch>
                      <a:fillRect/>
                    </a:stretch>
                  </pic:blipFill>
                  <pic:spPr bwMode="auto">
                    <a:xfrm>
                      <a:off x="0" y="0"/>
                      <a:ext cx="1016000" cy="931545"/>
                    </a:xfrm>
                    <a:prstGeom prst="rect">
                      <a:avLst/>
                    </a:prstGeom>
                    <a:noFill/>
                    <a:ln>
                      <a:noFill/>
                    </a:ln>
                  </pic:spPr>
                </pic:pic>
              </a:graphicData>
            </a:graphic>
          </wp:inline>
        </w:drawing>
      </w:r>
      <w:r w:rsidR="009E4C67" w:rsidRPr="003B1A08">
        <w:rPr>
          <w:rFonts w:cs="Arial"/>
          <w:noProof/>
          <w:sz w:val="28"/>
          <w:szCs w:val="28"/>
          <w:lang w:eastAsia="en-AU"/>
        </w:rPr>
        <w:tab/>
      </w:r>
      <w:r w:rsidR="009E4C67">
        <w:rPr>
          <w:rFonts w:cs="Arial"/>
          <w:noProof/>
          <w:sz w:val="28"/>
          <w:szCs w:val="28"/>
          <w:lang w:eastAsia="en-AU"/>
        </w:rPr>
        <w:t xml:space="preserve">      </w:t>
      </w:r>
      <w:r w:rsidR="009E4C67" w:rsidRPr="003B1A08">
        <w:rPr>
          <w:rFonts w:cs="Arial"/>
          <w:sz w:val="28"/>
          <w:szCs w:val="28"/>
        </w:rPr>
        <w:t>Australian Capital</w:t>
      </w:r>
      <w:r w:rsidR="00DC6C6D">
        <w:rPr>
          <w:rFonts w:cs="Arial"/>
          <w:sz w:val="28"/>
          <w:szCs w:val="28"/>
        </w:rPr>
        <w:t xml:space="preserve"> Territory Remuneration Tribunal</w:t>
      </w:r>
    </w:p>
    <w:p w:rsidR="009E4C67" w:rsidRDefault="009E4C67" w:rsidP="009E4C67">
      <w:pPr>
        <w:pStyle w:val="Heading1"/>
        <w:keepLines/>
        <w:pageBreakBefore w:val="0"/>
        <w:pBdr>
          <w:bottom w:val="none" w:sz="0" w:space="0" w:color="auto"/>
        </w:pBdr>
        <w:spacing w:before="240"/>
      </w:pPr>
      <w:r w:rsidRPr="00F215BD">
        <w:t xml:space="preserve">Determination </w:t>
      </w:r>
      <w:r w:rsidR="00647F0A">
        <w:t>4</w:t>
      </w:r>
      <w:r w:rsidR="00DC6C6D" w:rsidRPr="007A0CEA">
        <w:t xml:space="preserve"> of 2016</w:t>
      </w:r>
    </w:p>
    <w:p w:rsidR="00DC6C6D" w:rsidRPr="00DC6C6D" w:rsidRDefault="00DC6C6D" w:rsidP="00DC6C6D">
      <w:pPr>
        <w:pStyle w:val="Heading1"/>
        <w:keepLines/>
        <w:pageBreakBefore w:val="0"/>
        <w:pBdr>
          <w:bottom w:val="none" w:sz="0" w:space="0" w:color="auto"/>
        </w:pBdr>
        <w:spacing w:before="240"/>
      </w:pPr>
      <w:r>
        <w:t>Full- Time Statutory Office Holders</w:t>
      </w:r>
    </w:p>
    <w:p w:rsidR="00D66012" w:rsidRPr="003B1A08" w:rsidRDefault="00D66012" w:rsidP="00D66012">
      <w:proofErr w:type="gramStart"/>
      <w:r w:rsidRPr="003B1A08">
        <w:t>made</w:t>
      </w:r>
      <w:proofErr w:type="gramEnd"/>
      <w:r w:rsidRPr="003B1A08">
        <w:t xml:space="preserve"> under the </w:t>
      </w:r>
    </w:p>
    <w:p w:rsidR="00D66012" w:rsidRPr="00DB411F" w:rsidRDefault="00D66012" w:rsidP="00D66012">
      <w:pPr>
        <w:rPr>
          <w:rFonts w:cs="Arial"/>
          <w:b/>
        </w:rPr>
      </w:pPr>
      <w:r w:rsidRPr="00DB411F">
        <w:rPr>
          <w:rFonts w:cs="Arial"/>
          <w:b/>
        </w:rPr>
        <w:t>Remuneration Tribunal Act 1995, section 10 (Inquiries about holders of certain positions)</w:t>
      </w:r>
    </w:p>
    <w:p w:rsidR="009E4C67" w:rsidRPr="00F215BD" w:rsidRDefault="009E4C67" w:rsidP="009E4C67">
      <w:pPr>
        <w:pStyle w:val="Heading1"/>
        <w:keepLines/>
        <w:pageBreakBefore w:val="0"/>
        <w:pBdr>
          <w:bottom w:val="none" w:sz="0" w:space="0" w:color="auto"/>
        </w:pBdr>
        <w:spacing w:before="240"/>
      </w:pPr>
      <w:r w:rsidRPr="00F215BD">
        <w:t>ACOMPANYING STATEMENT</w:t>
      </w:r>
    </w:p>
    <w:p w:rsidR="009E4C67" w:rsidRPr="003B1A08" w:rsidRDefault="009E4C67" w:rsidP="009E4C67">
      <w:pPr>
        <w:pStyle w:val="N-line3"/>
        <w:pBdr>
          <w:bottom w:val="none" w:sz="0" w:space="0" w:color="auto"/>
        </w:pBdr>
      </w:pPr>
    </w:p>
    <w:p w:rsidR="009E4C67" w:rsidRPr="003B1A08" w:rsidRDefault="009E4C67" w:rsidP="009E4C67">
      <w:pPr>
        <w:pStyle w:val="N-line3"/>
        <w:pBdr>
          <w:top w:val="single" w:sz="12" w:space="1" w:color="auto"/>
          <w:bottom w:val="none" w:sz="0" w:space="0" w:color="auto"/>
        </w:pBdr>
      </w:pPr>
    </w:p>
    <w:p w:rsidR="009E4C67" w:rsidRDefault="009E4C67" w:rsidP="0078119F">
      <w:pPr>
        <w:pStyle w:val="Heading2"/>
        <w:spacing w:before="120" w:after="60"/>
        <w:jc w:val="left"/>
      </w:pPr>
      <w:r>
        <w:t>Background</w:t>
      </w:r>
    </w:p>
    <w:p w:rsidR="00DC6C6D" w:rsidRPr="00626357" w:rsidRDefault="00DC6C6D" w:rsidP="0078119F">
      <w:pPr>
        <w:spacing w:before="120" w:after="60"/>
      </w:pPr>
      <w:r w:rsidRPr="00626357">
        <w:t xml:space="preserve">Under section 10 of the </w:t>
      </w:r>
      <w:r w:rsidRPr="00626357">
        <w:rPr>
          <w:i/>
        </w:rPr>
        <w:t>Remuneration Tribunal Act 1995</w:t>
      </w:r>
      <w:r w:rsidRPr="00626357">
        <w:t xml:space="preserve"> the Remuneration Tribunal (Tribunal) is required to inquire into, and determine, the </w:t>
      </w:r>
      <w:r>
        <w:t>salary</w:t>
      </w:r>
      <w:r w:rsidRPr="00626357">
        <w:t>, allowances and other entitlements for certain full-time public offices.  Of those offices, this Determination covers</w:t>
      </w:r>
      <w:r>
        <w:t xml:space="preserve"> the</w:t>
      </w:r>
      <w:r w:rsidRPr="00626357">
        <w:t>:</w:t>
      </w:r>
    </w:p>
    <w:p w:rsidR="00D66012" w:rsidRPr="00B41011" w:rsidRDefault="00D66012" w:rsidP="00D66012">
      <w:pPr>
        <w:numPr>
          <w:ilvl w:val="0"/>
          <w:numId w:val="12"/>
        </w:numPr>
      </w:pPr>
      <w:r w:rsidRPr="00B41011">
        <w:t>Assistant Executive Officer, Legal Aid Commission (ACT)</w:t>
      </w:r>
      <w:r w:rsidR="00732D04">
        <w:t>;</w:t>
      </w:r>
    </w:p>
    <w:p w:rsidR="00DC6C6D" w:rsidRPr="00B41011" w:rsidRDefault="00DC6C6D" w:rsidP="0078119F">
      <w:pPr>
        <w:numPr>
          <w:ilvl w:val="0"/>
          <w:numId w:val="12"/>
        </w:numPr>
      </w:pPr>
      <w:r w:rsidRPr="00B41011">
        <w:t>Auditor-General</w:t>
      </w:r>
      <w:r w:rsidR="00732D04">
        <w:t>;</w:t>
      </w:r>
    </w:p>
    <w:p w:rsidR="00FA3A75" w:rsidRPr="00B41011" w:rsidRDefault="00FA3A75" w:rsidP="00FA3A75">
      <w:pPr>
        <w:numPr>
          <w:ilvl w:val="0"/>
          <w:numId w:val="12"/>
        </w:numPr>
      </w:pPr>
      <w:r>
        <w:t>Chief Executive Officer</w:t>
      </w:r>
      <w:r w:rsidRPr="00B41011">
        <w:t>, Canberra Institute of Technology</w:t>
      </w:r>
      <w:r w:rsidR="00732D04">
        <w:t>;</w:t>
      </w:r>
    </w:p>
    <w:p w:rsidR="00DC6C6D" w:rsidRPr="00B41011" w:rsidRDefault="00DC6C6D" w:rsidP="0078119F">
      <w:pPr>
        <w:numPr>
          <w:ilvl w:val="0"/>
          <w:numId w:val="12"/>
        </w:numPr>
      </w:pPr>
      <w:r w:rsidRPr="00B41011">
        <w:t>Chief Executive Officer, Land Development Agency</w:t>
      </w:r>
      <w:r w:rsidR="00732D04">
        <w:t>;</w:t>
      </w:r>
      <w:r w:rsidRPr="00B41011">
        <w:t xml:space="preserve"> </w:t>
      </w:r>
    </w:p>
    <w:p w:rsidR="00DC6C6D" w:rsidRDefault="00DC6C6D" w:rsidP="0078119F">
      <w:pPr>
        <w:numPr>
          <w:ilvl w:val="0"/>
          <w:numId w:val="12"/>
        </w:numPr>
      </w:pPr>
      <w:r w:rsidRPr="00B41011">
        <w:t>Chief Executive Officer, Legal Aid Commission (ACT)</w:t>
      </w:r>
      <w:r w:rsidR="00732D04">
        <w:t>;</w:t>
      </w:r>
    </w:p>
    <w:p w:rsidR="00FA3A75" w:rsidRPr="00B41011" w:rsidRDefault="00FA3A75" w:rsidP="00FA3A75">
      <w:pPr>
        <w:numPr>
          <w:ilvl w:val="0"/>
          <w:numId w:val="12"/>
        </w:numPr>
      </w:pPr>
      <w:r w:rsidRPr="00B41011">
        <w:t>Chief Planning Executive, ACT Planning and Land Authority</w:t>
      </w:r>
      <w:r w:rsidR="00732D04">
        <w:t>;</w:t>
      </w:r>
    </w:p>
    <w:p w:rsidR="00D66012" w:rsidRPr="00B41011" w:rsidRDefault="00D66012" w:rsidP="0078119F">
      <w:pPr>
        <w:numPr>
          <w:ilvl w:val="0"/>
          <w:numId w:val="12"/>
        </w:numPr>
      </w:pPr>
      <w:r>
        <w:t>Discrimination, Health Services and Disability and Community Services Commissioner</w:t>
      </w:r>
      <w:r w:rsidR="00732D04">
        <w:t>;</w:t>
      </w:r>
    </w:p>
    <w:p w:rsidR="00DC6C6D" w:rsidRDefault="00DC6C6D" w:rsidP="0078119F">
      <w:pPr>
        <w:numPr>
          <w:ilvl w:val="0"/>
          <w:numId w:val="12"/>
        </w:numPr>
      </w:pPr>
      <w:r w:rsidRPr="00B41011">
        <w:t>Electoral Commissioner</w:t>
      </w:r>
      <w:r w:rsidR="00732D04">
        <w:t>;</w:t>
      </w:r>
    </w:p>
    <w:p w:rsidR="00D66012" w:rsidRDefault="00D66012" w:rsidP="0078119F">
      <w:pPr>
        <w:numPr>
          <w:ilvl w:val="0"/>
          <w:numId w:val="12"/>
        </w:numPr>
      </w:pPr>
      <w:r>
        <w:t>President and Human Rights Commissioner</w:t>
      </w:r>
      <w:r w:rsidR="00732D04">
        <w:t>;</w:t>
      </w:r>
    </w:p>
    <w:p w:rsidR="00D66012" w:rsidRPr="00B41011" w:rsidRDefault="00D66012" w:rsidP="0078119F">
      <w:pPr>
        <w:numPr>
          <w:ilvl w:val="0"/>
          <w:numId w:val="12"/>
        </w:numPr>
      </w:pPr>
      <w:r>
        <w:t>Public Advocate and Children and Young People Commissioner</w:t>
      </w:r>
      <w:r w:rsidR="00732D04">
        <w:t>; and</w:t>
      </w:r>
    </w:p>
    <w:p w:rsidR="00DC6C6D" w:rsidRPr="00B41011" w:rsidRDefault="00DC6C6D" w:rsidP="0078119F">
      <w:pPr>
        <w:numPr>
          <w:ilvl w:val="0"/>
          <w:numId w:val="12"/>
        </w:numPr>
      </w:pPr>
      <w:r w:rsidRPr="00B41011">
        <w:t>Victims of Crime Commissioner</w:t>
      </w:r>
      <w:r w:rsidR="00732D04">
        <w:t>.</w:t>
      </w:r>
    </w:p>
    <w:p w:rsidR="0092035A" w:rsidRPr="007A0CEA" w:rsidRDefault="007A0CEA" w:rsidP="0078119F">
      <w:pPr>
        <w:spacing w:before="120" w:after="60"/>
        <w:rPr>
          <w:b/>
        </w:rPr>
      </w:pPr>
      <w:r w:rsidRPr="007A0CEA">
        <w:rPr>
          <w:b/>
        </w:rPr>
        <w:t xml:space="preserve">2015 </w:t>
      </w:r>
      <w:r>
        <w:rPr>
          <w:b/>
        </w:rPr>
        <w:t>r</w:t>
      </w:r>
      <w:r w:rsidRPr="007A0CEA">
        <w:rPr>
          <w:b/>
        </w:rPr>
        <w:t>eview</w:t>
      </w:r>
    </w:p>
    <w:p w:rsidR="00DC6C6D" w:rsidRDefault="0092035A" w:rsidP="0078119F">
      <w:pPr>
        <w:spacing w:before="120" w:after="60"/>
      </w:pPr>
      <w:r>
        <w:t>T</w:t>
      </w:r>
      <w:r w:rsidR="00DC6C6D" w:rsidRPr="001C1AE6">
        <w:t xml:space="preserve">he Tribunal’s last inquiry into </w:t>
      </w:r>
      <w:r w:rsidR="00DC6C6D">
        <w:t>salary</w:t>
      </w:r>
      <w:r w:rsidR="00DC6C6D" w:rsidRPr="001C1AE6">
        <w:t xml:space="preserve">, allowances and other entitlements for </w:t>
      </w:r>
      <w:r w:rsidR="00DC6C6D">
        <w:br/>
        <w:t>F</w:t>
      </w:r>
      <w:r w:rsidR="00DC6C6D" w:rsidRPr="001C1AE6">
        <w:t xml:space="preserve">ull-time Statutory Office Holders was in </w:t>
      </w:r>
      <w:r w:rsidR="00DC6C6D" w:rsidRPr="0078119F">
        <w:t>March 201</w:t>
      </w:r>
      <w:r w:rsidRPr="0078119F">
        <w:t>5</w:t>
      </w:r>
      <w:r w:rsidR="00DC6C6D" w:rsidRPr="0078119F">
        <w:t xml:space="preserve">.  Following the inquiry the Tribunal issued Determination </w:t>
      </w:r>
      <w:r w:rsidRPr="0078119F">
        <w:t>4 of 2015</w:t>
      </w:r>
      <w:r w:rsidR="00DC6C6D" w:rsidRPr="0078119F">
        <w:t xml:space="preserve"> </w:t>
      </w:r>
      <w:r w:rsidRPr="0078119F">
        <w:t xml:space="preserve">which </w:t>
      </w:r>
      <w:r w:rsidR="007A0CEA" w:rsidRPr="0078119F">
        <w:t xml:space="preserve">provided a 2.5% increase, and </w:t>
      </w:r>
      <w:r w:rsidRPr="0078119F">
        <w:t>commenced on 1 July 2015</w:t>
      </w:r>
      <w:r w:rsidR="00DC6C6D" w:rsidRPr="0078119F">
        <w:t>.</w:t>
      </w:r>
    </w:p>
    <w:p w:rsidR="007A0CEA" w:rsidRPr="0078119F" w:rsidRDefault="007A0CEA" w:rsidP="0078119F">
      <w:pPr>
        <w:spacing w:before="120" w:after="60"/>
        <w:rPr>
          <w:b/>
        </w:rPr>
      </w:pPr>
      <w:r w:rsidRPr="0078119F">
        <w:rPr>
          <w:b/>
        </w:rPr>
        <w:t>2016 review</w:t>
      </w:r>
    </w:p>
    <w:p w:rsidR="0092035A" w:rsidRDefault="0092035A" w:rsidP="0078119F">
      <w:pPr>
        <w:spacing w:before="120" w:after="60"/>
      </w:pPr>
      <w:r w:rsidRPr="0078119F">
        <w:t>The Tribunal called for submissions in January 2016 and inquired into the salary, allowances and other entitlements for Full-time Statutory Office Holders in March 201</w:t>
      </w:r>
      <w:r w:rsidR="00DC5108" w:rsidRPr="0078119F">
        <w:t>6</w:t>
      </w:r>
      <w:r w:rsidRPr="0078119F">
        <w:t>.  This Determination sets out the Tribunal’s decisions following that inquiry.</w:t>
      </w:r>
    </w:p>
    <w:p w:rsidR="007A0CEA" w:rsidRPr="0078119F" w:rsidRDefault="007A0CEA" w:rsidP="0078119F">
      <w:pPr>
        <w:pStyle w:val="Heading3"/>
        <w:keepLines w:val="0"/>
        <w:numPr>
          <w:ilvl w:val="0"/>
          <w:numId w:val="0"/>
        </w:numPr>
        <w:spacing w:before="120"/>
        <w:ind w:left="720" w:hanging="720"/>
        <w:rPr>
          <w:rFonts w:cs="Arial"/>
          <w:b w:val="0"/>
          <w:szCs w:val="26"/>
          <w:u w:val="single"/>
        </w:rPr>
      </w:pPr>
      <w:r w:rsidRPr="0078119F">
        <w:rPr>
          <w:rFonts w:cs="Arial"/>
          <w:b w:val="0"/>
          <w:szCs w:val="26"/>
          <w:u w:val="single"/>
        </w:rPr>
        <w:lastRenderedPageBreak/>
        <w:t>The Human Rights Commission</w:t>
      </w:r>
      <w:r w:rsidR="0078119F">
        <w:rPr>
          <w:rFonts w:cs="Arial"/>
          <w:b w:val="0"/>
          <w:szCs w:val="26"/>
          <w:u w:val="single"/>
        </w:rPr>
        <w:t xml:space="preserve"> (HRC)</w:t>
      </w:r>
    </w:p>
    <w:p w:rsidR="0078119F" w:rsidRDefault="007A0CEA" w:rsidP="0078119F">
      <w:pPr>
        <w:spacing w:before="120" w:after="60"/>
      </w:pPr>
      <w:r w:rsidRPr="0078119F">
        <w:t xml:space="preserve">On 21 December 2015 the Tribunal received a submission from the Justice and Community Safety Directorate </w:t>
      </w:r>
      <w:r w:rsidR="003D59CB" w:rsidRPr="0078119F">
        <w:t xml:space="preserve">(JACS) </w:t>
      </w:r>
      <w:r w:rsidRPr="0078119F">
        <w:t xml:space="preserve">requesting the Tribunal consider salary and entitlements for positions </w:t>
      </w:r>
      <w:r w:rsidR="000E19B1">
        <w:t>under the restructured HRC</w:t>
      </w:r>
      <w:r w:rsidRPr="0078119F">
        <w:t xml:space="preserve">. </w:t>
      </w:r>
    </w:p>
    <w:p w:rsidR="007A0CEA" w:rsidRPr="0078119F" w:rsidRDefault="007A0CEA" w:rsidP="0078119F">
      <w:pPr>
        <w:spacing w:before="120" w:after="60"/>
      </w:pPr>
      <w:r w:rsidRPr="0078119F">
        <w:t xml:space="preserve">The Tribunal met with representatives from JACS in January 2016 </w:t>
      </w:r>
      <w:r w:rsidR="0078119F">
        <w:t xml:space="preserve">where it discussed the new positions, </w:t>
      </w:r>
      <w:r w:rsidRPr="0078119F">
        <w:t>and sought further information, which was provided in a further submission dated 9 February 2016. This submission was published on the Tribunal’s website.</w:t>
      </w:r>
    </w:p>
    <w:p w:rsidR="007A0CEA" w:rsidRPr="0078119F" w:rsidRDefault="000E19B1" w:rsidP="0078119F">
      <w:pPr>
        <w:spacing w:before="120" w:after="60"/>
      </w:pPr>
      <w:r>
        <w:t>The HRC restructure</w:t>
      </w:r>
      <w:r w:rsidR="0078119F">
        <w:t xml:space="preserve"> establishes</w:t>
      </w:r>
      <w:r w:rsidR="007A0CEA" w:rsidRPr="0078119F">
        <w:t xml:space="preserve"> the following positions from 1 April 2016:</w:t>
      </w:r>
    </w:p>
    <w:p w:rsidR="007A0CEA" w:rsidRPr="0078119F" w:rsidRDefault="007A0CEA" w:rsidP="0078119F">
      <w:pPr>
        <w:numPr>
          <w:ilvl w:val="0"/>
          <w:numId w:val="12"/>
        </w:numPr>
      </w:pPr>
      <w:r w:rsidRPr="0078119F">
        <w:t>President and Human Rights Commissioner;</w:t>
      </w:r>
    </w:p>
    <w:p w:rsidR="007A0CEA" w:rsidRPr="0078119F" w:rsidRDefault="007A0CEA" w:rsidP="0078119F">
      <w:pPr>
        <w:numPr>
          <w:ilvl w:val="0"/>
          <w:numId w:val="12"/>
        </w:numPr>
      </w:pPr>
      <w:r w:rsidRPr="0078119F">
        <w:t>The Discrimination, Health Services and Disability and Community Services Commissioner;</w:t>
      </w:r>
    </w:p>
    <w:p w:rsidR="007A0CEA" w:rsidRPr="0078119F" w:rsidRDefault="007A0CEA" w:rsidP="0078119F">
      <w:pPr>
        <w:numPr>
          <w:ilvl w:val="0"/>
          <w:numId w:val="12"/>
        </w:numPr>
      </w:pPr>
      <w:r w:rsidRPr="0078119F">
        <w:t>The Public Advocate and Children and Young People Commissioner; and</w:t>
      </w:r>
    </w:p>
    <w:p w:rsidR="007A0CEA" w:rsidRPr="0078119F" w:rsidRDefault="007A0CEA" w:rsidP="0078119F">
      <w:pPr>
        <w:numPr>
          <w:ilvl w:val="0"/>
          <w:numId w:val="12"/>
        </w:numPr>
      </w:pPr>
      <w:r w:rsidRPr="0078119F">
        <w:t>The Victims of Crime Commissioner</w:t>
      </w:r>
      <w:r w:rsidR="009031DC">
        <w:t xml:space="preserve"> (as a restructured role)</w:t>
      </w:r>
      <w:r w:rsidRPr="0078119F">
        <w:t>.</w:t>
      </w:r>
    </w:p>
    <w:p w:rsidR="007A0CEA" w:rsidRPr="0078119F" w:rsidRDefault="00D66012" w:rsidP="0078119F">
      <w:pPr>
        <w:spacing w:before="120" w:after="60"/>
      </w:pPr>
      <w:r>
        <w:t>Under the restructure, t</w:t>
      </w:r>
      <w:r w:rsidR="007A0CEA" w:rsidRPr="0078119F">
        <w:t>he following positions will not exist from 31 March 2016</w:t>
      </w:r>
      <w:r w:rsidR="007612FA">
        <w:t xml:space="preserve"> (but remain remunerated</w:t>
      </w:r>
      <w:r w:rsidR="004D35A7">
        <w:t>, if occupied,</w:t>
      </w:r>
      <w:r w:rsidR="007612FA">
        <w:t xml:space="preserve"> as per Determination 4 of 2015 until that date)</w:t>
      </w:r>
      <w:r w:rsidR="007A0CEA" w:rsidRPr="0078119F">
        <w:t>:</w:t>
      </w:r>
    </w:p>
    <w:p w:rsidR="007A0CEA" w:rsidRPr="0078119F" w:rsidRDefault="007A0CEA" w:rsidP="0078119F">
      <w:pPr>
        <w:numPr>
          <w:ilvl w:val="0"/>
          <w:numId w:val="14"/>
        </w:numPr>
      </w:pPr>
      <w:r w:rsidRPr="0078119F">
        <w:t>Children and Young People Commissioner</w:t>
      </w:r>
      <w:r w:rsidR="009031DC">
        <w:t>;</w:t>
      </w:r>
    </w:p>
    <w:p w:rsidR="007A0CEA" w:rsidRPr="0078119F" w:rsidRDefault="007A0CEA" w:rsidP="0078119F">
      <w:pPr>
        <w:numPr>
          <w:ilvl w:val="0"/>
          <w:numId w:val="14"/>
        </w:numPr>
      </w:pPr>
      <w:r w:rsidRPr="0078119F">
        <w:t>Disability and Community Services Commissioner</w:t>
      </w:r>
      <w:r w:rsidR="009031DC">
        <w:t>;</w:t>
      </w:r>
    </w:p>
    <w:p w:rsidR="007A0CEA" w:rsidRPr="0078119F" w:rsidRDefault="007A0CEA" w:rsidP="0078119F">
      <w:pPr>
        <w:numPr>
          <w:ilvl w:val="0"/>
          <w:numId w:val="14"/>
        </w:numPr>
      </w:pPr>
      <w:r w:rsidRPr="0078119F">
        <w:t>Discrimination Commissioner</w:t>
      </w:r>
      <w:r w:rsidR="009031DC">
        <w:t>;</w:t>
      </w:r>
    </w:p>
    <w:p w:rsidR="007A0CEA" w:rsidRPr="0078119F" w:rsidRDefault="007A0CEA" w:rsidP="0078119F">
      <w:pPr>
        <w:numPr>
          <w:ilvl w:val="0"/>
          <w:numId w:val="14"/>
        </w:numPr>
      </w:pPr>
      <w:r w:rsidRPr="0078119F">
        <w:t>Domestic Violence Project Coordinator</w:t>
      </w:r>
      <w:r w:rsidR="009031DC">
        <w:t>;</w:t>
      </w:r>
    </w:p>
    <w:p w:rsidR="007A0CEA" w:rsidRPr="0078119F" w:rsidRDefault="007A0CEA" w:rsidP="0078119F">
      <w:pPr>
        <w:numPr>
          <w:ilvl w:val="0"/>
          <w:numId w:val="14"/>
        </w:numPr>
      </w:pPr>
      <w:r w:rsidRPr="0078119F">
        <w:t>Health Services Commissioner</w:t>
      </w:r>
      <w:r w:rsidR="009031DC">
        <w:t>;</w:t>
      </w:r>
    </w:p>
    <w:p w:rsidR="007A0CEA" w:rsidRPr="0078119F" w:rsidRDefault="007A0CEA" w:rsidP="0078119F">
      <w:pPr>
        <w:numPr>
          <w:ilvl w:val="0"/>
          <w:numId w:val="14"/>
        </w:numPr>
      </w:pPr>
      <w:r w:rsidRPr="0078119F">
        <w:t>Human Rights Commissioner</w:t>
      </w:r>
      <w:r w:rsidR="009031DC">
        <w:t>;</w:t>
      </w:r>
    </w:p>
    <w:p w:rsidR="007A0CEA" w:rsidRPr="0078119F" w:rsidRDefault="007A0CEA" w:rsidP="0078119F">
      <w:pPr>
        <w:numPr>
          <w:ilvl w:val="0"/>
          <w:numId w:val="14"/>
        </w:numPr>
      </w:pPr>
      <w:r w:rsidRPr="0078119F">
        <w:t>Public Advocate</w:t>
      </w:r>
      <w:r w:rsidR="009031DC">
        <w:t>; and</w:t>
      </w:r>
    </w:p>
    <w:p w:rsidR="007A0CEA" w:rsidRPr="0078119F" w:rsidRDefault="007A0CEA" w:rsidP="0078119F">
      <w:pPr>
        <w:numPr>
          <w:ilvl w:val="0"/>
          <w:numId w:val="14"/>
        </w:numPr>
      </w:pPr>
      <w:r w:rsidRPr="0078119F">
        <w:t>Victims of Crime Commissioner</w:t>
      </w:r>
      <w:r w:rsidR="009031DC">
        <w:t>.</w:t>
      </w:r>
    </w:p>
    <w:p w:rsidR="007A0CEA" w:rsidRPr="007A0CEA" w:rsidRDefault="007A0CEA" w:rsidP="0078119F">
      <w:pPr>
        <w:spacing w:before="120" w:after="60"/>
        <w:rPr>
          <w:u w:val="single"/>
        </w:rPr>
      </w:pPr>
      <w:r>
        <w:rPr>
          <w:u w:val="single"/>
        </w:rPr>
        <w:t>Legal Aid (ACT)</w:t>
      </w:r>
    </w:p>
    <w:p w:rsidR="007A0CEA" w:rsidRDefault="007A0CEA" w:rsidP="0078119F">
      <w:pPr>
        <w:spacing w:before="120" w:after="60"/>
      </w:pPr>
      <w:r>
        <w:t>The Chief Executive Office</w:t>
      </w:r>
      <w:r w:rsidR="003D59CB">
        <w:t>r</w:t>
      </w:r>
      <w:r>
        <w:t xml:space="preserve"> </w:t>
      </w:r>
      <w:r w:rsidR="003D59CB">
        <w:t xml:space="preserve">(CEO) </w:t>
      </w:r>
      <w:r>
        <w:t xml:space="preserve">and </w:t>
      </w:r>
      <w:r w:rsidR="003D59CB">
        <w:t xml:space="preserve">the </w:t>
      </w:r>
      <w:r w:rsidR="004D35A7">
        <w:t xml:space="preserve">Assistant </w:t>
      </w:r>
      <w:r>
        <w:t>Chief Executive Officer</w:t>
      </w:r>
      <w:r w:rsidR="003D59CB">
        <w:t xml:space="preserve"> (</w:t>
      </w:r>
      <w:r w:rsidR="004D35A7">
        <w:t>A</w:t>
      </w:r>
      <w:r w:rsidR="003D59CB">
        <w:t>CEO)</w:t>
      </w:r>
      <w:r>
        <w:t xml:space="preserve"> provided a submission for the review. At the request of Legal Aid, the Tribunal decided not to publish the submission as it </w:t>
      </w:r>
      <w:r w:rsidR="004D35A7">
        <w:t xml:space="preserve">included material provided </w:t>
      </w:r>
      <w:r w:rsidR="004D35A7">
        <w:rPr>
          <w:i/>
        </w:rPr>
        <w:t>in confidence</w:t>
      </w:r>
      <w:r>
        <w:t>.</w:t>
      </w:r>
    </w:p>
    <w:p w:rsidR="00DC6C6D" w:rsidRPr="0040603C" w:rsidRDefault="00DC6C6D" w:rsidP="0078119F">
      <w:pPr>
        <w:pStyle w:val="Heading3"/>
        <w:keepLines w:val="0"/>
        <w:numPr>
          <w:ilvl w:val="0"/>
          <w:numId w:val="0"/>
        </w:numPr>
        <w:spacing w:before="120"/>
        <w:ind w:left="720" w:hanging="720"/>
        <w:rPr>
          <w:rFonts w:cs="Arial"/>
          <w:szCs w:val="26"/>
        </w:rPr>
      </w:pPr>
      <w:r w:rsidRPr="0040603C">
        <w:rPr>
          <w:rFonts w:cs="Arial"/>
          <w:szCs w:val="26"/>
        </w:rPr>
        <w:t xml:space="preserve">Changes to </w:t>
      </w:r>
      <w:r>
        <w:t>salary</w:t>
      </w:r>
      <w:r w:rsidRPr="0040603C">
        <w:rPr>
          <w:rFonts w:cs="Arial"/>
          <w:szCs w:val="26"/>
        </w:rPr>
        <w:t>, allowances and other entitlements and reasoning</w:t>
      </w:r>
    </w:p>
    <w:p w:rsidR="00DC6C6D" w:rsidRDefault="00DC6C6D" w:rsidP="0078119F">
      <w:pPr>
        <w:spacing w:before="120" w:after="60"/>
      </w:pPr>
      <w:r>
        <w:t>The Tribunal considered information from a number of sources as part of its inquiry.  On this occasion the Tribunal considered:</w:t>
      </w:r>
    </w:p>
    <w:p w:rsidR="00DC6C6D" w:rsidRDefault="00DC6C6D" w:rsidP="0078119F">
      <w:pPr>
        <w:numPr>
          <w:ilvl w:val="0"/>
          <w:numId w:val="12"/>
        </w:numPr>
        <w:spacing w:before="120" w:after="60"/>
      </w:pPr>
      <w:r>
        <w:t xml:space="preserve">local and national economic indicators, in particular the Wage Price Index, Labour Force data, Average Weekly Earnings and Consumer Price Index; </w:t>
      </w:r>
    </w:p>
    <w:p w:rsidR="00DC6C6D" w:rsidRDefault="00DC6C6D" w:rsidP="0078119F">
      <w:pPr>
        <w:numPr>
          <w:ilvl w:val="0"/>
          <w:numId w:val="12"/>
        </w:numPr>
        <w:spacing w:before="120" w:after="60"/>
      </w:pPr>
      <w:r>
        <w:t>Economic factors specific to the ACT, including current and forward projections;</w:t>
      </w:r>
    </w:p>
    <w:p w:rsidR="00DC6C6D" w:rsidRDefault="0012152F" w:rsidP="0078119F">
      <w:pPr>
        <w:numPr>
          <w:ilvl w:val="0"/>
          <w:numId w:val="12"/>
        </w:numPr>
        <w:spacing w:before="120" w:after="60"/>
      </w:pPr>
      <w:r>
        <w:t xml:space="preserve">Work value and </w:t>
      </w:r>
      <w:r w:rsidR="00DC6C6D">
        <w:t xml:space="preserve">relativities with the remuneration of ACT Public Service executives; </w:t>
      </w:r>
    </w:p>
    <w:p w:rsidR="00DC6C6D" w:rsidRDefault="00DC6C6D" w:rsidP="0078119F">
      <w:pPr>
        <w:numPr>
          <w:ilvl w:val="0"/>
          <w:numId w:val="12"/>
        </w:numPr>
        <w:spacing w:before="120" w:after="60"/>
      </w:pPr>
      <w:r>
        <w:t>comparisons with Full-time Statutory Office Holders in other jurisdictions; and</w:t>
      </w:r>
    </w:p>
    <w:p w:rsidR="00DC6C6D" w:rsidRDefault="00DC6C6D" w:rsidP="0078119F">
      <w:pPr>
        <w:numPr>
          <w:ilvl w:val="0"/>
          <w:numId w:val="12"/>
        </w:numPr>
        <w:spacing w:before="120" w:after="60"/>
      </w:pPr>
      <w:proofErr w:type="gramStart"/>
      <w:r>
        <w:t>oral</w:t>
      </w:r>
      <w:proofErr w:type="gramEnd"/>
      <w:r>
        <w:t xml:space="preserve"> and written submissions received including the ACT Government </w:t>
      </w:r>
      <w:r w:rsidR="003D59CB">
        <w:t>S</w:t>
      </w:r>
      <w:r>
        <w:t>ubmission</w:t>
      </w:r>
      <w:r w:rsidR="003D59CB">
        <w:t>, the JACS Submissions and the Legal Aid Submission</w:t>
      </w:r>
      <w:r>
        <w:t>.</w:t>
      </w:r>
    </w:p>
    <w:p w:rsidR="00134E9D" w:rsidRDefault="00134E9D" w:rsidP="0078119F">
      <w:pPr>
        <w:spacing w:before="120" w:after="60"/>
      </w:pPr>
      <w:r w:rsidRPr="0078119F">
        <w:t>Having balanced these considerations</w:t>
      </w:r>
      <w:r w:rsidR="009468BC" w:rsidRPr="0078119F">
        <w:t>,</w:t>
      </w:r>
      <w:r w:rsidRPr="0078119F">
        <w:t xml:space="preserve"> the Tribunal decided to increase the salary for Full</w:t>
      </w:r>
      <w:r w:rsidRPr="0078119F">
        <w:noBreakHyphen/>
        <w:t xml:space="preserve">time Statutory Office Holders by 2.5% </w:t>
      </w:r>
      <w:r w:rsidRPr="0078119F">
        <w:rPr>
          <w:szCs w:val="24"/>
        </w:rPr>
        <w:t>per annum</w:t>
      </w:r>
      <w:r w:rsidR="00F84806" w:rsidRPr="0078119F">
        <w:rPr>
          <w:szCs w:val="24"/>
        </w:rPr>
        <w:t xml:space="preserve"> with effect from 1 July 2016</w:t>
      </w:r>
      <w:r w:rsidRPr="0078119F">
        <w:t>.</w:t>
      </w:r>
    </w:p>
    <w:p w:rsidR="00732D04" w:rsidRDefault="00732D04" w:rsidP="0078119F">
      <w:pPr>
        <w:spacing w:before="120" w:after="60"/>
        <w:rPr>
          <w:rFonts w:cs="Arial"/>
          <w:szCs w:val="26"/>
          <w:u w:val="single"/>
        </w:rPr>
      </w:pPr>
    </w:p>
    <w:p w:rsidR="003D59CB" w:rsidRDefault="003D59CB" w:rsidP="0078119F">
      <w:pPr>
        <w:spacing w:before="120" w:after="60"/>
        <w:rPr>
          <w:rFonts w:cs="Arial"/>
          <w:szCs w:val="26"/>
          <w:u w:val="single"/>
        </w:rPr>
      </w:pPr>
      <w:r>
        <w:rPr>
          <w:rFonts w:cs="Arial"/>
          <w:szCs w:val="26"/>
          <w:u w:val="single"/>
        </w:rPr>
        <w:lastRenderedPageBreak/>
        <w:t>Human Rights Commission</w:t>
      </w:r>
    </w:p>
    <w:p w:rsidR="004C4847" w:rsidRPr="0078119F" w:rsidRDefault="004C4847" w:rsidP="0078119F">
      <w:pPr>
        <w:spacing w:before="120" w:after="60"/>
      </w:pPr>
      <w:r w:rsidRPr="0078119F">
        <w:t xml:space="preserve">The Tribunal considered the JACS Submissions for positions </w:t>
      </w:r>
      <w:r w:rsidR="000E19B1">
        <w:t>under the restructured HRC,</w:t>
      </w:r>
      <w:r w:rsidR="0078119F">
        <w:t xml:space="preserve"> </w:t>
      </w:r>
      <w:r w:rsidR="000E19B1">
        <w:t>and determined that</w:t>
      </w:r>
      <w:r w:rsidRPr="0078119F">
        <w:t xml:space="preserve"> from 1 April 2016, the salary for the position of</w:t>
      </w:r>
      <w:r w:rsidR="00DF10B8">
        <w:t xml:space="preserve"> the</w:t>
      </w:r>
      <w:r w:rsidRPr="0078119F">
        <w:t xml:space="preserve">: </w:t>
      </w:r>
    </w:p>
    <w:p w:rsidR="004C4847" w:rsidRPr="0078119F" w:rsidRDefault="004C4847" w:rsidP="000E19B1">
      <w:pPr>
        <w:numPr>
          <w:ilvl w:val="0"/>
          <w:numId w:val="12"/>
        </w:numPr>
      </w:pPr>
      <w:r w:rsidRPr="0078119F">
        <w:t>President and Human Rights Commissioner will be $210,790 per annum;</w:t>
      </w:r>
    </w:p>
    <w:p w:rsidR="004C4847" w:rsidRPr="0078119F" w:rsidRDefault="004C4847" w:rsidP="000E19B1">
      <w:pPr>
        <w:numPr>
          <w:ilvl w:val="0"/>
          <w:numId w:val="12"/>
        </w:numPr>
      </w:pPr>
      <w:r w:rsidRPr="0078119F">
        <w:t>Discrimination, Health Services and Disability and Community Services Commissioner will be $184,000 per annum;</w:t>
      </w:r>
    </w:p>
    <w:p w:rsidR="004C4847" w:rsidRPr="0078119F" w:rsidRDefault="004C4847" w:rsidP="000E19B1">
      <w:pPr>
        <w:numPr>
          <w:ilvl w:val="0"/>
          <w:numId w:val="12"/>
        </w:numPr>
      </w:pPr>
      <w:r w:rsidRPr="0078119F">
        <w:t>Public Advocate and Children and Young People Commissioner will be $184,000 per annum; and</w:t>
      </w:r>
    </w:p>
    <w:p w:rsidR="00E846BF" w:rsidRPr="0078119F" w:rsidRDefault="004C4847" w:rsidP="000E19B1">
      <w:pPr>
        <w:numPr>
          <w:ilvl w:val="0"/>
          <w:numId w:val="12"/>
        </w:numPr>
      </w:pPr>
      <w:r w:rsidRPr="0078119F">
        <w:t>Victims of Crime Commissioner will be $184,000 per annum.</w:t>
      </w:r>
    </w:p>
    <w:p w:rsidR="00E846BF" w:rsidRPr="0078119F" w:rsidRDefault="00E846BF" w:rsidP="0078119F">
      <w:pPr>
        <w:spacing w:before="120" w:after="60"/>
      </w:pPr>
      <w:r w:rsidRPr="0078119F">
        <w:t xml:space="preserve">The following positions have not been reviewed as the positions will not exist when this determination comes into effect </w:t>
      </w:r>
      <w:r w:rsidR="00D66012">
        <w:t>as outlined at 1.1 of this Determination</w:t>
      </w:r>
      <w:r w:rsidRPr="0078119F">
        <w:t>:</w:t>
      </w:r>
    </w:p>
    <w:p w:rsidR="00E846BF" w:rsidRPr="0078119F" w:rsidRDefault="00E846BF" w:rsidP="000E19B1">
      <w:pPr>
        <w:numPr>
          <w:ilvl w:val="0"/>
          <w:numId w:val="14"/>
        </w:numPr>
      </w:pPr>
      <w:r w:rsidRPr="0078119F">
        <w:t>Children and Young People Commissioner</w:t>
      </w:r>
      <w:r w:rsidR="00732D04">
        <w:t>;</w:t>
      </w:r>
    </w:p>
    <w:p w:rsidR="00E846BF" w:rsidRPr="0078119F" w:rsidRDefault="00E846BF" w:rsidP="000E19B1">
      <w:pPr>
        <w:numPr>
          <w:ilvl w:val="0"/>
          <w:numId w:val="14"/>
        </w:numPr>
      </w:pPr>
      <w:r w:rsidRPr="0078119F">
        <w:t>Disability and Community Services Commissioner</w:t>
      </w:r>
      <w:r w:rsidR="00732D04">
        <w:t>;</w:t>
      </w:r>
    </w:p>
    <w:p w:rsidR="00E846BF" w:rsidRPr="0078119F" w:rsidRDefault="00E846BF" w:rsidP="000E19B1">
      <w:pPr>
        <w:numPr>
          <w:ilvl w:val="0"/>
          <w:numId w:val="14"/>
        </w:numPr>
      </w:pPr>
      <w:r w:rsidRPr="0078119F">
        <w:t>Discrimination Commissioner</w:t>
      </w:r>
      <w:r w:rsidR="00732D04">
        <w:t>;</w:t>
      </w:r>
    </w:p>
    <w:p w:rsidR="00E846BF" w:rsidRPr="0078119F" w:rsidRDefault="00E846BF" w:rsidP="000E19B1">
      <w:pPr>
        <w:numPr>
          <w:ilvl w:val="0"/>
          <w:numId w:val="14"/>
        </w:numPr>
      </w:pPr>
      <w:r w:rsidRPr="0078119F">
        <w:t>Domestic Violence Project Coordinator</w:t>
      </w:r>
      <w:r w:rsidR="00732D04">
        <w:t>;</w:t>
      </w:r>
    </w:p>
    <w:p w:rsidR="00E846BF" w:rsidRPr="0078119F" w:rsidRDefault="00E846BF" w:rsidP="000E19B1">
      <w:pPr>
        <w:numPr>
          <w:ilvl w:val="0"/>
          <w:numId w:val="14"/>
        </w:numPr>
      </w:pPr>
      <w:r w:rsidRPr="0078119F">
        <w:t>Health Services Commissioner</w:t>
      </w:r>
      <w:r w:rsidR="00732D04">
        <w:t>;</w:t>
      </w:r>
    </w:p>
    <w:p w:rsidR="00E846BF" w:rsidRPr="0078119F" w:rsidRDefault="00E846BF" w:rsidP="000E19B1">
      <w:pPr>
        <w:numPr>
          <w:ilvl w:val="0"/>
          <w:numId w:val="14"/>
        </w:numPr>
      </w:pPr>
      <w:r w:rsidRPr="0078119F">
        <w:t>Human Rights Commissioner</w:t>
      </w:r>
      <w:r w:rsidR="00732D04">
        <w:t>; and</w:t>
      </w:r>
    </w:p>
    <w:p w:rsidR="00E846BF" w:rsidRPr="0078119F" w:rsidRDefault="00E846BF" w:rsidP="00031CFC">
      <w:pPr>
        <w:numPr>
          <w:ilvl w:val="0"/>
          <w:numId w:val="14"/>
        </w:numPr>
      </w:pPr>
      <w:r w:rsidRPr="0078119F">
        <w:t>Public Advocate</w:t>
      </w:r>
      <w:r w:rsidR="00732D04">
        <w:t>.</w:t>
      </w:r>
    </w:p>
    <w:p w:rsidR="003D59CB" w:rsidRPr="0078119F" w:rsidRDefault="003D59CB" w:rsidP="0078119F">
      <w:pPr>
        <w:spacing w:before="120" w:after="60"/>
        <w:rPr>
          <w:u w:val="single"/>
        </w:rPr>
      </w:pPr>
      <w:r w:rsidRPr="0078119F">
        <w:rPr>
          <w:u w:val="single"/>
        </w:rPr>
        <w:t>Legal Aid (ACT)</w:t>
      </w:r>
    </w:p>
    <w:p w:rsidR="00621F10" w:rsidRPr="0078119F" w:rsidRDefault="00621F10" w:rsidP="0078119F">
      <w:pPr>
        <w:spacing w:before="120" w:after="60"/>
      </w:pPr>
      <w:r w:rsidRPr="0078119F">
        <w:t xml:space="preserve">The tribunal noted the changes in the scope of work of Legal Aid </w:t>
      </w:r>
      <w:r w:rsidR="00B41011" w:rsidRPr="0078119F">
        <w:t xml:space="preserve">since 2003 </w:t>
      </w:r>
      <w:r w:rsidRPr="0078119F">
        <w:t>and the increases in work value attached to the positions</w:t>
      </w:r>
      <w:r w:rsidR="00B41011" w:rsidRPr="0078119F">
        <w:t xml:space="preserve"> of CEO and </w:t>
      </w:r>
      <w:r w:rsidR="00DF10B8">
        <w:t>A</w:t>
      </w:r>
      <w:r w:rsidR="00B41011" w:rsidRPr="0078119F">
        <w:t>CEO. The tribunal d</w:t>
      </w:r>
      <w:r w:rsidRPr="0078119F">
        <w:t>etermined that</w:t>
      </w:r>
      <w:r w:rsidR="003D59CB" w:rsidRPr="0078119F">
        <w:t xml:space="preserve"> from 1 July 2016</w:t>
      </w:r>
      <w:r w:rsidR="00D66012">
        <w:t xml:space="preserve"> the salary of the</w:t>
      </w:r>
      <w:r w:rsidRPr="0078119F">
        <w:t>:</w:t>
      </w:r>
    </w:p>
    <w:p w:rsidR="00621F10" w:rsidRPr="0078119F" w:rsidRDefault="00073FA6" w:rsidP="000E19B1">
      <w:pPr>
        <w:numPr>
          <w:ilvl w:val="0"/>
          <w:numId w:val="13"/>
        </w:numPr>
      </w:pPr>
      <w:r w:rsidRPr="0078119F">
        <w:t>CEO, Legal Aid will be $261,174 per annum; and</w:t>
      </w:r>
    </w:p>
    <w:p w:rsidR="00073FA6" w:rsidRPr="0078119F" w:rsidRDefault="00DF10B8" w:rsidP="000E19B1">
      <w:pPr>
        <w:numPr>
          <w:ilvl w:val="0"/>
          <w:numId w:val="13"/>
        </w:numPr>
      </w:pPr>
      <w:r>
        <w:t>A</w:t>
      </w:r>
      <w:r w:rsidR="00073FA6" w:rsidRPr="0078119F">
        <w:t>CEO, Legal Aid will be $200,993 per annum</w:t>
      </w:r>
      <w:r w:rsidR="003D59CB" w:rsidRPr="0078119F">
        <w:t>.</w:t>
      </w:r>
      <w:r w:rsidR="00073FA6" w:rsidRPr="0078119F">
        <w:t xml:space="preserve"> </w:t>
      </w:r>
    </w:p>
    <w:p w:rsidR="00675113" w:rsidRPr="0078119F" w:rsidRDefault="00675113" w:rsidP="0078119F">
      <w:pPr>
        <w:spacing w:before="120" w:after="60"/>
        <w:rPr>
          <w:u w:val="single"/>
        </w:rPr>
      </w:pPr>
      <w:r w:rsidRPr="0078119F">
        <w:rPr>
          <w:u w:val="single"/>
        </w:rPr>
        <w:t>Position of Director, Canberra Institute of Technology</w:t>
      </w:r>
      <w:r w:rsidR="00D66012">
        <w:rPr>
          <w:u w:val="single"/>
        </w:rPr>
        <w:t xml:space="preserve"> (CIT)</w:t>
      </w:r>
    </w:p>
    <w:p w:rsidR="00675113" w:rsidRPr="0078119F" w:rsidRDefault="00675113" w:rsidP="0078119F">
      <w:pPr>
        <w:spacing w:before="120" w:after="60"/>
      </w:pPr>
      <w:r w:rsidRPr="0078119F">
        <w:t xml:space="preserve">Further to Determination 14 of 2015, the Tribunal </w:t>
      </w:r>
      <w:r w:rsidR="00D66012">
        <w:t xml:space="preserve">replaced the position of Director, CIT with </w:t>
      </w:r>
      <w:r w:rsidRPr="0078119F">
        <w:t xml:space="preserve">the position of Chief Executive Officer, </w:t>
      </w:r>
      <w:r w:rsidR="00D66012">
        <w:t>CIT</w:t>
      </w:r>
      <w:r w:rsidRPr="0078119F">
        <w:t xml:space="preserve"> </w:t>
      </w:r>
      <w:r w:rsidR="00D66012">
        <w:t>in</w:t>
      </w:r>
      <w:r w:rsidRPr="0078119F">
        <w:t xml:space="preserve"> </w:t>
      </w:r>
      <w:r w:rsidR="000E19B1">
        <w:t>this</w:t>
      </w:r>
      <w:r w:rsidRPr="0078119F">
        <w:t xml:space="preserve"> determination</w:t>
      </w:r>
      <w:r w:rsidR="00DF10B8">
        <w:t xml:space="preserve"> (following appropriate referral under the </w:t>
      </w:r>
      <w:r w:rsidR="00DF10B8">
        <w:rPr>
          <w:i/>
        </w:rPr>
        <w:t>Remuneration Tribunal Act 1995</w:t>
      </w:r>
      <w:r w:rsidR="00DF10B8">
        <w:t>)</w:t>
      </w:r>
      <w:bookmarkStart w:id="1" w:name="_GoBack"/>
      <w:bookmarkEnd w:id="1"/>
      <w:r w:rsidRPr="0078119F">
        <w:t>, and will revoke Determination 14 of 2015 accordingly.</w:t>
      </w:r>
    </w:p>
    <w:p w:rsidR="00675113" w:rsidRPr="0078119F" w:rsidRDefault="00675113" w:rsidP="00DC6C6D">
      <w:pPr>
        <w:spacing w:after="160"/>
      </w:pPr>
    </w:p>
    <w:p w:rsidR="00DC6C6D" w:rsidRPr="0078119F" w:rsidRDefault="00DC6C6D" w:rsidP="00DC6C6D">
      <w:pPr>
        <w:ind w:left="360"/>
        <w:jc w:val="right"/>
        <w:rPr>
          <w:szCs w:val="24"/>
        </w:rPr>
      </w:pPr>
      <w:r w:rsidRPr="0078119F">
        <w:rPr>
          <w:szCs w:val="24"/>
        </w:rPr>
        <w:t>ACT Remuneration Tribunal</w:t>
      </w:r>
    </w:p>
    <w:p w:rsidR="00DC6C6D" w:rsidRDefault="007B3033" w:rsidP="00DC6C6D">
      <w:pPr>
        <w:ind w:left="360"/>
        <w:jc w:val="right"/>
        <w:rPr>
          <w:szCs w:val="24"/>
        </w:rPr>
      </w:pPr>
      <w:r>
        <w:rPr>
          <w:szCs w:val="24"/>
        </w:rPr>
        <w:t>April</w:t>
      </w:r>
      <w:r w:rsidRPr="0078119F">
        <w:rPr>
          <w:szCs w:val="24"/>
        </w:rPr>
        <w:t xml:space="preserve"> </w:t>
      </w:r>
      <w:r w:rsidR="00F84806" w:rsidRPr="0078119F">
        <w:rPr>
          <w:szCs w:val="24"/>
        </w:rPr>
        <w:t>2016</w:t>
      </w:r>
    </w:p>
    <w:p w:rsidR="0092035A" w:rsidRDefault="0092035A" w:rsidP="00DC6C6D">
      <w:pPr>
        <w:ind w:left="360"/>
        <w:jc w:val="right"/>
        <w:rPr>
          <w:szCs w:val="24"/>
        </w:rPr>
      </w:pPr>
    </w:p>
    <w:p w:rsidR="00DC6C6D" w:rsidRPr="003B1A08" w:rsidRDefault="00DC6C6D" w:rsidP="00DC6C6D"/>
    <w:p w:rsidR="00DC6C6D" w:rsidRPr="003B1A08" w:rsidRDefault="00DC6C6D" w:rsidP="00DC6C6D">
      <w:pPr>
        <w:spacing w:before="120"/>
        <w:rPr>
          <w:rFonts w:cs="Arial"/>
        </w:rPr>
        <w:sectPr w:rsidR="00DC6C6D" w:rsidRPr="003B1A08" w:rsidSect="00DC6C6D">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440" w:right="1440" w:bottom="1440" w:left="1440" w:header="720" w:footer="720" w:gutter="0"/>
          <w:cols w:space="720"/>
          <w:docGrid w:linePitch="326"/>
        </w:sectPr>
      </w:pPr>
    </w:p>
    <w:p w:rsidR="0092035A" w:rsidRDefault="001D1882" w:rsidP="0092035A">
      <w:pPr>
        <w:keepNext/>
        <w:spacing w:before="240" w:after="60"/>
        <w:outlineLvl w:val="2"/>
        <w:rPr>
          <w:rFonts w:ascii="Arial" w:hAnsi="Arial" w:cs="Arial"/>
          <w:b/>
          <w:bCs/>
          <w:szCs w:val="26"/>
        </w:rPr>
      </w:pPr>
      <w:r>
        <w:rPr>
          <w:rFonts w:ascii="Arial" w:hAnsi="Arial" w:cs="Arial"/>
          <w:b/>
          <w:noProof/>
          <w:szCs w:val="26"/>
          <w:lang w:eastAsia="en-AU"/>
        </w:rPr>
        <w:lastRenderedPageBreak/>
        <w:drawing>
          <wp:inline distT="0" distB="0" distL="0" distR="0">
            <wp:extent cx="1016000" cy="931545"/>
            <wp:effectExtent l="0" t="0" r="0" b="8255"/>
            <wp:docPr id="2" name="Picture 1" descr="Description: 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 Government Logo"/>
                    <pic:cNvPicPr>
                      <a:picLocks noChangeAspect="1" noChangeArrowheads="1"/>
                    </pic:cNvPicPr>
                  </pic:nvPicPr>
                  <pic:blipFill>
                    <a:blip r:embed="rId9">
                      <a:lum contrast="40000"/>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44220"/>
                    <a:stretch>
                      <a:fillRect/>
                    </a:stretch>
                  </pic:blipFill>
                  <pic:spPr bwMode="auto">
                    <a:xfrm>
                      <a:off x="0" y="0"/>
                      <a:ext cx="1016000" cy="931545"/>
                    </a:xfrm>
                    <a:prstGeom prst="rect">
                      <a:avLst/>
                    </a:prstGeom>
                    <a:noFill/>
                    <a:ln>
                      <a:noFill/>
                    </a:ln>
                  </pic:spPr>
                </pic:pic>
              </a:graphicData>
            </a:graphic>
          </wp:inline>
        </w:drawing>
      </w:r>
      <w:r w:rsidR="00DC6C6D" w:rsidRPr="00DE55B3">
        <w:rPr>
          <w:rFonts w:ascii="Arial" w:hAnsi="Arial" w:cs="Arial"/>
          <w:b/>
          <w:bCs/>
          <w:noProof/>
          <w:szCs w:val="26"/>
          <w:lang w:eastAsia="en-AU"/>
        </w:rPr>
        <w:t xml:space="preserve">        </w:t>
      </w:r>
      <w:r w:rsidR="00DC6C6D" w:rsidRPr="00DE55B3">
        <w:rPr>
          <w:rFonts w:ascii="Arial" w:hAnsi="Arial" w:cs="Arial"/>
          <w:b/>
          <w:bCs/>
          <w:noProof/>
          <w:szCs w:val="26"/>
          <w:lang w:eastAsia="en-AU"/>
        </w:rPr>
        <w:tab/>
      </w:r>
      <w:r w:rsidR="00DC6C6D" w:rsidRPr="00DE55B3">
        <w:rPr>
          <w:rFonts w:ascii="Arial" w:hAnsi="Arial" w:cs="Arial"/>
          <w:b/>
          <w:bCs/>
          <w:noProof/>
          <w:szCs w:val="26"/>
          <w:lang w:eastAsia="en-AU"/>
        </w:rPr>
        <w:tab/>
        <w:t xml:space="preserve">     </w:t>
      </w:r>
      <w:r w:rsidR="00DC6C6D" w:rsidRPr="00DE55B3">
        <w:rPr>
          <w:rFonts w:ascii="Arial" w:hAnsi="Arial" w:cs="Arial"/>
          <w:b/>
          <w:bCs/>
          <w:szCs w:val="26"/>
        </w:rPr>
        <w:t>Australian Capital Territory Remuneration Tribunal</w:t>
      </w:r>
    </w:p>
    <w:p w:rsidR="00675113" w:rsidRDefault="00675113" w:rsidP="00675113">
      <w:pPr>
        <w:pStyle w:val="Heading1"/>
        <w:keepLines/>
        <w:pageBreakBefore w:val="0"/>
        <w:pBdr>
          <w:bottom w:val="none" w:sz="0" w:space="0" w:color="auto"/>
        </w:pBdr>
        <w:spacing w:before="240"/>
      </w:pPr>
      <w:r w:rsidRPr="00F215BD">
        <w:t xml:space="preserve">Determination </w:t>
      </w:r>
      <w:r w:rsidR="00647F0A">
        <w:t>4</w:t>
      </w:r>
      <w:r w:rsidRPr="007A0CEA">
        <w:t xml:space="preserve"> of 2016</w:t>
      </w:r>
    </w:p>
    <w:p w:rsidR="00675113" w:rsidRPr="00DC6C6D" w:rsidRDefault="00675113" w:rsidP="00675113">
      <w:pPr>
        <w:pStyle w:val="Heading1"/>
        <w:keepLines/>
        <w:pageBreakBefore w:val="0"/>
        <w:pBdr>
          <w:bottom w:val="none" w:sz="0" w:space="0" w:color="auto"/>
        </w:pBdr>
        <w:spacing w:before="240"/>
      </w:pPr>
      <w:r>
        <w:t>Full- Time Statutory Office Holders</w:t>
      </w:r>
    </w:p>
    <w:p w:rsidR="00DC6C6D" w:rsidRPr="003B1A08" w:rsidRDefault="00DC6C6D" w:rsidP="00DC6C6D">
      <w:pPr>
        <w:pStyle w:val="madeunder"/>
        <w:spacing w:before="240" w:after="120"/>
      </w:pPr>
      <w:proofErr w:type="gramStart"/>
      <w:r w:rsidRPr="003B1A08">
        <w:t>made</w:t>
      </w:r>
      <w:proofErr w:type="gramEnd"/>
      <w:r w:rsidRPr="003B1A08">
        <w:t xml:space="preserve"> under the </w:t>
      </w:r>
    </w:p>
    <w:p w:rsidR="00DC6C6D" w:rsidRPr="003B1A08" w:rsidRDefault="00DC6C6D" w:rsidP="00DC6C6D">
      <w:pPr>
        <w:pStyle w:val="CoverActName"/>
        <w:rPr>
          <w:rFonts w:ascii="Calibri" w:hAnsi="Calibri" w:cs="Arial"/>
        </w:rPr>
      </w:pPr>
      <w:r w:rsidRPr="003B1A08">
        <w:rPr>
          <w:rFonts w:ascii="Calibri" w:hAnsi="Calibri" w:cs="Arial"/>
        </w:rPr>
        <w:t xml:space="preserve">Remuneration Tribunal Act 1995, section </w:t>
      </w:r>
      <w:r>
        <w:rPr>
          <w:rFonts w:ascii="Calibri" w:hAnsi="Calibri" w:cs="Arial"/>
        </w:rPr>
        <w:t>10</w:t>
      </w:r>
      <w:r w:rsidRPr="003B1A08">
        <w:rPr>
          <w:rFonts w:ascii="Calibri" w:hAnsi="Calibri" w:cs="Arial"/>
        </w:rPr>
        <w:t xml:space="preserve"> (</w:t>
      </w:r>
      <w:r w:rsidRPr="00641CB6">
        <w:rPr>
          <w:rFonts w:ascii="Calibri" w:hAnsi="Calibri" w:cs="Arial"/>
        </w:rPr>
        <w:t>Inquiries about holders of certain positions</w:t>
      </w:r>
      <w:r>
        <w:rPr>
          <w:rFonts w:ascii="Calibri" w:hAnsi="Calibri" w:cs="Arial"/>
        </w:rPr>
        <w:t>)</w:t>
      </w:r>
    </w:p>
    <w:p w:rsidR="00DC6C6D" w:rsidRPr="003B1A08" w:rsidRDefault="00DC6C6D" w:rsidP="00DC6C6D">
      <w:pPr>
        <w:pStyle w:val="CoverActName"/>
      </w:pPr>
    </w:p>
    <w:p w:rsidR="00DC6C6D" w:rsidRPr="003B1A08" w:rsidRDefault="00DC6C6D" w:rsidP="00DC6C6D">
      <w:pPr>
        <w:pStyle w:val="N-line3"/>
        <w:pBdr>
          <w:top w:val="single" w:sz="12" w:space="1" w:color="auto"/>
          <w:bottom w:val="none" w:sz="0" w:space="0" w:color="auto"/>
        </w:pBdr>
      </w:pPr>
    </w:p>
    <w:p w:rsidR="00DC6C6D" w:rsidRPr="0040603C" w:rsidRDefault="00DC6C6D" w:rsidP="00675113">
      <w:pPr>
        <w:pStyle w:val="Heading3"/>
        <w:keepLines w:val="0"/>
        <w:tabs>
          <w:tab w:val="clear" w:pos="720"/>
        </w:tabs>
        <w:ind w:left="0" w:firstLine="0"/>
        <w:rPr>
          <w:rFonts w:cs="Arial"/>
        </w:rPr>
      </w:pPr>
      <w:r w:rsidRPr="0040603C">
        <w:rPr>
          <w:rFonts w:cs="Arial"/>
          <w:szCs w:val="26"/>
        </w:rPr>
        <w:t>Commencement</w:t>
      </w:r>
      <w:r w:rsidRPr="0040603C">
        <w:rPr>
          <w:rFonts w:cs="Arial"/>
        </w:rPr>
        <w:t xml:space="preserve"> </w:t>
      </w:r>
    </w:p>
    <w:p w:rsidR="001D03AE" w:rsidRPr="000E19B1" w:rsidRDefault="001D03AE" w:rsidP="001D03AE">
      <w:pPr>
        <w:numPr>
          <w:ilvl w:val="1"/>
          <w:numId w:val="4"/>
        </w:numPr>
        <w:tabs>
          <w:tab w:val="clear" w:pos="720"/>
        </w:tabs>
        <w:spacing w:before="80" w:after="60"/>
        <w:ind w:left="709" w:hanging="709"/>
      </w:pPr>
      <w:r w:rsidRPr="000E19B1">
        <w:t xml:space="preserve">The effective date of commencement of this instrument for positions listed in Table 2.1 is </w:t>
      </w:r>
      <w:r w:rsidRPr="00D04F1B">
        <w:rPr>
          <w:b/>
        </w:rPr>
        <w:t>1 April 2016</w:t>
      </w:r>
      <w:r w:rsidRPr="000E19B1">
        <w:t xml:space="preserve">; and </w:t>
      </w:r>
    </w:p>
    <w:p w:rsidR="00DC6C6D" w:rsidRPr="000E19B1" w:rsidRDefault="001D03AE" w:rsidP="001D03AE">
      <w:pPr>
        <w:numPr>
          <w:ilvl w:val="1"/>
          <w:numId w:val="4"/>
        </w:numPr>
        <w:tabs>
          <w:tab w:val="clear" w:pos="720"/>
        </w:tabs>
        <w:spacing w:before="80" w:after="60"/>
        <w:ind w:left="709" w:hanging="709"/>
      </w:pPr>
      <w:r w:rsidRPr="000E19B1">
        <w:t xml:space="preserve">The effective date of commencement of this instrument for positions listed in Table 2.2 is </w:t>
      </w:r>
      <w:r w:rsidRPr="00D04F1B">
        <w:rPr>
          <w:b/>
        </w:rPr>
        <w:t>1 July 2016</w:t>
      </w:r>
      <w:r w:rsidRPr="000E19B1">
        <w:t xml:space="preserve">. </w:t>
      </w:r>
    </w:p>
    <w:p w:rsidR="00DC6C6D" w:rsidRPr="0040603C" w:rsidRDefault="00DC6C6D" w:rsidP="00675113">
      <w:pPr>
        <w:pStyle w:val="Heading3"/>
        <w:keepLines w:val="0"/>
        <w:tabs>
          <w:tab w:val="clear" w:pos="720"/>
        </w:tabs>
        <w:rPr>
          <w:rFonts w:cs="Arial"/>
          <w:szCs w:val="26"/>
        </w:rPr>
      </w:pPr>
      <w:r w:rsidRPr="0040603C">
        <w:rPr>
          <w:rFonts w:cs="Arial"/>
          <w:szCs w:val="26"/>
        </w:rPr>
        <w:t>Remuneration</w:t>
      </w:r>
    </w:p>
    <w:p w:rsidR="00DC6C6D" w:rsidRDefault="00DC6C6D" w:rsidP="00AE2CF2">
      <w:pPr>
        <w:numPr>
          <w:ilvl w:val="1"/>
          <w:numId w:val="4"/>
        </w:numPr>
        <w:tabs>
          <w:tab w:val="clear" w:pos="720"/>
        </w:tabs>
        <w:spacing w:before="80" w:after="60"/>
        <w:ind w:left="709" w:hanging="709"/>
      </w:pPr>
      <w:r w:rsidRPr="000E19B1">
        <w:t>A person appointed to an office listed in column 1 of Table</w:t>
      </w:r>
      <w:r w:rsidR="00CA0D6A" w:rsidRPr="000E19B1">
        <w:t>s</w:t>
      </w:r>
      <w:r w:rsidRPr="000E19B1">
        <w:t xml:space="preserve"> 2.1 </w:t>
      </w:r>
      <w:r w:rsidR="00CA0D6A" w:rsidRPr="000E19B1">
        <w:t xml:space="preserve">and 2.2 </w:t>
      </w:r>
      <w:r w:rsidRPr="000E19B1">
        <w:t xml:space="preserve">is entitled to the salary mentioned in column 2 </w:t>
      </w:r>
      <w:r w:rsidR="00CA0D6A" w:rsidRPr="000E19B1">
        <w:t>of the same table</w:t>
      </w:r>
      <w:r w:rsidRPr="000E19B1">
        <w:t>.</w:t>
      </w:r>
    </w:p>
    <w:p w:rsidR="000E19B1" w:rsidRPr="000E19B1" w:rsidRDefault="000E19B1" w:rsidP="000E19B1">
      <w:pPr>
        <w:spacing w:before="80" w:after="60"/>
        <w:ind w:left="709"/>
      </w:pPr>
    </w:p>
    <w:p w:rsidR="00DC6C6D" w:rsidRPr="00E433F0" w:rsidRDefault="00DC6C6D" w:rsidP="00DC6C6D">
      <w:pPr>
        <w:spacing w:before="80" w:after="60"/>
        <w:ind w:left="709"/>
        <w:rPr>
          <w:b/>
        </w:rPr>
      </w:pPr>
      <w:r w:rsidRPr="00E433F0">
        <w:rPr>
          <w:b/>
        </w:rPr>
        <w:t>TABLE 2.1</w:t>
      </w:r>
      <w:r w:rsidR="0069220A">
        <w:rPr>
          <w:b/>
        </w:rPr>
        <w:t xml:space="preserve"> (with effect from 1 April 2016)</w:t>
      </w: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tblPr>
      <w:tblGrid>
        <w:gridCol w:w="5812"/>
        <w:gridCol w:w="2410"/>
      </w:tblGrid>
      <w:tr w:rsidR="00DC6C6D" w:rsidRPr="00D101F0" w:rsidTr="00DC6C6D">
        <w:trPr>
          <w:trHeight w:val="374"/>
          <w:tblHeader/>
        </w:trPr>
        <w:tc>
          <w:tcPr>
            <w:tcW w:w="5812" w:type="dxa"/>
          </w:tcPr>
          <w:p w:rsidR="00DC6C6D" w:rsidRPr="00AE2CF2" w:rsidRDefault="00DC6C6D" w:rsidP="00DC6C6D">
            <w:pPr>
              <w:pStyle w:val="Header"/>
              <w:tabs>
                <w:tab w:val="clear" w:pos="4153"/>
                <w:tab w:val="clear" w:pos="8306"/>
              </w:tabs>
              <w:spacing w:before="60" w:after="60"/>
              <w:rPr>
                <w:sz w:val="20"/>
              </w:rPr>
            </w:pPr>
            <w:r w:rsidRPr="00AE2CF2">
              <w:rPr>
                <w:sz w:val="20"/>
              </w:rPr>
              <w:t>Column 1</w:t>
            </w:r>
          </w:p>
          <w:p w:rsidR="00DC6C6D" w:rsidRPr="00AE2CF2" w:rsidRDefault="00DC6C6D" w:rsidP="00DC6C6D">
            <w:pPr>
              <w:pStyle w:val="Header"/>
              <w:tabs>
                <w:tab w:val="clear" w:pos="4153"/>
                <w:tab w:val="clear" w:pos="8306"/>
              </w:tabs>
              <w:spacing w:before="60" w:after="60"/>
              <w:rPr>
                <w:b/>
              </w:rPr>
            </w:pPr>
            <w:r w:rsidRPr="00AE2CF2">
              <w:rPr>
                <w:b/>
              </w:rPr>
              <w:t>Office</w:t>
            </w:r>
          </w:p>
        </w:tc>
        <w:tc>
          <w:tcPr>
            <w:tcW w:w="2410" w:type="dxa"/>
            <w:shd w:val="clear" w:color="auto" w:fill="auto"/>
          </w:tcPr>
          <w:p w:rsidR="00DC6C6D" w:rsidRPr="00D101F0" w:rsidRDefault="00DC6C6D" w:rsidP="00DC6C6D">
            <w:pPr>
              <w:spacing w:before="60" w:after="60"/>
              <w:rPr>
                <w:sz w:val="20"/>
              </w:rPr>
            </w:pPr>
            <w:r w:rsidRPr="00D101F0">
              <w:rPr>
                <w:sz w:val="20"/>
              </w:rPr>
              <w:t>Column 2</w:t>
            </w:r>
          </w:p>
          <w:p w:rsidR="00DC6C6D" w:rsidRPr="00D101F0" w:rsidRDefault="00DC6C6D" w:rsidP="00DC6C6D">
            <w:pPr>
              <w:spacing w:before="60" w:after="60"/>
            </w:pPr>
            <w:r>
              <w:rPr>
                <w:b/>
              </w:rPr>
              <w:t>Salary</w:t>
            </w:r>
            <w:r w:rsidRPr="00D101F0">
              <w:rPr>
                <w:b/>
              </w:rPr>
              <w:t xml:space="preserve"> </w:t>
            </w:r>
          </w:p>
        </w:tc>
      </w:tr>
      <w:tr w:rsidR="001D03AE" w:rsidRPr="00D101F0" w:rsidTr="00DC6C6D">
        <w:tc>
          <w:tcPr>
            <w:tcW w:w="5812" w:type="dxa"/>
          </w:tcPr>
          <w:p w:rsidR="001D03AE" w:rsidRPr="00D04F1B" w:rsidRDefault="001D03AE" w:rsidP="00DC6C6D">
            <w:pPr>
              <w:pStyle w:val="Header"/>
              <w:tabs>
                <w:tab w:val="clear" w:pos="4153"/>
                <w:tab w:val="clear" w:pos="8306"/>
              </w:tabs>
              <w:spacing w:before="60" w:after="60"/>
              <w:rPr>
                <w:szCs w:val="22"/>
              </w:rPr>
            </w:pPr>
            <w:r w:rsidRPr="00D04F1B">
              <w:rPr>
                <w:sz w:val="22"/>
                <w:szCs w:val="22"/>
              </w:rPr>
              <w:t>President and Human Rights Commissioner</w:t>
            </w:r>
          </w:p>
        </w:tc>
        <w:tc>
          <w:tcPr>
            <w:tcW w:w="2410" w:type="dxa"/>
            <w:shd w:val="clear" w:color="auto" w:fill="auto"/>
            <w:vAlign w:val="bottom"/>
          </w:tcPr>
          <w:p w:rsidR="001D03AE" w:rsidRPr="0077509A" w:rsidRDefault="00090A4E" w:rsidP="001B4DE2">
            <w:pPr>
              <w:rPr>
                <w:bCs/>
                <w:color w:val="000000"/>
                <w:sz w:val="22"/>
                <w:szCs w:val="22"/>
              </w:rPr>
            </w:pPr>
            <w:r>
              <w:rPr>
                <w:bCs/>
                <w:color w:val="000000"/>
                <w:sz w:val="22"/>
                <w:szCs w:val="22"/>
              </w:rPr>
              <w:t>$210,790</w:t>
            </w:r>
          </w:p>
        </w:tc>
      </w:tr>
      <w:tr w:rsidR="001D03AE" w:rsidRPr="00D101F0" w:rsidTr="00DC6C6D">
        <w:tc>
          <w:tcPr>
            <w:tcW w:w="5812" w:type="dxa"/>
          </w:tcPr>
          <w:p w:rsidR="001D03AE" w:rsidRPr="00D04F1B" w:rsidRDefault="00E01547" w:rsidP="00E01547">
            <w:pPr>
              <w:spacing w:before="60" w:after="60"/>
              <w:rPr>
                <w:szCs w:val="22"/>
              </w:rPr>
            </w:pPr>
            <w:r w:rsidRPr="00D04F1B">
              <w:rPr>
                <w:sz w:val="22"/>
                <w:szCs w:val="22"/>
              </w:rPr>
              <w:t>Discrimination, Health Services and Disability and Community Services Commissioner</w:t>
            </w:r>
          </w:p>
        </w:tc>
        <w:tc>
          <w:tcPr>
            <w:tcW w:w="2410" w:type="dxa"/>
            <w:shd w:val="clear" w:color="auto" w:fill="auto"/>
            <w:vAlign w:val="bottom"/>
          </w:tcPr>
          <w:p w:rsidR="001D03AE" w:rsidRPr="0077509A" w:rsidRDefault="001D03AE" w:rsidP="001B4DE2">
            <w:pPr>
              <w:rPr>
                <w:bCs/>
                <w:color w:val="000000"/>
                <w:sz w:val="22"/>
                <w:szCs w:val="22"/>
              </w:rPr>
            </w:pPr>
            <w:r>
              <w:rPr>
                <w:bCs/>
                <w:color w:val="000000"/>
                <w:sz w:val="22"/>
                <w:szCs w:val="22"/>
              </w:rPr>
              <w:t>$</w:t>
            </w:r>
            <w:r w:rsidR="00090A4E">
              <w:rPr>
                <w:bCs/>
                <w:color w:val="000000"/>
                <w:sz w:val="22"/>
                <w:szCs w:val="22"/>
              </w:rPr>
              <w:t>184,000</w:t>
            </w:r>
          </w:p>
        </w:tc>
      </w:tr>
      <w:tr w:rsidR="001D03AE" w:rsidRPr="00D101F0" w:rsidTr="00DC6C6D">
        <w:tc>
          <w:tcPr>
            <w:tcW w:w="5812" w:type="dxa"/>
          </w:tcPr>
          <w:p w:rsidR="001D03AE" w:rsidRPr="00D04F1B" w:rsidRDefault="00E01547" w:rsidP="00DC6C6D">
            <w:pPr>
              <w:spacing w:before="60" w:after="60"/>
              <w:rPr>
                <w:szCs w:val="22"/>
              </w:rPr>
            </w:pPr>
            <w:r w:rsidRPr="00D04F1B">
              <w:rPr>
                <w:sz w:val="22"/>
                <w:szCs w:val="22"/>
              </w:rPr>
              <w:t>Public Advocate and Children and Young People Commissioner</w:t>
            </w:r>
          </w:p>
        </w:tc>
        <w:tc>
          <w:tcPr>
            <w:tcW w:w="2410" w:type="dxa"/>
            <w:shd w:val="clear" w:color="auto" w:fill="auto"/>
            <w:vAlign w:val="bottom"/>
          </w:tcPr>
          <w:p w:rsidR="001D03AE" w:rsidRPr="0077509A" w:rsidRDefault="00090A4E" w:rsidP="001B4DE2">
            <w:pPr>
              <w:rPr>
                <w:bCs/>
                <w:color w:val="000000"/>
                <w:sz w:val="22"/>
                <w:szCs w:val="22"/>
              </w:rPr>
            </w:pPr>
            <w:r>
              <w:rPr>
                <w:bCs/>
                <w:color w:val="000000"/>
                <w:sz w:val="22"/>
                <w:szCs w:val="22"/>
              </w:rPr>
              <w:t>$184,000</w:t>
            </w:r>
          </w:p>
        </w:tc>
      </w:tr>
      <w:tr w:rsidR="001D03AE" w:rsidRPr="00D101F0" w:rsidTr="00DC6C6D">
        <w:tc>
          <w:tcPr>
            <w:tcW w:w="5812" w:type="dxa"/>
          </w:tcPr>
          <w:p w:rsidR="001D03AE" w:rsidRPr="00D04F1B" w:rsidRDefault="001D03AE" w:rsidP="00DC6C6D">
            <w:pPr>
              <w:spacing w:before="60" w:after="60"/>
              <w:rPr>
                <w:szCs w:val="22"/>
              </w:rPr>
            </w:pPr>
            <w:r w:rsidRPr="00D04F1B">
              <w:rPr>
                <w:sz w:val="22"/>
                <w:szCs w:val="22"/>
              </w:rPr>
              <w:t>Victims of Crime Commissioner</w:t>
            </w:r>
          </w:p>
        </w:tc>
        <w:tc>
          <w:tcPr>
            <w:tcW w:w="2410" w:type="dxa"/>
            <w:shd w:val="clear" w:color="auto" w:fill="auto"/>
            <w:vAlign w:val="bottom"/>
          </w:tcPr>
          <w:p w:rsidR="001D03AE" w:rsidRPr="0077509A" w:rsidRDefault="00090A4E" w:rsidP="001B4DE2">
            <w:pPr>
              <w:rPr>
                <w:bCs/>
                <w:color w:val="000000"/>
                <w:sz w:val="22"/>
                <w:szCs w:val="22"/>
              </w:rPr>
            </w:pPr>
            <w:r>
              <w:rPr>
                <w:bCs/>
                <w:color w:val="000000"/>
                <w:sz w:val="22"/>
                <w:szCs w:val="22"/>
              </w:rPr>
              <w:t>$184,000</w:t>
            </w:r>
          </w:p>
        </w:tc>
      </w:tr>
    </w:tbl>
    <w:p w:rsidR="00E846BF" w:rsidRDefault="00E846BF" w:rsidP="003661F9">
      <w:pPr>
        <w:spacing w:before="80" w:after="60"/>
        <w:ind w:left="709"/>
        <w:rPr>
          <w:b/>
        </w:rPr>
      </w:pPr>
    </w:p>
    <w:p w:rsidR="00E846BF" w:rsidRDefault="00E846BF" w:rsidP="003661F9">
      <w:pPr>
        <w:spacing w:before="80" w:after="60"/>
        <w:ind w:left="709"/>
        <w:rPr>
          <w:b/>
        </w:rPr>
      </w:pPr>
    </w:p>
    <w:p w:rsidR="00E846BF" w:rsidRDefault="00E846BF" w:rsidP="003661F9">
      <w:pPr>
        <w:spacing w:before="80" w:after="60"/>
        <w:ind w:left="709"/>
        <w:rPr>
          <w:b/>
        </w:rPr>
      </w:pPr>
    </w:p>
    <w:p w:rsidR="00E846BF" w:rsidRDefault="00E846BF" w:rsidP="003661F9">
      <w:pPr>
        <w:spacing w:before="80" w:after="60"/>
        <w:ind w:left="709"/>
        <w:rPr>
          <w:b/>
        </w:rPr>
      </w:pPr>
    </w:p>
    <w:p w:rsidR="001D03AE" w:rsidRPr="003661F9" w:rsidRDefault="003661F9" w:rsidP="003661F9">
      <w:pPr>
        <w:spacing w:before="80" w:after="60"/>
        <w:ind w:left="709"/>
        <w:rPr>
          <w:b/>
        </w:rPr>
      </w:pPr>
      <w:r>
        <w:rPr>
          <w:b/>
        </w:rPr>
        <w:lastRenderedPageBreak/>
        <w:t>TABLE</w:t>
      </w:r>
      <w:r w:rsidRPr="003661F9">
        <w:rPr>
          <w:b/>
        </w:rPr>
        <w:t xml:space="preserve"> 2.2</w:t>
      </w:r>
      <w:r w:rsidR="0069220A">
        <w:rPr>
          <w:b/>
        </w:rPr>
        <w:t xml:space="preserve"> (with effect from 1 July 2016)</w:t>
      </w: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tblPr>
      <w:tblGrid>
        <w:gridCol w:w="5812"/>
        <w:gridCol w:w="2410"/>
      </w:tblGrid>
      <w:tr w:rsidR="001D03AE" w:rsidRPr="007B3033" w:rsidTr="001D03AE">
        <w:trPr>
          <w:trHeight w:val="374"/>
          <w:tblHeader/>
        </w:trPr>
        <w:tc>
          <w:tcPr>
            <w:tcW w:w="5812" w:type="dxa"/>
          </w:tcPr>
          <w:p w:rsidR="001D03AE" w:rsidRPr="007B3033" w:rsidRDefault="001D03AE" w:rsidP="001D03AE">
            <w:pPr>
              <w:pStyle w:val="Header"/>
              <w:tabs>
                <w:tab w:val="clear" w:pos="4153"/>
                <w:tab w:val="clear" w:pos="8306"/>
              </w:tabs>
              <w:spacing w:before="60" w:after="60"/>
              <w:rPr>
                <w:sz w:val="20"/>
              </w:rPr>
            </w:pPr>
            <w:r w:rsidRPr="007B3033">
              <w:rPr>
                <w:sz w:val="20"/>
              </w:rPr>
              <w:t>Column 1</w:t>
            </w:r>
          </w:p>
          <w:p w:rsidR="001D03AE" w:rsidRPr="007B3033" w:rsidRDefault="001D03AE" w:rsidP="001D03AE">
            <w:pPr>
              <w:pStyle w:val="Header"/>
              <w:tabs>
                <w:tab w:val="clear" w:pos="4153"/>
                <w:tab w:val="clear" w:pos="8306"/>
              </w:tabs>
              <w:spacing w:before="60" w:after="60"/>
              <w:rPr>
                <w:b/>
              </w:rPr>
            </w:pPr>
            <w:r w:rsidRPr="007B3033">
              <w:rPr>
                <w:b/>
              </w:rPr>
              <w:t>Office</w:t>
            </w:r>
          </w:p>
        </w:tc>
        <w:tc>
          <w:tcPr>
            <w:tcW w:w="2410" w:type="dxa"/>
            <w:shd w:val="clear" w:color="auto" w:fill="auto"/>
          </w:tcPr>
          <w:p w:rsidR="001D03AE" w:rsidRPr="007B3033" w:rsidRDefault="001D03AE" w:rsidP="001D03AE">
            <w:pPr>
              <w:spacing w:before="60" w:after="60"/>
              <w:rPr>
                <w:sz w:val="20"/>
              </w:rPr>
            </w:pPr>
            <w:r w:rsidRPr="007B3033">
              <w:rPr>
                <w:sz w:val="20"/>
              </w:rPr>
              <w:t>Column 2</w:t>
            </w:r>
          </w:p>
          <w:p w:rsidR="001D03AE" w:rsidRPr="007B3033" w:rsidRDefault="001D03AE" w:rsidP="001D03AE">
            <w:pPr>
              <w:spacing w:before="60" w:after="60"/>
            </w:pPr>
            <w:r w:rsidRPr="007B3033">
              <w:rPr>
                <w:b/>
              </w:rPr>
              <w:t xml:space="preserve">Salary </w:t>
            </w:r>
          </w:p>
        </w:tc>
      </w:tr>
      <w:tr w:rsidR="00C91627" w:rsidRPr="007B3033" w:rsidTr="001D03AE">
        <w:tc>
          <w:tcPr>
            <w:tcW w:w="5812" w:type="dxa"/>
          </w:tcPr>
          <w:p w:rsidR="00C91627" w:rsidRPr="007B3033" w:rsidRDefault="00C91627" w:rsidP="00CA0D6A">
            <w:pPr>
              <w:spacing w:before="60" w:after="60"/>
              <w:rPr>
                <w:szCs w:val="22"/>
              </w:rPr>
            </w:pPr>
            <w:r w:rsidRPr="007B3033">
              <w:rPr>
                <w:sz w:val="22"/>
                <w:szCs w:val="22"/>
              </w:rPr>
              <w:t>Assistant Executive Officer</w:t>
            </w:r>
            <w:r w:rsidR="00AD5324" w:rsidRPr="007B3033">
              <w:rPr>
                <w:sz w:val="22"/>
                <w:szCs w:val="22"/>
              </w:rPr>
              <w:t>(DCEO)</w:t>
            </w:r>
            <w:r w:rsidRPr="007B3033">
              <w:rPr>
                <w:sz w:val="22"/>
                <w:szCs w:val="22"/>
              </w:rPr>
              <w:t>, Legal Aid Commission (ACT)</w:t>
            </w:r>
          </w:p>
        </w:tc>
        <w:tc>
          <w:tcPr>
            <w:tcW w:w="2410" w:type="dxa"/>
            <w:shd w:val="clear" w:color="auto" w:fill="auto"/>
            <w:vAlign w:val="bottom"/>
          </w:tcPr>
          <w:p w:rsidR="00C91627" w:rsidRPr="007B3033" w:rsidRDefault="00C91627" w:rsidP="00AD5324">
            <w:pPr>
              <w:rPr>
                <w:bCs/>
                <w:sz w:val="22"/>
                <w:szCs w:val="22"/>
              </w:rPr>
            </w:pPr>
            <w:r w:rsidRPr="007B3033">
              <w:rPr>
                <w:bCs/>
                <w:sz w:val="22"/>
                <w:szCs w:val="22"/>
              </w:rPr>
              <w:t>$</w:t>
            </w:r>
            <w:r w:rsidR="00AD5324" w:rsidRPr="007B3033">
              <w:rPr>
                <w:bCs/>
                <w:sz w:val="22"/>
                <w:szCs w:val="22"/>
              </w:rPr>
              <w:t>200,993</w:t>
            </w:r>
          </w:p>
        </w:tc>
      </w:tr>
      <w:tr w:rsidR="00C91627" w:rsidRPr="007B3033" w:rsidTr="001D03AE">
        <w:tc>
          <w:tcPr>
            <w:tcW w:w="5812" w:type="dxa"/>
          </w:tcPr>
          <w:p w:rsidR="00C91627" w:rsidRPr="007B3033" w:rsidRDefault="00C91627" w:rsidP="001D03AE">
            <w:pPr>
              <w:pStyle w:val="Header"/>
              <w:tabs>
                <w:tab w:val="clear" w:pos="4153"/>
                <w:tab w:val="clear" w:pos="8306"/>
              </w:tabs>
              <w:spacing w:before="60" w:after="60"/>
              <w:rPr>
                <w:szCs w:val="22"/>
              </w:rPr>
            </w:pPr>
            <w:r w:rsidRPr="007B3033">
              <w:rPr>
                <w:sz w:val="22"/>
                <w:szCs w:val="22"/>
              </w:rPr>
              <w:t>Auditor-General</w:t>
            </w:r>
          </w:p>
        </w:tc>
        <w:tc>
          <w:tcPr>
            <w:tcW w:w="2410" w:type="dxa"/>
            <w:shd w:val="clear" w:color="auto" w:fill="auto"/>
            <w:vAlign w:val="bottom"/>
          </w:tcPr>
          <w:p w:rsidR="00C91627" w:rsidRPr="007B3033" w:rsidRDefault="00C91627" w:rsidP="00AD5324">
            <w:pPr>
              <w:rPr>
                <w:bCs/>
                <w:sz w:val="22"/>
                <w:szCs w:val="22"/>
              </w:rPr>
            </w:pPr>
            <w:r w:rsidRPr="007B3033">
              <w:rPr>
                <w:bCs/>
                <w:sz w:val="22"/>
                <w:szCs w:val="22"/>
              </w:rPr>
              <w:t>$</w:t>
            </w:r>
            <w:r w:rsidR="00AD5324" w:rsidRPr="007B3033">
              <w:rPr>
                <w:bCs/>
                <w:sz w:val="22"/>
                <w:szCs w:val="22"/>
              </w:rPr>
              <w:t>291,224</w:t>
            </w:r>
          </w:p>
        </w:tc>
      </w:tr>
      <w:tr w:rsidR="00675113" w:rsidRPr="007B3033" w:rsidTr="00675113">
        <w:tc>
          <w:tcPr>
            <w:tcW w:w="5812" w:type="dxa"/>
          </w:tcPr>
          <w:p w:rsidR="00675113" w:rsidRPr="007B3033" w:rsidRDefault="00675113" w:rsidP="00675113">
            <w:pPr>
              <w:pStyle w:val="Header"/>
              <w:tabs>
                <w:tab w:val="clear" w:pos="4153"/>
                <w:tab w:val="clear" w:pos="8306"/>
              </w:tabs>
              <w:spacing w:before="60" w:after="60"/>
              <w:rPr>
                <w:szCs w:val="22"/>
              </w:rPr>
            </w:pPr>
            <w:r w:rsidRPr="007B3033">
              <w:rPr>
                <w:sz w:val="22"/>
                <w:szCs w:val="22"/>
              </w:rPr>
              <w:t>Chief Executive Officer, Canberra Institute of Technology</w:t>
            </w:r>
          </w:p>
        </w:tc>
        <w:tc>
          <w:tcPr>
            <w:tcW w:w="2410" w:type="dxa"/>
            <w:shd w:val="clear" w:color="auto" w:fill="auto"/>
            <w:vAlign w:val="bottom"/>
          </w:tcPr>
          <w:p w:rsidR="00675113" w:rsidRPr="007B3033" w:rsidRDefault="00675113" w:rsidP="00D04F1B">
            <w:pPr>
              <w:rPr>
                <w:bCs/>
                <w:sz w:val="22"/>
                <w:szCs w:val="22"/>
              </w:rPr>
            </w:pPr>
            <w:r w:rsidRPr="007B3033">
              <w:rPr>
                <w:bCs/>
                <w:sz w:val="22"/>
                <w:szCs w:val="22"/>
              </w:rPr>
              <w:t>$</w:t>
            </w:r>
            <w:r w:rsidR="00D04F1B" w:rsidRPr="007B3033">
              <w:rPr>
                <w:bCs/>
                <w:sz w:val="22"/>
                <w:szCs w:val="22"/>
              </w:rPr>
              <w:t>292,125</w:t>
            </w:r>
          </w:p>
        </w:tc>
      </w:tr>
      <w:tr w:rsidR="00C91627" w:rsidRPr="007B3033" w:rsidTr="001D03AE">
        <w:tc>
          <w:tcPr>
            <w:tcW w:w="5812" w:type="dxa"/>
          </w:tcPr>
          <w:p w:rsidR="00C91627" w:rsidRPr="007B3033" w:rsidRDefault="00C91627" w:rsidP="00CA0D6A">
            <w:pPr>
              <w:pStyle w:val="Header"/>
              <w:tabs>
                <w:tab w:val="clear" w:pos="4153"/>
                <w:tab w:val="clear" w:pos="8306"/>
              </w:tabs>
              <w:spacing w:before="60" w:after="60"/>
              <w:rPr>
                <w:szCs w:val="22"/>
                <w:highlight w:val="yellow"/>
              </w:rPr>
            </w:pPr>
            <w:r w:rsidRPr="007B3033">
              <w:rPr>
                <w:sz w:val="22"/>
                <w:szCs w:val="22"/>
              </w:rPr>
              <w:t xml:space="preserve">Chief Executive Officer, Land Development Agency </w:t>
            </w:r>
          </w:p>
        </w:tc>
        <w:tc>
          <w:tcPr>
            <w:tcW w:w="2410" w:type="dxa"/>
            <w:shd w:val="clear" w:color="auto" w:fill="auto"/>
            <w:vAlign w:val="bottom"/>
          </w:tcPr>
          <w:p w:rsidR="00C91627" w:rsidRPr="007B3033" w:rsidRDefault="00C91627" w:rsidP="00CA0D6A">
            <w:pPr>
              <w:rPr>
                <w:bCs/>
                <w:sz w:val="22"/>
                <w:szCs w:val="22"/>
              </w:rPr>
            </w:pPr>
            <w:r w:rsidRPr="007B3033">
              <w:rPr>
                <w:bCs/>
                <w:sz w:val="22"/>
                <w:szCs w:val="22"/>
              </w:rPr>
              <w:t>$</w:t>
            </w:r>
            <w:r w:rsidR="00AD5324" w:rsidRPr="007B3033">
              <w:rPr>
                <w:bCs/>
                <w:sz w:val="22"/>
                <w:szCs w:val="22"/>
              </w:rPr>
              <w:t>261,174</w:t>
            </w:r>
          </w:p>
        </w:tc>
      </w:tr>
      <w:tr w:rsidR="00C91627" w:rsidRPr="007B3033" w:rsidTr="001D03AE">
        <w:tc>
          <w:tcPr>
            <w:tcW w:w="5812" w:type="dxa"/>
          </w:tcPr>
          <w:p w:rsidR="00C91627" w:rsidRPr="007B3033" w:rsidRDefault="00C91627" w:rsidP="00CA0D6A">
            <w:pPr>
              <w:spacing w:before="60" w:after="60"/>
              <w:rPr>
                <w:szCs w:val="22"/>
              </w:rPr>
            </w:pPr>
            <w:r w:rsidRPr="007B3033">
              <w:rPr>
                <w:sz w:val="22"/>
                <w:szCs w:val="22"/>
              </w:rPr>
              <w:t>Chief Executive Officer, Legal Aid Commission (ACT)</w:t>
            </w:r>
          </w:p>
        </w:tc>
        <w:tc>
          <w:tcPr>
            <w:tcW w:w="2410" w:type="dxa"/>
            <w:shd w:val="clear" w:color="auto" w:fill="auto"/>
            <w:vAlign w:val="bottom"/>
          </w:tcPr>
          <w:p w:rsidR="00C91627" w:rsidRPr="007B3033" w:rsidRDefault="00C91627" w:rsidP="00CA0D6A">
            <w:pPr>
              <w:rPr>
                <w:bCs/>
                <w:sz w:val="22"/>
                <w:szCs w:val="22"/>
              </w:rPr>
            </w:pPr>
            <w:r w:rsidRPr="007B3033">
              <w:rPr>
                <w:bCs/>
                <w:sz w:val="22"/>
                <w:szCs w:val="22"/>
              </w:rPr>
              <w:t>$</w:t>
            </w:r>
            <w:r w:rsidR="00AD5324" w:rsidRPr="007B3033">
              <w:rPr>
                <w:bCs/>
                <w:sz w:val="22"/>
                <w:szCs w:val="22"/>
              </w:rPr>
              <w:t>261,174</w:t>
            </w:r>
          </w:p>
        </w:tc>
      </w:tr>
      <w:tr w:rsidR="00C91627" w:rsidRPr="007B3033" w:rsidTr="001D03AE">
        <w:tc>
          <w:tcPr>
            <w:tcW w:w="5812" w:type="dxa"/>
          </w:tcPr>
          <w:p w:rsidR="00C91627" w:rsidRPr="007B3033" w:rsidRDefault="00C91627" w:rsidP="001D03AE">
            <w:pPr>
              <w:spacing w:before="60" w:after="60"/>
              <w:rPr>
                <w:szCs w:val="22"/>
                <w:highlight w:val="yellow"/>
              </w:rPr>
            </w:pPr>
            <w:r w:rsidRPr="007B3033">
              <w:rPr>
                <w:sz w:val="22"/>
                <w:szCs w:val="22"/>
              </w:rPr>
              <w:t>Chief Planning Executive, ACT Planning and Land Authority</w:t>
            </w:r>
          </w:p>
        </w:tc>
        <w:tc>
          <w:tcPr>
            <w:tcW w:w="2410" w:type="dxa"/>
            <w:shd w:val="clear" w:color="auto" w:fill="auto"/>
            <w:vAlign w:val="bottom"/>
          </w:tcPr>
          <w:p w:rsidR="00C91627" w:rsidRPr="007B3033" w:rsidRDefault="00C91627" w:rsidP="001D03AE">
            <w:pPr>
              <w:rPr>
                <w:bCs/>
                <w:sz w:val="22"/>
                <w:szCs w:val="22"/>
              </w:rPr>
            </w:pPr>
            <w:r w:rsidRPr="007B3033">
              <w:rPr>
                <w:bCs/>
                <w:sz w:val="22"/>
                <w:szCs w:val="22"/>
              </w:rPr>
              <w:t>$2</w:t>
            </w:r>
            <w:r w:rsidR="00AD5324" w:rsidRPr="007B3033">
              <w:rPr>
                <w:bCs/>
                <w:sz w:val="22"/>
                <w:szCs w:val="22"/>
              </w:rPr>
              <w:t>76,161</w:t>
            </w:r>
          </w:p>
        </w:tc>
      </w:tr>
      <w:tr w:rsidR="00FA3A75" w:rsidRPr="007B3033" w:rsidTr="00EF040C">
        <w:tc>
          <w:tcPr>
            <w:tcW w:w="5812" w:type="dxa"/>
          </w:tcPr>
          <w:p w:rsidR="00FA3A75" w:rsidRPr="007B3033" w:rsidRDefault="00FA3A75" w:rsidP="00EF040C">
            <w:pPr>
              <w:spacing w:before="60" w:after="60"/>
              <w:rPr>
                <w:szCs w:val="22"/>
              </w:rPr>
            </w:pPr>
            <w:r w:rsidRPr="007B3033">
              <w:rPr>
                <w:sz w:val="22"/>
                <w:szCs w:val="22"/>
              </w:rPr>
              <w:t>Discrimination, Health Services and Disability and Community Services Commissioner</w:t>
            </w:r>
          </w:p>
        </w:tc>
        <w:tc>
          <w:tcPr>
            <w:tcW w:w="2410" w:type="dxa"/>
            <w:shd w:val="clear" w:color="auto" w:fill="auto"/>
            <w:vAlign w:val="bottom"/>
          </w:tcPr>
          <w:p w:rsidR="00FA3A75" w:rsidRPr="007B3033" w:rsidRDefault="00FA3A75" w:rsidP="007612FA">
            <w:pPr>
              <w:rPr>
                <w:bCs/>
                <w:sz w:val="22"/>
                <w:szCs w:val="22"/>
              </w:rPr>
            </w:pPr>
            <w:r w:rsidRPr="007B3033">
              <w:rPr>
                <w:bCs/>
                <w:sz w:val="22"/>
                <w:szCs w:val="22"/>
              </w:rPr>
              <w:t>$</w:t>
            </w:r>
            <w:r w:rsidR="007612FA" w:rsidRPr="007B3033">
              <w:rPr>
                <w:bCs/>
                <w:sz w:val="22"/>
                <w:szCs w:val="22"/>
              </w:rPr>
              <w:t>188,600</w:t>
            </w:r>
          </w:p>
        </w:tc>
      </w:tr>
      <w:tr w:rsidR="00C91627" w:rsidRPr="007B3033" w:rsidTr="001D03AE">
        <w:tc>
          <w:tcPr>
            <w:tcW w:w="5812" w:type="dxa"/>
          </w:tcPr>
          <w:p w:rsidR="00C91627" w:rsidRPr="007B3033" w:rsidRDefault="00C91627" w:rsidP="00CA0D6A">
            <w:pPr>
              <w:spacing w:before="60" w:after="60"/>
              <w:rPr>
                <w:szCs w:val="22"/>
              </w:rPr>
            </w:pPr>
            <w:r w:rsidRPr="007B3033">
              <w:rPr>
                <w:sz w:val="22"/>
                <w:szCs w:val="22"/>
              </w:rPr>
              <w:t>Electoral Commissioner</w:t>
            </w:r>
          </w:p>
        </w:tc>
        <w:tc>
          <w:tcPr>
            <w:tcW w:w="2410" w:type="dxa"/>
            <w:shd w:val="clear" w:color="auto" w:fill="auto"/>
            <w:vAlign w:val="bottom"/>
          </w:tcPr>
          <w:p w:rsidR="00C91627" w:rsidRPr="007B3033" w:rsidRDefault="00C91627" w:rsidP="00CA0D6A">
            <w:pPr>
              <w:rPr>
                <w:bCs/>
                <w:sz w:val="22"/>
                <w:szCs w:val="22"/>
              </w:rPr>
            </w:pPr>
            <w:r w:rsidRPr="007B3033">
              <w:rPr>
                <w:bCs/>
                <w:sz w:val="22"/>
                <w:szCs w:val="22"/>
              </w:rPr>
              <w:t>$</w:t>
            </w:r>
            <w:r w:rsidR="00AD5324" w:rsidRPr="007B3033">
              <w:rPr>
                <w:bCs/>
                <w:sz w:val="22"/>
                <w:szCs w:val="22"/>
              </w:rPr>
              <w:t>200,993</w:t>
            </w:r>
          </w:p>
        </w:tc>
      </w:tr>
      <w:tr w:rsidR="00FA3A75" w:rsidRPr="007B3033" w:rsidTr="00EF040C">
        <w:tc>
          <w:tcPr>
            <w:tcW w:w="5812" w:type="dxa"/>
          </w:tcPr>
          <w:p w:rsidR="00FA3A75" w:rsidRPr="007B3033" w:rsidRDefault="00FA3A75" w:rsidP="00EF040C">
            <w:pPr>
              <w:pStyle w:val="Header"/>
              <w:tabs>
                <w:tab w:val="clear" w:pos="4153"/>
                <w:tab w:val="clear" w:pos="8306"/>
              </w:tabs>
              <w:spacing w:before="60" w:after="60"/>
              <w:rPr>
                <w:szCs w:val="22"/>
              </w:rPr>
            </w:pPr>
            <w:r w:rsidRPr="007B3033">
              <w:rPr>
                <w:sz w:val="22"/>
                <w:szCs w:val="22"/>
              </w:rPr>
              <w:t>President and Human Rights Commissioner</w:t>
            </w:r>
          </w:p>
        </w:tc>
        <w:tc>
          <w:tcPr>
            <w:tcW w:w="2410" w:type="dxa"/>
            <w:shd w:val="clear" w:color="auto" w:fill="auto"/>
            <w:vAlign w:val="bottom"/>
          </w:tcPr>
          <w:p w:rsidR="00FA3A75" w:rsidRPr="007B3033" w:rsidRDefault="00FA3A75" w:rsidP="007612FA">
            <w:pPr>
              <w:rPr>
                <w:bCs/>
                <w:sz w:val="22"/>
                <w:szCs w:val="22"/>
              </w:rPr>
            </w:pPr>
            <w:r w:rsidRPr="007B3033">
              <w:rPr>
                <w:bCs/>
                <w:sz w:val="22"/>
                <w:szCs w:val="22"/>
              </w:rPr>
              <w:t>$</w:t>
            </w:r>
            <w:r w:rsidR="007612FA" w:rsidRPr="007B3033">
              <w:rPr>
                <w:bCs/>
                <w:sz w:val="22"/>
                <w:szCs w:val="22"/>
              </w:rPr>
              <w:t>216,060</w:t>
            </w:r>
          </w:p>
        </w:tc>
      </w:tr>
      <w:tr w:rsidR="007612FA" w:rsidRPr="007B3033" w:rsidTr="00EF040C">
        <w:tc>
          <w:tcPr>
            <w:tcW w:w="5812" w:type="dxa"/>
          </w:tcPr>
          <w:p w:rsidR="007612FA" w:rsidRPr="007B3033" w:rsidRDefault="007612FA" w:rsidP="00EF040C">
            <w:pPr>
              <w:spacing w:before="60" w:after="60"/>
              <w:rPr>
                <w:szCs w:val="22"/>
              </w:rPr>
            </w:pPr>
            <w:r w:rsidRPr="007B3033">
              <w:rPr>
                <w:sz w:val="22"/>
                <w:szCs w:val="22"/>
              </w:rPr>
              <w:t>Public Advocate and Children and Young People Commissioner</w:t>
            </w:r>
          </w:p>
        </w:tc>
        <w:tc>
          <w:tcPr>
            <w:tcW w:w="2410" w:type="dxa"/>
            <w:shd w:val="clear" w:color="auto" w:fill="auto"/>
            <w:vAlign w:val="bottom"/>
          </w:tcPr>
          <w:p w:rsidR="007612FA" w:rsidRPr="007B3033" w:rsidRDefault="007612FA" w:rsidP="007612FA">
            <w:pPr>
              <w:rPr>
                <w:bCs/>
                <w:sz w:val="22"/>
                <w:szCs w:val="22"/>
              </w:rPr>
            </w:pPr>
            <w:r w:rsidRPr="007B3033">
              <w:rPr>
                <w:bCs/>
                <w:sz w:val="22"/>
                <w:szCs w:val="22"/>
              </w:rPr>
              <w:t>$188,600</w:t>
            </w:r>
          </w:p>
        </w:tc>
      </w:tr>
      <w:tr w:rsidR="007612FA" w:rsidRPr="007B3033" w:rsidTr="00EF040C">
        <w:tc>
          <w:tcPr>
            <w:tcW w:w="5812" w:type="dxa"/>
          </w:tcPr>
          <w:p w:rsidR="007612FA" w:rsidRPr="007B3033" w:rsidRDefault="007612FA" w:rsidP="00EF040C">
            <w:pPr>
              <w:spacing w:before="60" w:after="60"/>
              <w:rPr>
                <w:szCs w:val="22"/>
              </w:rPr>
            </w:pPr>
            <w:r w:rsidRPr="007B3033">
              <w:rPr>
                <w:sz w:val="22"/>
                <w:szCs w:val="22"/>
              </w:rPr>
              <w:t>Victims of Crime Commissioner</w:t>
            </w:r>
          </w:p>
        </w:tc>
        <w:tc>
          <w:tcPr>
            <w:tcW w:w="2410" w:type="dxa"/>
            <w:shd w:val="clear" w:color="auto" w:fill="auto"/>
            <w:vAlign w:val="bottom"/>
          </w:tcPr>
          <w:p w:rsidR="007612FA" w:rsidRPr="007B3033" w:rsidRDefault="007612FA" w:rsidP="007612FA">
            <w:pPr>
              <w:rPr>
                <w:bCs/>
                <w:sz w:val="22"/>
                <w:szCs w:val="22"/>
              </w:rPr>
            </w:pPr>
            <w:r w:rsidRPr="007B3033">
              <w:rPr>
                <w:bCs/>
                <w:sz w:val="22"/>
                <w:szCs w:val="22"/>
              </w:rPr>
              <w:t>$188,600</w:t>
            </w:r>
          </w:p>
        </w:tc>
      </w:tr>
    </w:tbl>
    <w:p w:rsidR="00DC6C6D" w:rsidRPr="00E433F0" w:rsidRDefault="00DC6C6D" w:rsidP="00AE2CF2">
      <w:pPr>
        <w:numPr>
          <w:ilvl w:val="1"/>
          <w:numId w:val="4"/>
        </w:numPr>
        <w:tabs>
          <w:tab w:val="clear" w:pos="720"/>
          <w:tab w:val="num" w:pos="0"/>
        </w:tabs>
        <w:spacing w:before="140" w:after="60"/>
        <w:ind w:left="709" w:hanging="709"/>
      </w:pPr>
      <w:r w:rsidRPr="00E433F0">
        <w:t xml:space="preserve">A person appointed to an office listed in column 1 of Table 2.1 </w:t>
      </w:r>
      <w:r w:rsidR="000E19B1">
        <w:t xml:space="preserve">or Table 2.2 </w:t>
      </w:r>
      <w:r w:rsidRPr="00E433F0">
        <w:t xml:space="preserve">must not receive the </w:t>
      </w:r>
      <w:r>
        <w:t xml:space="preserve">salary </w:t>
      </w:r>
      <w:r w:rsidRPr="00E433F0">
        <w:t xml:space="preserve">mentioned in column 2 if the person is paid a higher </w:t>
      </w:r>
      <w:r>
        <w:t xml:space="preserve">salary </w:t>
      </w:r>
      <w:r w:rsidRPr="00E433F0">
        <w:t>for that office from another source.</w:t>
      </w:r>
    </w:p>
    <w:p w:rsidR="00DC6C6D" w:rsidRDefault="00DC6C6D" w:rsidP="00AE2CF2">
      <w:pPr>
        <w:numPr>
          <w:ilvl w:val="1"/>
          <w:numId w:val="4"/>
        </w:numPr>
        <w:tabs>
          <w:tab w:val="clear" w:pos="720"/>
          <w:tab w:val="num" w:pos="0"/>
        </w:tabs>
        <w:spacing w:before="80" w:after="60"/>
        <w:ind w:left="709" w:hanging="709"/>
      </w:pPr>
      <w:r w:rsidRPr="00E433F0">
        <w:t>If a person appointed to an office listed in column 1 of Table 2.1</w:t>
      </w:r>
      <w:r w:rsidR="00CA0D6A">
        <w:t xml:space="preserve"> or Table 2.2</w:t>
      </w:r>
      <w:r w:rsidRPr="00E433F0">
        <w:t xml:space="preserve"> is also appointed to another office, which is not a second job under the </w:t>
      </w:r>
      <w:r w:rsidRPr="00E433F0">
        <w:rPr>
          <w:i/>
        </w:rPr>
        <w:t>Public Sector Management Act 1994</w:t>
      </w:r>
      <w:r w:rsidRPr="00E433F0">
        <w:t xml:space="preserve">, the person must only receive </w:t>
      </w:r>
      <w:r>
        <w:t xml:space="preserve">salary </w:t>
      </w:r>
      <w:r w:rsidRPr="00E433F0">
        <w:t>for the office that has the highest remuneration.</w:t>
      </w:r>
    </w:p>
    <w:p w:rsidR="0069220A" w:rsidRPr="0040603C" w:rsidRDefault="0069220A" w:rsidP="00031CFC">
      <w:pPr>
        <w:pStyle w:val="Heading3"/>
        <w:keepLines w:val="0"/>
        <w:ind w:left="709" w:hanging="709"/>
        <w:rPr>
          <w:rFonts w:cs="Arial"/>
          <w:szCs w:val="26"/>
        </w:rPr>
      </w:pPr>
      <w:r w:rsidRPr="0040603C">
        <w:rPr>
          <w:rFonts w:cs="Arial"/>
          <w:szCs w:val="26"/>
        </w:rPr>
        <w:t>Salary packaging</w:t>
      </w:r>
    </w:p>
    <w:p w:rsidR="0069220A" w:rsidRDefault="0069220A" w:rsidP="0069220A">
      <w:pPr>
        <w:numPr>
          <w:ilvl w:val="1"/>
          <w:numId w:val="4"/>
        </w:numPr>
        <w:tabs>
          <w:tab w:val="clear" w:pos="720"/>
          <w:tab w:val="num" w:pos="0"/>
        </w:tabs>
        <w:spacing w:before="80" w:after="60"/>
        <w:ind w:left="709" w:hanging="709"/>
      </w:pPr>
      <w:r w:rsidRPr="00E433F0">
        <w:t>A person appointed to an office listed in column 1 of Table 2.1</w:t>
      </w:r>
      <w:r w:rsidR="00CA0D6A">
        <w:t xml:space="preserve"> or Table 2.2</w:t>
      </w:r>
      <w:r>
        <w:t xml:space="preserve"> </w:t>
      </w:r>
      <w:r w:rsidRPr="00BF6FC8">
        <w:t xml:space="preserve">may elect to take </w:t>
      </w:r>
      <w:r>
        <w:t xml:space="preserve">the </w:t>
      </w:r>
      <w:r w:rsidRPr="00BF6FC8">
        <w:t xml:space="preserve">remuneration </w:t>
      </w:r>
      <w:r w:rsidRPr="00E433F0">
        <w:t>mentioned</w:t>
      </w:r>
      <w:r>
        <w:t xml:space="preserve"> in </w:t>
      </w:r>
      <w:r w:rsidRPr="00E433F0">
        <w:t>column 2 of Table 2.1</w:t>
      </w:r>
      <w:r w:rsidR="000E19B1">
        <w:t xml:space="preserve"> or Table 2.2</w:t>
      </w:r>
      <w:r w:rsidRPr="00BF6FC8">
        <w:t xml:space="preserve"> as</w:t>
      </w:r>
      <w:r>
        <w:t>:</w:t>
      </w:r>
    </w:p>
    <w:p w:rsidR="0069220A" w:rsidRDefault="0069220A" w:rsidP="0069220A">
      <w:pPr>
        <w:numPr>
          <w:ilvl w:val="2"/>
          <w:numId w:val="4"/>
        </w:numPr>
        <w:tabs>
          <w:tab w:val="clear" w:pos="720"/>
        </w:tabs>
        <w:spacing w:after="60"/>
        <w:ind w:left="1134" w:hanging="436"/>
      </w:pPr>
      <w:r w:rsidRPr="00BF6FC8">
        <w:t>salary</w:t>
      </w:r>
      <w:r>
        <w:t>;</w:t>
      </w:r>
      <w:r w:rsidRPr="00BF6FC8">
        <w:t xml:space="preserve"> or </w:t>
      </w:r>
    </w:p>
    <w:p w:rsidR="0069220A" w:rsidRPr="00BF6FC8" w:rsidRDefault="0069220A" w:rsidP="0069220A">
      <w:pPr>
        <w:numPr>
          <w:ilvl w:val="2"/>
          <w:numId w:val="4"/>
        </w:numPr>
        <w:tabs>
          <w:tab w:val="clear" w:pos="720"/>
        </w:tabs>
        <w:spacing w:after="60"/>
        <w:ind w:left="1134" w:hanging="436"/>
      </w:pPr>
      <w:proofErr w:type="gramStart"/>
      <w:r w:rsidRPr="00BF6FC8">
        <w:t>a</w:t>
      </w:r>
      <w:proofErr w:type="gramEnd"/>
      <w:r w:rsidRPr="00BF6FC8">
        <w:t xml:space="preserve"> combination of salary and other benefits</w:t>
      </w:r>
      <w:r>
        <w:t xml:space="preserve"> (</w:t>
      </w:r>
      <w:r w:rsidRPr="00B93392">
        <w:t xml:space="preserve">a </w:t>
      </w:r>
      <w:r>
        <w:rPr>
          <w:b/>
          <w:i/>
        </w:rPr>
        <w:t>salary package</w:t>
      </w:r>
      <w:r>
        <w:t>)</w:t>
      </w:r>
      <w:r w:rsidRPr="00BF6FC8">
        <w:t>.</w:t>
      </w:r>
    </w:p>
    <w:p w:rsidR="0069220A" w:rsidRDefault="0069220A" w:rsidP="0069220A">
      <w:pPr>
        <w:keepNext/>
        <w:keepLines/>
        <w:numPr>
          <w:ilvl w:val="1"/>
          <w:numId w:val="4"/>
        </w:numPr>
        <w:tabs>
          <w:tab w:val="clear" w:pos="720"/>
          <w:tab w:val="num" w:pos="0"/>
        </w:tabs>
        <w:spacing w:before="80" w:after="60"/>
        <w:ind w:left="709" w:hanging="709"/>
      </w:pPr>
      <w:r>
        <w:t>Salary packaging must</w:t>
      </w:r>
      <w:r w:rsidRPr="00BF6FC8">
        <w:t xml:space="preserve"> be</w:t>
      </w:r>
      <w:r>
        <w:t xml:space="preserve"> </w:t>
      </w:r>
      <w:r w:rsidRPr="00BF6FC8">
        <w:t>consistent with</w:t>
      </w:r>
      <w:r>
        <w:t>:</w:t>
      </w:r>
    </w:p>
    <w:p w:rsidR="0069220A" w:rsidRDefault="0069220A" w:rsidP="0069220A">
      <w:pPr>
        <w:numPr>
          <w:ilvl w:val="2"/>
          <w:numId w:val="4"/>
        </w:numPr>
        <w:tabs>
          <w:tab w:val="clear" w:pos="720"/>
        </w:tabs>
        <w:spacing w:after="60"/>
        <w:ind w:left="1134" w:hanging="436"/>
      </w:pPr>
      <w:r w:rsidRPr="00BF6FC8">
        <w:t>taxation laws and guidelines issued by</w:t>
      </w:r>
      <w:r>
        <w:t xml:space="preserve"> the Australian Taxation Office; and</w:t>
      </w:r>
    </w:p>
    <w:p w:rsidR="0069220A" w:rsidRPr="005C2122" w:rsidRDefault="0069220A" w:rsidP="0069220A">
      <w:pPr>
        <w:numPr>
          <w:ilvl w:val="2"/>
          <w:numId w:val="4"/>
        </w:numPr>
        <w:tabs>
          <w:tab w:val="clear" w:pos="720"/>
        </w:tabs>
        <w:spacing w:after="60"/>
        <w:ind w:left="1134" w:hanging="436"/>
      </w:pPr>
      <w:r w:rsidRPr="00501D02">
        <w:t>any salary packaging policy and/or procedures issued for the ACT Public Service</w:t>
      </w:r>
      <w:r w:rsidRPr="005C2122">
        <w:t>, with up to 100% of the remuneration a</w:t>
      </w:r>
      <w:r>
        <w:t>b</w:t>
      </w:r>
      <w:r w:rsidRPr="005C2122">
        <w:t xml:space="preserve">le to be taken as benefits and related costs </w:t>
      </w:r>
      <w:r>
        <w:t>such as</w:t>
      </w:r>
      <w:r w:rsidRPr="005C2122">
        <w:t xml:space="preserve"> </w:t>
      </w:r>
      <w:r>
        <w:t>f</w:t>
      </w:r>
      <w:r w:rsidRPr="005C2122">
        <w:t xml:space="preserve">ringe </w:t>
      </w:r>
      <w:r>
        <w:t>b</w:t>
      </w:r>
      <w:r w:rsidRPr="005C2122">
        <w:t xml:space="preserve">enefits </w:t>
      </w:r>
      <w:r>
        <w:t>t</w:t>
      </w:r>
      <w:r w:rsidRPr="005C2122">
        <w:t xml:space="preserve">ax. </w:t>
      </w:r>
    </w:p>
    <w:p w:rsidR="0069220A" w:rsidRPr="00BF6FC8" w:rsidRDefault="0069220A" w:rsidP="0069220A">
      <w:pPr>
        <w:numPr>
          <w:ilvl w:val="1"/>
          <w:numId w:val="4"/>
        </w:numPr>
        <w:tabs>
          <w:tab w:val="clear" w:pos="720"/>
          <w:tab w:val="num" w:pos="0"/>
        </w:tabs>
        <w:spacing w:before="80" w:after="60"/>
        <w:ind w:left="709" w:hanging="709"/>
      </w:pPr>
      <w:r>
        <w:t>Salary packaging must</w:t>
      </w:r>
      <w:r w:rsidRPr="00BF6FC8">
        <w:t xml:space="preserve"> be administered </w:t>
      </w:r>
      <w:r>
        <w:t xml:space="preserve">without </w:t>
      </w:r>
      <w:r w:rsidRPr="00BF6FC8">
        <w:t xml:space="preserve">additional cost to the </w:t>
      </w:r>
      <w:r>
        <w:t>employer and</w:t>
      </w:r>
      <w:r w:rsidRPr="00BF6FC8">
        <w:t xml:space="preserve"> any </w:t>
      </w:r>
      <w:r w:rsidRPr="006368F6">
        <w:t>fringe benefits tax</w:t>
      </w:r>
      <w:r w:rsidRPr="00BF6FC8">
        <w:t xml:space="preserve"> associated with the provision of a benefit </w:t>
      </w:r>
      <w:r>
        <w:t>must</w:t>
      </w:r>
      <w:r w:rsidRPr="00BF6FC8">
        <w:t xml:space="preserve"> be included in the salary package.</w:t>
      </w:r>
    </w:p>
    <w:p w:rsidR="0069220A" w:rsidRDefault="0069220A" w:rsidP="0069220A">
      <w:pPr>
        <w:numPr>
          <w:ilvl w:val="1"/>
          <w:numId w:val="4"/>
        </w:numPr>
        <w:tabs>
          <w:tab w:val="clear" w:pos="720"/>
          <w:tab w:val="num" w:pos="0"/>
        </w:tabs>
        <w:spacing w:before="80" w:after="60"/>
        <w:ind w:left="709" w:hanging="709"/>
      </w:pPr>
      <w:r>
        <w:t>S</w:t>
      </w:r>
      <w:r w:rsidRPr="00BF6FC8">
        <w:t xml:space="preserve">alary for superannuation purposes is </w:t>
      </w:r>
      <w:r>
        <w:t xml:space="preserve">not </w:t>
      </w:r>
      <w:r w:rsidRPr="00BF6FC8">
        <w:t>affected by salary packaging.</w:t>
      </w:r>
    </w:p>
    <w:p w:rsidR="0069220A" w:rsidRPr="0040603C" w:rsidRDefault="0069220A" w:rsidP="00031CFC">
      <w:pPr>
        <w:pStyle w:val="Heading3"/>
        <w:keepLines w:val="0"/>
        <w:ind w:left="709" w:hanging="709"/>
        <w:rPr>
          <w:rFonts w:cs="Arial"/>
          <w:szCs w:val="26"/>
        </w:rPr>
      </w:pPr>
      <w:r w:rsidRPr="0040603C">
        <w:rPr>
          <w:rFonts w:cs="Arial"/>
          <w:szCs w:val="26"/>
        </w:rPr>
        <w:lastRenderedPageBreak/>
        <w:t>Employer provided benefits</w:t>
      </w:r>
    </w:p>
    <w:p w:rsidR="00C616D7" w:rsidRPr="00C616D7" w:rsidRDefault="00EE2454" w:rsidP="00031CFC">
      <w:pPr>
        <w:keepNext/>
        <w:keepLines/>
        <w:numPr>
          <w:ilvl w:val="1"/>
          <w:numId w:val="4"/>
        </w:numPr>
        <w:tabs>
          <w:tab w:val="clear" w:pos="720"/>
        </w:tabs>
        <w:spacing w:before="80" w:after="60"/>
        <w:ind w:left="709" w:hanging="709"/>
        <w:rPr>
          <w:b/>
          <w:szCs w:val="24"/>
        </w:rPr>
      </w:pPr>
      <w:r>
        <w:rPr>
          <w:szCs w:val="24"/>
        </w:rPr>
        <w:t>A F</w:t>
      </w:r>
      <w:r w:rsidR="0069220A" w:rsidRPr="00C616D7">
        <w:rPr>
          <w:szCs w:val="24"/>
        </w:rPr>
        <w:t>ull-time Statutory Office Holder is entitled to either the employer provided benefits mentioned in column 1 of Table 4.1 or the relevant cash payment in lieu of the benefit mentioned in column 2 of Table 4.1.</w:t>
      </w:r>
    </w:p>
    <w:p w:rsidR="0069220A" w:rsidRPr="00C616D7" w:rsidRDefault="0069220A" w:rsidP="00031CFC">
      <w:pPr>
        <w:keepNext/>
        <w:keepLines/>
        <w:numPr>
          <w:ilvl w:val="1"/>
          <w:numId w:val="4"/>
        </w:numPr>
        <w:tabs>
          <w:tab w:val="clear" w:pos="720"/>
        </w:tabs>
        <w:spacing w:before="80" w:after="60"/>
        <w:ind w:left="709" w:hanging="709"/>
        <w:rPr>
          <w:b/>
          <w:szCs w:val="24"/>
        </w:rPr>
      </w:pPr>
      <w:r w:rsidRPr="00C616D7">
        <w:rPr>
          <w:b/>
          <w:szCs w:val="24"/>
        </w:rPr>
        <w:t>TABLE 4.1</w:t>
      </w:r>
    </w:p>
    <w:tbl>
      <w:tblPr>
        <w:tblW w:w="0" w:type="auto"/>
        <w:tblInd w:w="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bottom w:w="28" w:type="dxa"/>
        </w:tblCellMar>
        <w:tblLook w:val="0000"/>
      </w:tblPr>
      <w:tblGrid>
        <w:gridCol w:w="4253"/>
        <w:gridCol w:w="3969"/>
      </w:tblGrid>
      <w:tr w:rsidR="0069220A" w:rsidRPr="00A05757" w:rsidTr="0069220A">
        <w:trPr>
          <w:cantSplit/>
          <w:tblHeader/>
        </w:trPr>
        <w:tc>
          <w:tcPr>
            <w:tcW w:w="4253" w:type="dxa"/>
          </w:tcPr>
          <w:p w:rsidR="0069220A" w:rsidRPr="00E86C25" w:rsidRDefault="0069220A" w:rsidP="0069220A">
            <w:pPr>
              <w:pStyle w:val="Header"/>
              <w:keepNext/>
              <w:keepLines/>
              <w:tabs>
                <w:tab w:val="clear" w:pos="4153"/>
                <w:tab w:val="clear" w:pos="8306"/>
              </w:tabs>
              <w:spacing w:before="60" w:after="60"/>
              <w:rPr>
                <w:sz w:val="20"/>
              </w:rPr>
            </w:pPr>
            <w:r w:rsidRPr="00E86C25">
              <w:rPr>
                <w:sz w:val="20"/>
              </w:rPr>
              <w:t>Column 1</w:t>
            </w:r>
          </w:p>
          <w:p w:rsidR="0069220A" w:rsidRPr="00E86C25" w:rsidRDefault="0069220A" w:rsidP="0069220A">
            <w:pPr>
              <w:pStyle w:val="Header"/>
              <w:keepNext/>
              <w:keepLines/>
              <w:tabs>
                <w:tab w:val="clear" w:pos="4153"/>
                <w:tab w:val="clear" w:pos="8306"/>
              </w:tabs>
              <w:spacing w:before="60" w:after="60"/>
              <w:rPr>
                <w:b/>
                <w:szCs w:val="24"/>
              </w:rPr>
            </w:pPr>
            <w:r w:rsidRPr="00E86C25">
              <w:rPr>
                <w:b/>
                <w:szCs w:val="24"/>
              </w:rPr>
              <w:t>employer provided benefit</w:t>
            </w:r>
          </w:p>
        </w:tc>
        <w:tc>
          <w:tcPr>
            <w:tcW w:w="3969" w:type="dxa"/>
          </w:tcPr>
          <w:p w:rsidR="0069220A" w:rsidRPr="00E86C25" w:rsidRDefault="0069220A" w:rsidP="0069220A">
            <w:pPr>
              <w:pStyle w:val="Header"/>
              <w:keepNext/>
              <w:keepLines/>
              <w:tabs>
                <w:tab w:val="clear" w:pos="4153"/>
                <w:tab w:val="clear" w:pos="8306"/>
              </w:tabs>
              <w:spacing w:before="60" w:after="60"/>
              <w:rPr>
                <w:sz w:val="20"/>
              </w:rPr>
            </w:pPr>
            <w:r w:rsidRPr="00E86C25">
              <w:rPr>
                <w:sz w:val="20"/>
              </w:rPr>
              <w:t>Column 2</w:t>
            </w:r>
          </w:p>
          <w:p w:rsidR="0069220A" w:rsidRPr="00E86C25" w:rsidRDefault="0069220A" w:rsidP="0069220A">
            <w:pPr>
              <w:pStyle w:val="Header"/>
              <w:keepNext/>
              <w:keepLines/>
              <w:tabs>
                <w:tab w:val="clear" w:pos="4153"/>
                <w:tab w:val="clear" w:pos="8306"/>
              </w:tabs>
              <w:spacing w:before="60" w:after="60"/>
              <w:rPr>
                <w:b/>
                <w:szCs w:val="24"/>
              </w:rPr>
            </w:pPr>
            <w:r w:rsidRPr="00E86C25">
              <w:rPr>
                <w:b/>
                <w:szCs w:val="24"/>
              </w:rPr>
              <w:t>cash payment in lieu of benefit</w:t>
            </w:r>
          </w:p>
        </w:tc>
      </w:tr>
      <w:tr w:rsidR="0069220A" w:rsidRPr="00A05757" w:rsidTr="0069220A">
        <w:trPr>
          <w:cantSplit/>
        </w:trPr>
        <w:tc>
          <w:tcPr>
            <w:tcW w:w="4253" w:type="dxa"/>
          </w:tcPr>
          <w:p w:rsidR="0069220A" w:rsidRPr="00E86C25" w:rsidRDefault="0069220A" w:rsidP="0069220A">
            <w:pPr>
              <w:pStyle w:val="BodyText2"/>
              <w:rPr>
                <w:szCs w:val="24"/>
              </w:rPr>
            </w:pPr>
            <w:r w:rsidRPr="00E86C25">
              <w:rPr>
                <w:szCs w:val="24"/>
              </w:rPr>
              <w:t>employer’s superannuation contribution</w:t>
            </w:r>
          </w:p>
        </w:tc>
        <w:tc>
          <w:tcPr>
            <w:tcW w:w="3969" w:type="dxa"/>
          </w:tcPr>
          <w:p w:rsidR="0069220A" w:rsidRPr="00E86C25" w:rsidRDefault="0069220A" w:rsidP="0069220A">
            <w:pPr>
              <w:pStyle w:val="Header"/>
              <w:tabs>
                <w:tab w:val="clear" w:pos="4153"/>
                <w:tab w:val="clear" w:pos="8306"/>
              </w:tabs>
              <w:rPr>
                <w:szCs w:val="24"/>
              </w:rPr>
            </w:pPr>
            <w:r w:rsidRPr="00E86C25">
              <w:rPr>
                <w:szCs w:val="24"/>
              </w:rPr>
              <w:t>no option for cash payment in lieu</w:t>
            </w:r>
          </w:p>
        </w:tc>
      </w:tr>
      <w:tr w:rsidR="0069220A" w:rsidRPr="00A05757" w:rsidTr="0069220A">
        <w:trPr>
          <w:cantSplit/>
        </w:trPr>
        <w:tc>
          <w:tcPr>
            <w:tcW w:w="4253" w:type="dxa"/>
          </w:tcPr>
          <w:p w:rsidR="0069220A" w:rsidRPr="00E433F0" w:rsidRDefault="0069220A" w:rsidP="0069220A">
            <w:pPr>
              <w:rPr>
                <w:szCs w:val="24"/>
              </w:rPr>
            </w:pPr>
            <w:r w:rsidRPr="00E433F0">
              <w:rPr>
                <w:szCs w:val="24"/>
              </w:rPr>
              <w:t>executive vehicle</w:t>
            </w:r>
          </w:p>
        </w:tc>
        <w:tc>
          <w:tcPr>
            <w:tcW w:w="3969" w:type="dxa"/>
            <w:vMerge w:val="restart"/>
          </w:tcPr>
          <w:p w:rsidR="0069220A" w:rsidRPr="00E86C25" w:rsidRDefault="0069220A" w:rsidP="0069220A">
            <w:pPr>
              <w:pStyle w:val="Header"/>
              <w:tabs>
                <w:tab w:val="clear" w:pos="4153"/>
                <w:tab w:val="clear" w:pos="8306"/>
              </w:tabs>
            </w:pPr>
            <w:r w:rsidRPr="00E86C25">
              <w:rPr>
                <w:szCs w:val="24"/>
              </w:rPr>
              <w:t>under the</w:t>
            </w:r>
            <w:r w:rsidRPr="00E86C25">
              <w:rPr>
                <w:i/>
                <w:szCs w:val="24"/>
              </w:rPr>
              <w:t xml:space="preserve"> </w:t>
            </w:r>
            <w:r w:rsidRPr="00E42AEF">
              <w:rPr>
                <w:i/>
                <w:szCs w:val="24"/>
              </w:rPr>
              <w:t>Public Sector Management Standards 2006</w:t>
            </w:r>
          </w:p>
        </w:tc>
      </w:tr>
      <w:tr w:rsidR="0069220A" w:rsidRPr="00A05757" w:rsidTr="0069220A">
        <w:trPr>
          <w:cantSplit/>
        </w:trPr>
        <w:tc>
          <w:tcPr>
            <w:tcW w:w="4253" w:type="dxa"/>
          </w:tcPr>
          <w:p w:rsidR="0069220A" w:rsidRPr="00E433F0" w:rsidRDefault="0069220A" w:rsidP="0069220A">
            <w:pPr>
              <w:rPr>
                <w:szCs w:val="24"/>
              </w:rPr>
            </w:pPr>
            <w:r w:rsidRPr="00E433F0">
              <w:rPr>
                <w:szCs w:val="24"/>
              </w:rPr>
              <w:t>parking space</w:t>
            </w:r>
          </w:p>
        </w:tc>
        <w:tc>
          <w:tcPr>
            <w:tcW w:w="3969" w:type="dxa"/>
            <w:vMerge/>
          </w:tcPr>
          <w:p w:rsidR="0069220A" w:rsidRPr="00E433F0" w:rsidRDefault="0069220A" w:rsidP="0069220A">
            <w:pPr>
              <w:rPr>
                <w:szCs w:val="24"/>
              </w:rPr>
            </w:pPr>
          </w:p>
        </w:tc>
      </w:tr>
      <w:tr w:rsidR="0069220A" w:rsidRPr="00A05757" w:rsidTr="0069220A">
        <w:trPr>
          <w:cantSplit/>
        </w:trPr>
        <w:tc>
          <w:tcPr>
            <w:tcW w:w="4253" w:type="dxa"/>
          </w:tcPr>
          <w:p w:rsidR="0069220A" w:rsidRPr="00E433F0" w:rsidRDefault="0069220A" w:rsidP="0069220A">
            <w:pPr>
              <w:rPr>
                <w:szCs w:val="24"/>
              </w:rPr>
            </w:pPr>
            <w:r w:rsidRPr="00E433F0">
              <w:rPr>
                <w:szCs w:val="24"/>
              </w:rPr>
              <w:t>fringe benefits tax</w:t>
            </w:r>
          </w:p>
        </w:tc>
        <w:tc>
          <w:tcPr>
            <w:tcW w:w="3969" w:type="dxa"/>
          </w:tcPr>
          <w:p w:rsidR="0069220A" w:rsidRPr="00E433F0" w:rsidRDefault="0069220A" w:rsidP="0069220A">
            <w:pPr>
              <w:rPr>
                <w:szCs w:val="24"/>
              </w:rPr>
            </w:pPr>
            <w:r w:rsidRPr="00E433F0">
              <w:rPr>
                <w:szCs w:val="24"/>
              </w:rPr>
              <w:t>$7,000</w:t>
            </w:r>
          </w:p>
        </w:tc>
      </w:tr>
    </w:tbl>
    <w:p w:rsidR="0069220A" w:rsidRPr="00363435" w:rsidRDefault="0069220A" w:rsidP="0069220A">
      <w:pPr>
        <w:keepNext/>
        <w:autoSpaceDE w:val="0"/>
        <w:autoSpaceDN w:val="0"/>
        <w:adjustRightInd w:val="0"/>
        <w:spacing w:before="80" w:after="60"/>
        <w:ind w:left="1276" w:hanging="567"/>
        <w:rPr>
          <w:sz w:val="20"/>
          <w:lang w:val="en-US"/>
        </w:rPr>
      </w:pPr>
      <w:r w:rsidRPr="00363435">
        <w:rPr>
          <w:sz w:val="20"/>
          <w:lang w:val="en-US"/>
        </w:rPr>
        <w:t>Note:</w:t>
      </w:r>
      <w:r w:rsidRPr="00363435">
        <w:rPr>
          <w:sz w:val="20"/>
          <w:lang w:val="en-US"/>
        </w:rPr>
        <w:tab/>
        <w:t>employer provided benefits or cash payment in lieu of the benefit do not change the remuneration component of the total remuneration package.</w:t>
      </w:r>
    </w:p>
    <w:p w:rsidR="0069220A" w:rsidRPr="0040603C" w:rsidRDefault="0069220A" w:rsidP="00031CFC">
      <w:pPr>
        <w:pStyle w:val="Heading3"/>
        <w:keepLines w:val="0"/>
        <w:ind w:left="709" w:hanging="709"/>
        <w:rPr>
          <w:rFonts w:cs="Arial"/>
          <w:szCs w:val="26"/>
        </w:rPr>
      </w:pPr>
      <w:r w:rsidRPr="0040603C">
        <w:rPr>
          <w:rFonts w:cs="Arial"/>
          <w:szCs w:val="26"/>
        </w:rPr>
        <w:t>Employer’s superannuation contribution</w:t>
      </w:r>
    </w:p>
    <w:p w:rsidR="0069220A" w:rsidRPr="00A05757" w:rsidRDefault="0069220A" w:rsidP="0069220A">
      <w:pPr>
        <w:numPr>
          <w:ilvl w:val="1"/>
          <w:numId w:val="4"/>
        </w:numPr>
        <w:tabs>
          <w:tab w:val="clear" w:pos="720"/>
        </w:tabs>
        <w:spacing w:before="80" w:after="60"/>
        <w:ind w:left="709" w:hanging="709"/>
        <w:rPr>
          <w:szCs w:val="24"/>
          <w:lang w:val="en-US"/>
        </w:rPr>
      </w:pPr>
      <w:r w:rsidRPr="00A05757">
        <w:rPr>
          <w:szCs w:val="24"/>
        </w:rPr>
        <w:t xml:space="preserve">A </w:t>
      </w:r>
      <w:r>
        <w:rPr>
          <w:szCs w:val="24"/>
        </w:rPr>
        <w:t>F</w:t>
      </w:r>
      <w:r w:rsidRPr="00A05757">
        <w:rPr>
          <w:szCs w:val="24"/>
        </w:rPr>
        <w:t xml:space="preserve">ull-time </w:t>
      </w:r>
      <w:r>
        <w:rPr>
          <w:szCs w:val="24"/>
        </w:rPr>
        <w:t>Statutory Office Holder</w:t>
      </w:r>
      <w:r w:rsidRPr="00A05757">
        <w:rPr>
          <w:szCs w:val="24"/>
        </w:rPr>
        <w:t xml:space="preserve"> is only eligible for the </w:t>
      </w:r>
      <w:r>
        <w:rPr>
          <w:szCs w:val="24"/>
        </w:rPr>
        <w:t>e</w:t>
      </w:r>
      <w:r w:rsidRPr="00A05757">
        <w:rPr>
          <w:szCs w:val="24"/>
        </w:rPr>
        <w:t xml:space="preserve">mployer’s </w:t>
      </w:r>
      <w:r>
        <w:rPr>
          <w:szCs w:val="24"/>
        </w:rPr>
        <w:t>s</w:t>
      </w:r>
      <w:r w:rsidRPr="00A05757">
        <w:rPr>
          <w:szCs w:val="24"/>
        </w:rPr>
        <w:t xml:space="preserve">uperannuation </w:t>
      </w:r>
      <w:r>
        <w:rPr>
          <w:szCs w:val="24"/>
        </w:rPr>
        <w:t>c</w:t>
      </w:r>
      <w:r w:rsidRPr="00A05757">
        <w:rPr>
          <w:szCs w:val="24"/>
        </w:rPr>
        <w:t xml:space="preserve">ontribution </w:t>
      </w:r>
      <w:r w:rsidRPr="00A05757">
        <w:rPr>
          <w:szCs w:val="24"/>
          <w:lang w:val="en-US"/>
        </w:rPr>
        <w:t xml:space="preserve">if their </w:t>
      </w:r>
      <w:r w:rsidRPr="00A05757">
        <w:rPr>
          <w:szCs w:val="24"/>
        </w:rPr>
        <w:t>superannuation</w:t>
      </w:r>
      <w:r w:rsidRPr="00A05757">
        <w:rPr>
          <w:szCs w:val="24"/>
          <w:lang w:val="en-US"/>
        </w:rPr>
        <w:t xml:space="preserve"> entitlements are not provided elsewhere.  </w:t>
      </w:r>
    </w:p>
    <w:p w:rsidR="0069220A" w:rsidRPr="00A05757" w:rsidRDefault="0069220A" w:rsidP="0069220A">
      <w:pPr>
        <w:numPr>
          <w:ilvl w:val="1"/>
          <w:numId w:val="4"/>
        </w:numPr>
        <w:tabs>
          <w:tab w:val="clear" w:pos="720"/>
        </w:tabs>
        <w:spacing w:before="80" w:after="60"/>
        <w:ind w:left="709" w:hanging="709"/>
        <w:rPr>
          <w:szCs w:val="24"/>
          <w:lang w:val="en-US"/>
        </w:rPr>
      </w:pPr>
      <w:r w:rsidRPr="00A05757">
        <w:rPr>
          <w:szCs w:val="24"/>
        </w:rPr>
        <w:t xml:space="preserve">The </w:t>
      </w:r>
      <w:r>
        <w:rPr>
          <w:szCs w:val="24"/>
        </w:rPr>
        <w:t>e</w:t>
      </w:r>
      <w:r w:rsidRPr="00A05757">
        <w:rPr>
          <w:szCs w:val="24"/>
        </w:rPr>
        <w:t xml:space="preserve">mployer’s </w:t>
      </w:r>
      <w:r>
        <w:rPr>
          <w:szCs w:val="24"/>
        </w:rPr>
        <w:t>s</w:t>
      </w:r>
      <w:r w:rsidRPr="00A05757">
        <w:rPr>
          <w:szCs w:val="24"/>
        </w:rPr>
        <w:t xml:space="preserve">uperannuation </w:t>
      </w:r>
      <w:r>
        <w:rPr>
          <w:szCs w:val="24"/>
        </w:rPr>
        <w:t>c</w:t>
      </w:r>
      <w:r w:rsidRPr="00A05757">
        <w:rPr>
          <w:szCs w:val="24"/>
        </w:rPr>
        <w:t>ontribution</w:t>
      </w:r>
      <w:r w:rsidRPr="00A05757">
        <w:rPr>
          <w:szCs w:val="24"/>
          <w:lang w:val="en-US"/>
        </w:rPr>
        <w:t xml:space="preserve"> is subject to the </w:t>
      </w:r>
      <w:r w:rsidRPr="00A05757">
        <w:rPr>
          <w:i/>
          <w:iCs/>
          <w:szCs w:val="24"/>
          <w:lang w:val="en-US"/>
        </w:rPr>
        <w:t>Superannuation Act 1976</w:t>
      </w:r>
      <w:r w:rsidRPr="00A05757">
        <w:rPr>
          <w:szCs w:val="24"/>
          <w:lang w:val="en-US"/>
        </w:rPr>
        <w:t xml:space="preserve"> (</w:t>
      </w:r>
      <w:proofErr w:type="spellStart"/>
      <w:r w:rsidRPr="00A05757">
        <w:rPr>
          <w:szCs w:val="24"/>
          <w:lang w:val="en-US"/>
        </w:rPr>
        <w:t>Cth</w:t>
      </w:r>
      <w:proofErr w:type="spellEnd"/>
      <w:r w:rsidRPr="00A05757">
        <w:rPr>
          <w:szCs w:val="24"/>
          <w:lang w:val="en-US"/>
        </w:rPr>
        <w:t xml:space="preserve">), </w:t>
      </w:r>
      <w:r w:rsidRPr="00A05757">
        <w:rPr>
          <w:i/>
          <w:iCs/>
          <w:szCs w:val="24"/>
          <w:lang w:val="en-US"/>
        </w:rPr>
        <w:t>Superannuation Act 1990</w:t>
      </w:r>
      <w:r w:rsidRPr="00A05757">
        <w:rPr>
          <w:szCs w:val="24"/>
          <w:lang w:val="en-US"/>
        </w:rPr>
        <w:t xml:space="preserve"> (</w:t>
      </w:r>
      <w:proofErr w:type="spellStart"/>
      <w:r w:rsidRPr="00A05757">
        <w:rPr>
          <w:szCs w:val="24"/>
          <w:lang w:val="en-US"/>
        </w:rPr>
        <w:t>Cth</w:t>
      </w:r>
      <w:proofErr w:type="spellEnd"/>
      <w:r w:rsidRPr="00A05757">
        <w:rPr>
          <w:szCs w:val="24"/>
          <w:lang w:val="en-US"/>
        </w:rPr>
        <w:t xml:space="preserve">) and </w:t>
      </w:r>
      <w:r w:rsidRPr="00A05757">
        <w:rPr>
          <w:i/>
          <w:iCs/>
          <w:szCs w:val="24"/>
          <w:lang w:val="en-US"/>
        </w:rPr>
        <w:t>Superannuation Act 2005</w:t>
      </w:r>
      <w:r w:rsidRPr="00A05757">
        <w:rPr>
          <w:szCs w:val="24"/>
          <w:lang w:val="en-US"/>
        </w:rPr>
        <w:t xml:space="preserve"> (</w:t>
      </w:r>
      <w:proofErr w:type="spellStart"/>
      <w:r w:rsidRPr="00A05757">
        <w:rPr>
          <w:szCs w:val="24"/>
          <w:lang w:val="en-US"/>
        </w:rPr>
        <w:t>Cth</w:t>
      </w:r>
      <w:proofErr w:type="spellEnd"/>
      <w:r w:rsidRPr="00A05757">
        <w:rPr>
          <w:szCs w:val="24"/>
          <w:lang w:val="en-US"/>
        </w:rPr>
        <w:t>).</w:t>
      </w:r>
    </w:p>
    <w:p w:rsidR="0069220A" w:rsidRPr="0075183B" w:rsidRDefault="0069220A" w:rsidP="0069220A">
      <w:pPr>
        <w:keepNext/>
        <w:autoSpaceDE w:val="0"/>
        <w:autoSpaceDN w:val="0"/>
        <w:adjustRightInd w:val="0"/>
        <w:spacing w:before="80" w:after="60"/>
        <w:ind w:left="1276" w:hanging="567"/>
        <w:rPr>
          <w:sz w:val="20"/>
        </w:rPr>
      </w:pPr>
      <w:r>
        <w:rPr>
          <w:sz w:val="20"/>
          <w:lang w:val="en-US"/>
        </w:rPr>
        <w:t xml:space="preserve">Note: </w:t>
      </w:r>
      <w:r>
        <w:rPr>
          <w:sz w:val="20"/>
          <w:lang w:val="en-US"/>
        </w:rPr>
        <w:tab/>
        <w:t>s</w:t>
      </w:r>
      <w:r w:rsidRPr="0075183B">
        <w:rPr>
          <w:sz w:val="20"/>
          <w:lang w:val="en-US"/>
        </w:rPr>
        <w:t xml:space="preserve">ection </w:t>
      </w:r>
      <w:r w:rsidRPr="0050191D">
        <w:rPr>
          <w:sz w:val="20"/>
          <w:lang w:val="en-US"/>
        </w:rPr>
        <w:t>642</w:t>
      </w:r>
      <w:r w:rsidRPr="0075183B">
        <w:rPr>
          <w:sz w:val="20"/>
          <w:lang w:val="en-US"/>
        </w:rPr>
        <w:t xml:space="preserve"> of the </w:t>
      </w:r>
      <w:r w:rsidRPr="003D48F6">
        <w:rPr>
          <w:i/>
          <w:sz w:val="20"/>
          <w:lang w:val="en-US"/>
        </w:rPr>
        <w:t>Public Sector Management Standards 2006</w:t>
      </w:r>
      <w:r>
        <w:rPr>
          <w:sz w:val="20"/>
          <w:lang w:val="en-US"/>
        </w:rPr>
        <w:t xml:space="preserve"> sets out</w:t>
      </w:r>
      <w:r w:rsidRPr="0075183B">
        <w:rPr>
          <w:sz w:val="20"/>
          <w:lang w:val="en-US"/>
        </w:rPr>
        <w:t xml:space="preserve"> superannuation for </w:t>
      </w:r>
      <w:r>
        <w:rPr>
          <w:sz w:val="20"/>
          <w:lang w:val="en-US"/>
        </w:rPr>
        <w:t xml:space="preserve">some </w:t>
      </w:r>
      <w:r w:rsidRPr="0075183B">
        <w:rPr>
          <w:sz w:val="20"/>
          <w:lang w:val="en-US"/>
        </w:rPr>
        <w:t xml:space="preserve">statutory office holders </w:t>
      </w:r>
      <w:r>
        <w:rPr>
          <w:sz w:val="20"/>
          <w:lang w:val="en-US"/>
        </w:rPr>
        <w:t xml:space="preserve">appointed </w:t>
      </w:r>
      <w:r w:rsidRPr="0075183B">
        <w:rPr>
          <w:sz w:val="20"/>
          <w:lang w:val="en-US"/>
        </w:rPr>
        <w:t>from 1 July 2006.</w:t>
      </w:r>
    </w:p>
    <w:p w:rsidR="0069220A" w:rsidRPr="0075183B" w:rsidRDefault="0069220A" w:rsidP="0069220A">
      <w:pPr>
        <w:numPr>
          <w:ilvl w:val="1"/>
          <w:numId w:val="4"/>
        </w:numPr>
        <w:tabs>
          <w:tab w:val="clear" w:pos="720"/>
          <w:tab w:val="num" w:pos="0"/>
        </w:tabs>
        <w:spacing w:before="80" w:after="60"/>
        <w:ind w:left="709" w:hanging="709"/>
      </w:pPr>
      <w:r>
        <w:t>A</w:t>
      </w:r>
      <w:r w:rsidRPr="00BF6FC8">
        <w:t xml:space="preserve"> </w:t>
      </w:r>
      <w:r>
        <w:t>Full-time Statutory Office Holder</w:t>
      </w:r>
      <w:r>
        <w:rPr>
          <w:lang w:val="en-US"/>
        </w:rPr>
        <w:t xml:space="preserve"> </w:t>
      </w:r>
      <w:r w:rsidRPr="0075183B">
        <w:t xml:space="preserve">who is a member of </w:t>
      </w:r>
      <w:r>
        <w:t xml:space="preserve">the </w:t>
      </w:r>
      <w:r w:rsidRPr="007B3690">
        <w:t>CSS or PSS</w:t>
      </w:r>
      <w:r w:rsidRPr="00E433F0">
        <w:rPr>
          <w:rFonts w:eastAsia="Calibri"/>
          <w:szCs w:val="24"/>
        </w:rPr>
        <w:t>—</w:t>
      </w:r>
      <w:r w:rsidRPr="0075183B">
        <w:t xml:space="preserve"> </w:t>
      </w:r>
    </w:p>
    <w:p w:rsidR="0069220A" w:rsidRDefault="0069220A" w:rsidP="0069220A">
      <w:pPr>
        <w:numPr>
          <w:ilvl w:val="2"/>
          <w:numId w:val="4"/>
        </w:numPr>
        <w:tabs>
          <w:tab w:val="clear" w:pos="720"/>
        </w:tabs>
        <w:spacing w:after="60"/>
        <w:ind w:left="1134" w:hanging="436"/>
      </w:pPr>
      <w:r>
        <w:t>m</w:t>
      </w:r>
      <w:r w:rsidRPr="0075183B">
        <w:t>ay elect that the</w:t>
      </w:r>
      <w:r>
        <w:t xml:space="preserve"> employer continues to meet its requirements under the </w:t>
      </w:r>
      <w:r>
        <w:rPr>
          <w:i/>
        </w:rPr>
        <w:t>Superannuation Act 1976</w:t>
      </w:r>
      <w:r>
        <w:t xml:space="preserve"> (</w:t>
      </w:r>
      <w:proofErr w:type="spellStart"/>
      <w:r>
        <w:t>Cth</w:t>
      </w:r>
      <w:proofErr w:type="spellEnd"/>
      <w:r>
        <w:t xml:space="preserve">) and the </w:t>
      </w:r>
      <w:r>
        <w:rPr>
          <w:i/>
        </w:rPr>
        <w:t>Superannuation Act 1990</w:t>
      </w:r>
      <w:r>
        <w:t xml:space="preserve"> (</w:t>
      </w:r>
      <w:proofErr w:type="spellStart"/>
      <w:r>
        <w:t>Cth</w:t>
      </w:r>
      <w:proofErr w:type="spellEnd"/>
      <w:r>
        <w:t>) as they apply to people who are contributory members of the CSS and PSS; and</w:t>
      </w:r>
    </w:p>
    <w:p w:rsidR="0069220A" w:rsidRDefault="0069220A" w:rsidP="0069220A">
      <w:pPr>
        <w:numPr>
          <w:ilvl w:val="2"/>
          <w:numId w:val="4"/>
        </w:numPr>
        <w:tabs>
          <w:tab w:val="clear" w:pos="720"/>
        </w:tabs>
        <w:spacing w:after="60"/>
        <w:ind w:left="1134" w:hanging="436"/>
      </w:pPr>
      <w:proofErr w:type="gramStart"/>
      <w:r>
        <w:t>for</w:t>
      </w:r>
      <w:proofErr w:type="gramEnd"/>
      <w:r>
        <w:t xml:space="preserve"> the purposes of calculating this component of the total remuneration package, the value of the employer’s superannuation contribution will notionally be deemed to be 16% of their </w:t>
      </w:r>
      <w:r w:rsidRPr="0065168E">
        <w:t>remuneration</w:t>
      </w:r>
      <w:r>
        <w:t>.</w:t>
      </w:r>
    </w:p>
    <w:p w:rsidR="0069220A" w:rsidRDefault="0069220A" w:rsidP="0069220A">
      <w:pPr>
        <w:keepNext/>
        <w:keepLines/>
        <w:numPr>
          <w:ilvl w:val="1"/>
          <w:numId w:val="4"/>
        </w:numPr>
        <w:tabs>
          <w:tab w:val="clear" w:pos="720"/>
          <w:tab w:val="num" w:pos="0"/>
        </w:tabs>
        <w:spacing w:before="80" w:after="60"/>
        <w:ind w:left="709" w:hanging="709"/>
      </w:pPr>
      <w:r>
        <w:t xml:space="preserve">If </w:t>
      </w:r>
      <w:r w:rsidRPr="00BF6FC8">
        <w:t xml:space="preserve">a </w:t>
      </w:r>
      <w:r>
        <w:t>Full-time Statutory Office Holder who is not a member of the CSS or PSS was appointed to or engaged by the Territory before 30 June 2006, and maintained continuous employment with the Territory</w:t>
      </w:r>
      <w:r w:rsidRPr="00E433F0">
        <w:rPr>
          <w:rFonts w:eastAsia="Calibri"/>
          <w:szCs w:val="24"/>
        </w:rPr>
        <w:t>—</w:t>
      </w:r>
    </w:p>
    <w:p w:rsidR="0069220A" w:rsidRDefault="0069220A" w:rsidP="0069220A">
      <w:pPr>
        <w:numPr>
          <w:ilvl w:val="2"/>
          <w:numId w:val="4"/>
        </w:numPr>
        <w:tabs>
          <w:tab w:val="clear" w:pos="720"/>
        </w:tabs>
        <w:spacing w:after="60"/>
        <w:ind w:left="1134" w:hanging="436"/>
      </w:pPr>
      <w:r>
        <w:t>the value of the employer’s superannuation contribution is 16% of the remuneration component; and</w:t>
      </w:r>
    </w:p>
    <w:p w:rsidR="0069220A" w:rsidRDefault="0069220A" w:rsidP="0069220A">
      <w:pPr>
        <w:numPr>
          <w:ilvl w:val="2"/>
          <w:numId w:val="4"/>
        </w:numPr>
        <w:tabs>
          <w:tab w:val="clear" w:pos="720"/>
        </w:tabs>
        <w:spacing w:after="60"/>
        <w:ind w:left="1134" w:hanging="436"/>
      </w:pPr>
      <w:proofErr w:type="gramStart"/>
      <w:r>
        <w:t>the</w:t>
      </w:r>
      <w:proofErr w:type="gramEnd"/>
      <w:r>
        <w:t xml:space="preserve"> employer will contribute an amount equal to this on behalf of the Full-time Statutory Office Holder to an agreed superannuation fund nominated by the Full-time Statutory Office Holder.</w:t>
      </w:r>
    </w:p>
    <w:p w:rsidR="0069220A" w:rsidRDefault="0069220A" w:rsidP="0069220A">
      <w:pPr>
        <w:numPr>
          <w:ilvl w:val="1"/>
          <w:numId w:val="4"/>
        </w:numPr>
        <w:tabs>
          <w:tab w:val="clear" w:pos="720"/>
          <w:tab w:val="num" w:pos="0"/>
        </w:tabs>
        <w:spacing w:before="80" w:after="60"/>
        <w:ind w:left="709" w:hanging="709"/>
      </w:pPr>
      <w:r>
        <w:t>The</w:t>
      </w:r>
      <w:r>
        <w:rPr>
          <w:lang w:val="en-US"/>
        </w:rPr>
        <w:t xml:space="preserve"> </w:t>
      </w:r>
      <w:r>
        <w:t xml:space="preserve">value of the employer’s superannuation contribution must not be paid in cash to </w:t>
      </w:r>
      <w:r w:rsidRPr="00BF6FC8">
        <w:t xml:space="preserve">a </w:t>
      </w:r>
      <w:r>
        <w:t>Full-time Statutory Office Holder.</w:t>
      </w:r>
    </w:p>
    <w:p w:rsidR="0069220A" w:rsidRPr="0040603C" w:rsidRDefault="0069220A" w:rsidP="00031CFC">
      <w:pPr>
        <w:pStyle w:val="Heading3"/>
        <w:keepLines w:val="0"/>
        <w:ind w:left="709" w:hanging="709"/>
        <w:rPr>
          <w:rFonts w:cs="Arial"/>
          <w:szCs w:val="26"/>
        </w:rPr>
      </w:pPr>
      <w:r w:rsidRPr="0040603C">
        <w:rPr>
          <w:rFonts w:cs="Arial"/>
          <w:szCs w:val="26"/>
        </w:rPr>
        <w:lastRenderedPageBreak/>
        <w:t>Fringe benefit tax</w:t>
      </w:r>
    </w:p>
    <w:p w:rsidR="0069220A" w:rsidRPr="00BF6FC8" w:rsidRDefault="0069220A" w:rsidP="0069220A">
      <w:pPr>
        <w:numPr>
          <w:ilvl w:val="1"/>
          <w:numId w:val="4"/>
        </w:numPr>
        <w:tabs>
          <w:tab w:val="clear" w:pos="720"/>
          <w:tab w:val="num" w:pos="0"/>
        </w:tabs>
        <w:spacing w:before="80" w:after="60"/>
        <w:ind w:left="709" w:hanging="709"/>
      </w:pPr>
      <w:r w:rsidRPr="00BF6FC8">
        <w:t xml:space="preserve">The fringe benefits tax payable to a </w:t>
      </w:r>
      <w:r>
        <w:t>Full-time Statutory Office Holder</w:t>
      </w:r>
      <w:r w:rsidRPr="00BF6FC8">
        <w:t xml:space="preserve"> </w:t>
      </w:r>
      <w:r>
        <w:t>is</w:t>
      </w:r>
      <w:r w:rsidRPr="00BF6FC8">
        <w:t xml:space="preserve"> the amount remaining after the employer’s liability for </w:t>
      </w:r>
      <w:r>
        <w:t>f</w:t>
      </w:r>
      <w:r w:rsidRPr="00BF6FC8">
        <w:t xml:space="preserve">ringe </w:t>
      </w:r>
      <w:r>
        <w:t>b</w:t>
      </w:r>
      <w:r w:rsidRPr="00BF6FC8">
        <w:t xml:space="preserve">enefits </w:t>
      </w:r>
      <w:r>
        <w:t>t</w:t>
      </w:r>
      <w:r w:rsidRPr="00BF6FC8">
        <w:t xml:space="preserve">ax is calculated, as required under the </w:t>
      </w:r>
      <w:r w:rsidRPr="00BF6FC8">
        <w:rPr>
          <w:i/>
        </w:rPr>
        <w:t>Fringe Benefits Tax Assessment Act 1986</w:t>
      </w:r>
      <w:r w:rsidRPr="00BF6FC8">
        <w:t>.</w:t>
      </w:r>
    </w:p>
    <w:p w:rsidR="0069220A" w:rsidRPr="00BF6FC8" w:rsidRDefault="0069220A" w:rsidP="0069220A">
      <w:pPr>
        <w:numPr>
          <w:ilvl w:val="1"/>
          <w:numId w:val="4"/>
        </w:numPr>
        <w:tabs>
          <w:tab w:val="clear" w:pos="720"/>
          <w:tab w:val="num" w:pos="0"/>
        </w:tabs>
        <w:spacing w:before="80" w:after="60"/>
        <w:ind w:left="709" w:hanging="709"/>
      </w:pPr>
      <w:r>
        <w:t>T</w:t>
      </w:r>
      <w:r w:rsidRPr="00BF6FC8">
        <w:t xml:space="preserve">he </w:t>
      </w:r>
      <w:r>
        <w:t xml:space="preserve">executive </w:t>
      </w:r>
      <w:r w:rsidRPr="00BF6FC8">
        <w:t>vehicle and employer</w:t>
      </w:r>
      <w:r>
        <w:t>’s</w:t>
      </w:r>
      <w:r w:rsidRPr="00BF6FC8">
        <w:t xml:space="preserve"> superannuation </w:t>
      </w:r>
      <w:r>
        <w:t>contribution</w:t>
      </w:r>
      <w:r w:rsidRPr="00BF6FC8">
        <w:t xml:space="preserve"> </w:t>
      </w:r>
      <w:r>
        <w:t>set out</w:t>
      </w:r>
      <w:r w:rsidRPr="00BF6FC8">
        <w:t xml:space="preserve"> in the </w:t>
      </w:r>
      <w:r w:rsidRPr="004E19C0">
        <w:rPr>
          <w:i/>
        </w:rPr>
        <w:t>Public Sector Management Standards 2006</w:t>
      </w:r>
      <w:r>
        <w:t xml:space="preserve"> are </w:t>
      </w:r>
      <w:r w:rsidRPr="00BF6FC8">
        <w:t xml:space="preserve">considered for calculating </w:t>
      </w:r>
      <w:r>
        <w:t>f</w:t>
      </w:r>
      <w:r w:rsidRPr="00BF6FC8">
        <w:t xml:space="preserve">ringe </w:t>
      </w:r>
      <w:r>
        <w:t>b</w:t>
      </w:r>
      <w:r w:rsidRPr="00BF6FC8">
        <w:t xml:space="preserve">enefits </w:t>
      </w:r>
      <w:r>
        <w:t>t</w:t>
      </w:r>
      <w:r w:rsidRPr="00BF6FC8">
        <w:t>ax.</w:t>
      </w:r>
    </w:p>
    <w:p w:rsidR="0069220A" w:rsidRDefault="0069220A" w:rsidP="0069220A">
      <w:pPr>
        <w:numPr>
          <w:ilvl w:val="1"/>
          <w:numId w:val="4"/>
        </w:numPr>
        <w:tabs>
          <w:tab w:val="clear" w:pos="720"/>
          <w:tab w:val="num" w:pos="0"/>
        </w:tabs>
        <w:spacing w:before="80" w:after="60"/>
        <w:ind w:left="709" w:hanging="709"/>
      </w:pPr>
      <w:r w:rsidRPr="00BF6FC8">
        <w:t xml:space="preserve">If the liability for </w:t>
      </w:r>
      <w:r>
        <w:t>f</w:t>
      </w:r>
      <w:r w:rsidRPr="00BF6FC8">
        <w:t xml:space="preserve">ringe </w:t>
      </w:r>
      <w:r>
        <w:t>b</w:t>
      </w:r>
      <w:r w:rsidRPr="00BF6FC8">
        <w:t xml:space="preserve">enefits </w:t>
      </w:r>
      <w:r>
        <w:t>t</w:t>
      </w:r>
      <w:r w:rsidRPr="00BF6FC8">
        <w:t xml:space="preserve">ax exceeds $7,000 a </w:t>
      </w:r>
      <w:r>
        <w:t>Full-time Statutory Office Holder will</w:t>
      </w:r>
      <w:r w:rsidRPr="00BF6FC8">
        <w:t xml:space="preserve"> not be required to pay the excess to the employer.</w:t>
      </w:r>
    </w:p>
    <w:p w:rsidR="0069220A" w:rsidRPr="00BF6FC8" w:rsidRDefault="0069220A" w:rsidP="0069220A">
      <w:pPr>
        <w:numPr>
          <w:ilvl w:val="1"/>
          <w:numId w:val="4"/>
        </w:numPr>
        <w:tabs>
          <w:tab w:val="clear" w:pos="720"/>
          <w:tab w:val="num" w:pos="0"/>
        </w:tabs>
        <w:spacing w:before="80" w:after="60"/>
        <w:ind w:left="709" w:hanging="709"/>
      </w:pPr>
      <w:r w:rsidRPr="00BF6FC8">
        <w:t xml:space="preserve">Fringe benefits tax </w:t>
      </w:r>
      <w:r>
        <w:t xml:space="preserve">is </w:t>
      </w:r>
      <w:r w:rsidRPr="00BF6FC8">
        <w:t xml:space="preserve">reduced proportionally </w:t>
      </w:r>
      <w:r>
        <w:t>if</w:t>
      </w:r>
      <w:r w:rsidRPr="00BF6FC8">
        <w:t xml:space="preserve"> the </w:t>
      </w:r>
      <w:r>
        <w:t>Full-time Statutory Office Holder</w:t>
      </w:r>
      <w:r w:rsidRPr="00BF6FC8">
        <w:t xml:space="preserve"> </w:t>
      </w:r>
      <w:r>
        <w:t xml:space="preserve">is appointed for less than </w:t>
      </w:r>
      <w:r w:rsidRPr="00BF6FC8">
        <w:t>a financial year.</w:t>
      </w:r>
    </w:p>
    <w:p w:rsidR="0069220A" w:rsidRPr="0040603C" w:rsidRDefault="0069220A" w:rsidP="00031CFC">
      <w:pPr>
        <w:pStyle w:val="Heading3"/>
        <w:keepLines w:val="0"/>
        <w:ind w:left="709" w:hanging="709"/>
        <w:rPr>
          <w:rFonts w:cs="Arial"/>
          <w:szCs w:val="26"/>
        </w:rPr>
      </w:pPr>
      <w:r w:rsidRPr="0040603C">
        <w:rPr>
          <w:rFonts w:cs="Arial"/>
          <w:szCs w:val="26"/>
        </w:rPr>
        <w:t>Relocation allowance</w:t>
      </w:r>
    </w:p>
    <w:p w:rsidR="0069220A" w:rsidRDefault="0069220A" w:rsidP="0069220A">
      <w:pPr>
        <w:numPr>
          <w:ilvl w:val="1"/>
          <w:numId w:val="4"/>
        </w:numPr>
        <w:tabs>
          <w:tab w:val="clear" w:pos="720"/>
          <w:tab w:val="num" w:pos="0"/>
        </w:tabs>
        <w:spacing w:before="80" w:after="60"/>
        <w:ind w:left="709" w:hanging="709"/>
      </w:pPr>
      <w:r>
        <w:t>In this clause:</w:t>
      </w:r>
    </w:p>
    <w:p w:rsidR="0069220A" w:rsidRPr="002824CD" w:rsidRDefault="0069220A" w:rsidP="0069220A">
      <w:pPr>
        <w:spacing w:before="80"/>
        <w:ind w:left="709"/>
        <w:jc w:val="both"/>
      </w:pPr>
      <w:r w:rsidRPr="002824CD">
        <w:rPr>
          <w:b/>
          <w:i/>
        </w:rPr>
        <w:t>ACT</w:t>
      </w:r>
      <w:r w:rsidRPr="002824CD">
        <w:t xml:space="preserve"> includes the surrounding district, including Queanbeyan.</w:t>
      </w:r>
    </w:p>
    <w:p w:rsidR="0069220A" w:rsidRPr="002824CD" w:rsidRDefault="0069220A" w:rsidP="0069220A">
      <w:pPr>
        <w:spacing w:before="80" w:after="60"/>
        <w:ind w:firstLine="709"/>
        <w:jc w:val="both"/>
      </w:pPr>
      <w:proofErr w:type="gramStart"/>
      <w:r w:rsidRPr="002824CD">
        <w:rPr>
          <w:b/>
          <w:i/>
        </w:rPr>
        <w:t>relocation</w:t>
      </w:r>
      <w:proofErr w:type="gramEnd"/>
      <w:r w:rsidRPr="00E433F0">
        <w:t xml:space="preserve"> means </w:t>
      </w:r>
      <w:r w:rsidRPr="002824CD">
        <w:t>from a residence outside the ACT to a residence in the ACT.</w:t>
      </w:r>
    </w:p>
    <w:p w:rsidR="0069220A" w:rsidRDefault="0069220A" w:rsidP="0069220A">
      <w:pPr>
        <w:numPr>
          <w:ilvl w:val="1"/>
          <w:numId w:val="4"/>
        </w:numPr>
        <w:tabs>
          <w:tab w:val="clear" w:pos="720"/>
          <w:tab w:val="num" w:pos="0"/>
        </w:tabs>
        <w:spacing w:before="80" w:after="60"/>
        <w:ind w:left="709" w:hanging="709"/>
      </w:pPr>
      <w:r>
        <w:t>R</w:t>
      </w:r>
      <w:r w:rsidRPr="00423475">
        <w:t xml:space="preserve">elocation allowance is provided to assist an individual </w:t>
      </w:r>
      <w:r>
        <w:t>with relocation</w:t>
      </w:r>
      <w:r w:rsidRPr="00423475">
        <w:t xml:space="preserve">.  </w:t>
      </w:r>
    </w:p>
    <w:p w:rsidR="0069220A" w:rsidRPr="00423475" w:rsidRDefault="0069220A" w:rsidP="0069220A">
      <w:pPr>
        <w:numPr>
          <w:ilvl w:val="1"/>
          <w:numId w:val="4"/>
        </w:numPr>
        <w:tabs>
          <w:tab w:val="clear" w:pos="720"/>
          <w:tab w:val="num" w:pos="0"/>
        </w:tabs>
        <w:spacing w:before="80" w:after="60"/>
        <w:ind w:left="709" w:hanging="709"/>
      </w:pPr>
      <w:r>
        <w:t>R</w:t>
      </w:r>
      <w:r w:rsidRPr="00423475">
        <w:t xml:space="preserve">elocation allowance </w:t>
      </w:r>
      <w:r>
        <w:t>will not</w:t>
      </w:r>
      <w:r w:rsidRPr="00423475">
        <w:t xml:space="preserve"> cover </w:t>
      </w:r>
      <w:r>
        <w:t xml:space="preserve">the total cost of relocation </w:t>
      </w:r>
      <w:r w:rsidRPr="00423475">
        <w:t>in all circumstances.</w:t>
      </w:r>
    </w:p>
    <w:p w:rsidR="0069220A" w:rsidRDefault="0069220A" w:rsidP="0069220A">
      <w:pPr>
        <w:numPr>
          <w:ilvl w:val="1"/>
          <w:numId w:val="4"/>
        </w:numPr>
        <w:tabs>
          <w:tab w:val="clear" w:pos="720"/>
          <w:tab w:val="num" w:pos="0"/>
        </w:tabs>
        <w:spacing w:before="80" w:after="60"/>
        <w:ind w:left="709" w:hanging="709"/>
      </w:pPr>
      <w:r w:rsidRPr="00BF6FC8">
        <w:t>T</w:t>
      </w:r>
      <w:r>
        <w:t xml:space="preserve">he </w:t>
      </w:r>
      <w:r w:rsidRPr="00BF6FC8">
        <w:t xml:space="preserve">maximum </w:t>
      </w:r>
      <w:r>
        <w:t>relocation allowance</w:t>
      </w:r>
      <w:r w:rsidRPr="00BF6FC8">
        <w:t xml:space="preserve"> </w:t>
      </w:r>
      <w:r>
        <w:t>is</w:t>
      </w:r>
      <w:r w:rsidRPr="0075183B">
        <w:t xml:space="preserve"> $</w:t>
      </w:r>
      <w:r>
        <w:t>51,533.</w:t>
      </w:r>
    </w:p>
    <w:p w:rsidR="0069220A" w:rsidRPr="00BF6FC8" w:rsidRDefault="0069220A" w:rsidP="0069220A">
      <w:pPr>
        <w:numPr>
          <w:ilvl w:val="1"/>
          <w:numId w:val="4"/>
        </w:numPr>
        <w:tabs>
          <w:tab w:val="clear" w:pos="720"/>
          <w:tab w:val="num" w:pos="0"/>
        </w:tabs>
        <w:spacing w:before="80" w:after="60"/>
        <w:ind w:left="709" w:hanging="709"/>
      </w:pPr>
      <w:r>
        <w:t>If</w:t>
      </w:r>
      <w:r w:rsidRPr="00423475">
        <w:t xml:space="preserve"> a </w:t>
      </w:r>
      <w:r>
        <w:t xml:space="preserve">person </w:t>
      </w:r>
      <w:r w:rsidRPr="00423475">
        <w:t>relocate</w:t>
      </w:r>
      <w:r>
        <w:t>s</w:t>
      </w:r>
      <w:r w:rsidRPr="00423475">
        <w:t xml:space="preserve"> </w:t>
      </w:r>
      <w:r>
        <w:t xml:space="preserve">because of </w:t>
      </w:r>
      <w:r w:rsidRPr="00423475">
        <w:t>appointment</w:t>
      </w:r>
      <w:r>
        <w:t xml:space="preserve"> as a Full-time Statutory Office Holder</w:t>
      </w:r>
      <w:r w:rsidRPr="00423475">
        <w:t xml:space="preserve">, </w:t>
      </w:r>
      <w:r>
        <w:t xml:space="preserve">the person is </w:t>
      </w:r>
      <w:r w:rsidRPr="00423475">
        <w:t xml:space="preserve">entitled to be reimbursed </w:t>
      </w:r>
      <w:r>
        <w:t xml:space="preserve">up to the </w:t>
      </w:r>
      <w:r w:rsidRPr="00BF6FC8">
        <w:t xml:space="preserve">maximum </w:t>
      </w:r>
      <w:r>
        <w:t xml:space="preserve">relocation allowance, for receipted, </w:t>
      </w:r>
      <w:r w:rsidRPr="0080450B">
        <w:t>reasonable</w:t>
      </w:r>
      <w:r>
        <w:t xml:space="preserve"> costs of the following:</w:t>
      </w:r>
    </w:p>
    <w:p w:rsidR="0069220A" w:rsidRPr="00E10B29" w:rsidRDefault="0069220A" w:rsidP="0069220A">
      <w:pPr>
        <w:numPr>
          <w:ilvl w:val="2"/>
          <w:numId w:val="4"/>
        </w:numPr>
        <w:tabs>
          <w:tab w:val="clear" w:pos="720"/>
        </w:tabs>
        <w:spacing w:after="60"/>
        <w:ind w:left="1134" w:hanging="436"/>
      </w:pPr>
      <w:r>
        <w:t>p</w:t>
      </w:r>
      <w:r w:rsidRPr="00E10B29">
        <w:t xml:space="preserve">acking personal effects and furniture belonging to the </w:t>
      </w:r>
      <w:r>
        <w:t>person</w:t>
      </w:r>
      <w:r w:rsidRPr="00E10B29">
        <w:t xml:space="preserve"> and </w:t>
      </w:r>
      <w:r>
        <w:t>their family</w:t>
      </w:r>
      <w:r w:rsidRPr="00E10B29">
        <w:t>;</w:t>
      </w:r>
    </w:p>
    <w:p w:rsidR="0069220A" w:rsidRPr="00BF6FC8" w:rsidRDefault="0069220A" w:rsidP="0069220A">
      <w:pPr>
        <w:numPr>
          <w:ilvl w:val="2"/>
          <w:numId w:val="4"/>
        </w:numPr>
        <w:tabs>
          <w:tab w:val="clear" w:pos="720"/>
        </w:tabs>
        <w:spacing w:after="60"/>
        <w:ind w:left="1134" w:hanging="436"/>
      </w:pPr>
      <w:r w:rsidRPr="00BF6FC8">
        <w:t>necessary storage of personal effects and furniture;</w:t>
      </w:r>
    </w:p>
    <w:p w:rsidR="0069220A" w:rsidRPr="00BF6FC8" w:rsidRDefault="0069220A" w:rsidP="0069220A">
      <w:pPr>
        <w:numPr>
          <w:ilvl w:val="2"/>
          <w:numId w:val="4"/>
        </w:numPr>
        <w:tabs>
          <w:tab w:val="clear" w:pos="720"/>
        </w:tabs>
        <w:spacing w:after="60"/>
        <w:ind w:left="1134" w:hanging="436"/>
      </w:pPr>
      <w:r w:rsidRPr="00BF6FC8">
        <w:t>removal costs and associated insurance of personal effects and furniture;</w:t>
      </w:r>
    </w:p>
    <w:p w:rsidR="0069220A" w:rsidRPr="00BF6FC8" w:rsidRDefault="0069220A" w:rsidP="0069220A">
      <w:pPr>
        <w:numPr>
          <w:ilvl w:val="2"/>
          <w:numId w:val="4"/>
        </w:numPr>
        <w:tabs>
          <w:tab w:val="clear" w:pos="720"/>
        </w:tabs>
        <w:spacing w:after="60"/>
        <w:ind w:left="1134" w:hanging="436"/>
      </w:pPr>
      <w:r w:rsidRPr="00BF6FC8">
        <w:t>unpacking of personal effects and furniture;</w:t>
      </w:r>
    </w:p>
    <w:p w:rsidR="0069220A" w:rsidRPr="00BF6FC8" w:rsidRDefault="0069220A" w:rsidP="0069220A">
      <w:pPr>
        <w:numPr>
          <w:ilvl w:val="2"/>
          <w:numId w:val="4"/>
        </w:numPr>
        <w:tabs>
          <w:tab w:val="clear" w:pos="720"/>
        </w:tabs>
        <w:spacing w:after="60"/>
        <w:ind w:left="1134" w:hanging="436"/>
      </w:pPr>
      <w:r w:rsidRPr="00BF6FC8">
        <w:t>costs of travel, accommodation and meals between the former location and the ACT;</w:t>
      </w:r>
    </w:p>
    <w:p w:rsidR="0069220A" w:rsidRPr="00BF6FC8" w:rsidRDefault="0069220A" w:rsidP="0069220A">
      <w:pPr>
        <w:numPr>
          <w:ilvl w:val="2"/>
          <w:numId w:val="4"/>
        </w:numPr>
        <w:tabs>
          <w:tab w:val="clear" w:pos="720"/>
        </w:tabs>
        <w:spacing w:after="60"/>
        <w:ind w:left="1134" w:hanging="436"/>
      </w:pPr>
      <w:r w:rsidRPr="00BF6FC8">
        <w:t xml:space="preserve">temporary accommodation costs at the former location and in the ACT </w:t>
      </w:r>
      <w:r>
        <w:t xml:space="preserve">up </w:t>
      </w:r>
      <w:r w:rsidRPr="00BF6FC8">
        <w:t xml:space="preserve">to a maximum </w:t>
      </w:r>
      <w:r>
        <w:t xml:space="preserve">aggregate </w:t>
      </w:r>
      <w:r w:rsidRPr="00BF6FC8">
        <w:t xml:space="preserve">period of six months, or, in exceptional circumstances, nine months with </w:t>
      </w:r>
      <w:r>
        <w:t>specific</w:t>
      </w:r>
      <w:r w:rsidRPr="00BF6FC8">
        <w:t xml:space="preserve"> approval of the ACT Remuneration Tribunal</w:t>
      </w:r>
      <w:r w:rsidR="00EE2454">
        <w:t xml:space="preserve"> (Tribunal)</w:t>
      </w:r>
      <w:r w:rsidRPr="00BF6FC8">
        <w:t>;</w:t>
      </w:r>
    </w:p>
    <w:p w:rsidR="0069220A" w:rsidRPr="00BF6FC8" w:rsidRDefault="0069220A" w:rsidP="0069220A">
      <w:pPr>
        <w:numPr>
          <w:ilvl w:val="2"/>
          <w:numId w:val="4"/>
        </w:numPr>
        <w:tabs>
          <w:tab w:val="clear" w:pos="720"/>
        </w:tabs>
        <w:spacing w:after="60"/>
        <w:ind w:left="1134" w:hanging="436"/>
      </w:pPr>
      <w:r w:rsidRPr="00BF6FC8">
        <w:t>costs of disconnection and reconnection of utilities;</w:t>
      </w:r>
    </w:p>
    <w:p w:rsidR="0069220A" w:rsidRPr="00BF6FC8" w:rsidRDefault="0069220A" w:rsidP="0069220A">
      <w:pPr>
        <w:numPr>
          <w:ilvl w:val="2"/>
          <w:numId w:val="4"/>
        </w:numPr>
        <w:tabs>
          <w:tab w:val="clear" w:pos="720"/>
        </w:tabs>
        <w:spacing w:after="60"/>
        <w:ind w:left="1134" w:hanging="436"/>
      </w:pPr>
      <w:r w:rsidRPr="00BF6FC8">
        <w:t xml:space="preserve">cost of stamp duty and legal and professional services associated with the sale of the residence at the former location and/or the purchase of a residence or lease on a block of land in the ACT; </w:t>
      </w:r>
    </w:p>
    <w:p w:rsidR="0069220A" w:rsidRPr="00E10B29" w:rsidRDefault="0069220A" w:rsidP="0069220A">
      <w:pPr>
        <w:numPr>
          <w:ilvl w:val="2"/>
          <w:numId w:val="4"/>
        </w:numPr>
        <w:tabs>
          <w:tab w:val="clear" w:pos="720"/>
        </w:tabs>
        <w:spacing w:after="60"/>
        <w:ind w:left="1134" w:hanging="436"/>
      </w:pPr>
      <w:proofErr w:type="gramStart"/>
      <w:r>
        <w:t>s</w:t>
      </w:r>
      <w:r w:rsidRPr="00E10B29">
        <w:t>ubject</w:t>
      </w:r>
      <w:proofErr w:type="gramEnd"/>
      <w:r w:rsidRPr="00E10B29">
        <w:t xml:space="preserve"> to the approval of the Tribunal, any other reasonable expenses necessarily incurred in relocating to the ACT.</w:t>
      </w:r>
    </w:p>
    <w:p w:rsidR="0069220A" w:rsidRDefault="0069220A" w:rsidP="0069220A">
      <w:pPr>
        <w:numPr>
          <w:ilvl w:val="1"/>
          <w:numId w:val="4"/>
        </w:numPr>
        <w:tabs>
          <w:tab w:val="clear" w:pos="720"/>
          <w:tab w:val="num" w:pos="0"/>
        </w:tabs>
        <w:spacing w:before="80" w:after="60"/>
        <w:ind w:left="709" w:hanging="709"/>
      </w:pPr>
      <w:r w:rsidRPr="00BF6FC8">
        <w:t>T</w:t>
      </w:r>
      <w:r>
        <w:t xml:space="preserve">he </w:t>
      </w:r>
      <w:r w:rsidRPr="00BF6FC8">
        <w:t xml:space="preserve">maximum </w:t>
      </w:r>
      <w:r>
        <w:t xml:space="preserve">relocation allowance may be exceeded if </w:t>
      </w:r>
      <w:r w:rsidRPr="00BF6FC8">
        <w:t>the Tribunal agrees</w:t>
      </w:r>
      <w:r w:rsidRPr="00E433F0">
        <w:rPr>
          <w:rFonts w:eastAsia="Calibri"/>
          <w:szCs w:val="24"/>
        </w:rPr>
        <w:t>—</w:t>
      </w:r>
    </w:p>
    <w:p w:rsidR="0069220A" w:rsidRDefault="0069220A" w:rsidP="0069220A">
      <w:pPr>
        <w:numPr>
          <w:ilvl w:val="2"/>
          <w:numId w:val="4"/>
        </w:numPr>
        <w:tabs>
          <w:tab w:val="clear" w:pos="720"/>
        </w:tabs>
        <w:spacing w:after="60"/>
        <w:ind w:left="1134" w:hanging="436"/>
      </w:pPr>
      <w:r w:rsidRPr="00BF6FC8">
        <w:t xml:space="preserve">there are </w:t>
      </w:r>
      <w:r w:rsidRPr="00E10B29">
        <w:t xml:space="preserve">unusual or exceptional </w:t>
      </w:r>
      <w:r w:rsidRPr="00BF6FC8">
        <w:t>circumstances</w:t>
      </w:r>
      <w:r>
        <w:t>; and</w:t>
      </w:r>
    </w:p>
    <w:p w:rsidR="0069220A" w:rsidRPr="00BF6FC8" w:rsidRDefault="0069220A" w:rsidP="0069220A">
      <w:pPr>
        <w:numPr>
          <w:ilvl w:val="2"/>
          <w:numId w:val="4"/>
        </w:numPr>
        <w:tabs>
          <w:tab w:val="clear" w:pos="720"/>
        </w:tabs>
        <w:spacing w:after="60"/>
        <w:ind w:left="1134" w:hanging="436"/>
      </w:pPr>
      <w:proofErr w:type="gramStart"/>
      <w:r>
        <w:t>the</w:t>
      </w:r>
      <w:proofErr w:type="gramEnd"/>
      <w:r>
        <w:t xml:space="preserve"> </w:t>
      </w:r>
      <w:r w:rsidRPr="00E10B29">
        <w:t xml:space="preserve">unusual or exceptional </w:t>
      </w:r>
      <w:r w:rsidRPr="00BF6FC8">
        <w:t xml:space="preserve">circumstances </w:t>
      </w:r>
      <w:r>
        <w:t>were</w:t>
      </w:r>
      <w:r w:rsidRPr="00BF6FC8">
        <w:t xml:space="preserve"> unforeseen or unable to be dealt with without exceeding the maximum relocation allowance.</w:t>
      </w:r>
    </w:p>
    <w:p w:rsidR="0069220A" w:rsidRPr="00E10B29" w:rsidRDefault="0069220A" w:rsidP="0069220A">
      <w:pPr>
        <w:keepNext/>
        <w:keepLines/>
        <w:numPr>
          <w:ilvl w:val="1"/>
          <w:numId w:val="4"/>
        </w:numPr>
        <w:tabs>
          <w:tab w:val="clear" w:pos="720"/>
          <w:tab w:val="num" w:pos="0"/>
        </w:tabs>
        <w:spacing w:before="80" w:after="60"/>
        <w:ind w:left="709" w:hanging="709"/>
      </w:pPr>
      <w:r>
        <w:lastRenderedPageBreak/>
        <w:t>If</w:t>
      </w:r>
      <w:r w:rsidRPr="00E10B29">
        <w:t xml:space="preserve"> a </w:t>
      </w:r>
      <w:r>
        <w:t>Full-time Statutory Office Holder</w:t>
      </w:r>
      <w:r w:rsidRPr="00E10B29">
        <w:t xml:space="preserve"> </w:t>
      </w:r>
      <w:r>
        <w:t>thinks</w:t>
      </w:r>
      <w:r w:rsidRPr="00E10B29">
        <w:t xml:space="preserve"> that unusual and exceptional circumstances exist, they may </w:t>
      </w:r>
      <w:r>
        <w:t>ask</w:t>
      </w:r>
      <w:r w:rsidRPr="00E10B29">
        <w:t xml:space="preserve"> the Tribunal </w:t>
      </w:r>
      <w:r>
        <w:t xml:space="preserve">to </w:t>
      </w:r>
      <w:r w:rsidRPr="00E10B29">
        <w:t xml:space="preserve">consider the matter and determine whether the maximum </w:t>
      </w:r>
      <w:r>
        <w:t xml:space="preserve">relocation </w:t>
      </w:r>
      <w:r w:rsidRPr="00E10B29">
        <w:t xml:space="preserve">allowance can be exceeded.  </w:t>
      </w:r>
      <w:r>
        <w:t>A request must be in writing and must include</w:t>
      </w:r>
      <w:r w:rsidRPr="00E433F0">
        <w:rPr>
          <w:rFonts w:eastAsia="Calibri"/>
          <w:szCs w:val="24"/>
        </w:rPr>
        <w:t>—</w:t>
      </w:r>
    </w:p>
    <w:p w:rsidR="0069220A" w:rsidRPr="001F472A" w:rsidRDefault="0069220A" w:rsidP="0069220A">
      <w:pPr>
        <w:numPr>
          <w:ilvl w:val="2"/>
          <w:numId w:val="4"/>
        </w:numPr>
        <w:tabs>
          <w:tab w:val="clear" w:pos="720"/>
        </w:tabs>
        <w:spacing w:after="60"/>
        <w:ind w:left="1134" w:hanging="436"/>
      </w:pPr>
      <w:r w:rsidRPr="001F472A">
        <w:t>details of the unusual or exceptional circumstances;</w:t>
      </w:r>
      <w:r>
        <w:t xml:space="preserve"> and</w:t>
      </w:r>
    </w:p>
    <w:p w:rsidR="0069220A" w:rsidRPr="001F472A" w:rsidRDefault="0069220A" w:rsidP="0069220A">
      <w:pPr>
        <w:numPr>
          <w:ilvl w:val="2"/>
          <w:numId w:val="4"/>
        </w:numPr>
        <w:tabs>
          <w:tab w:val="clear" w:pos="720"/>
        </w:tabs>
        <w:spacing w:after="60"/>
        <w:ind w:left="1134" w:hanging="436"/>
      </w:pPr>
      <w:r w:rsidRPr="001F472A">
        <w:t>details of the relocation;</w:t>
      </w:r>
      <w:r>
        <w:t xml:space="preserve"> and</w:t>
      </w:r>
    </w:p>
    <w:p w:rsidR="0069220A" w:rsidRPr="001F472A" w:rsidRDefault="0069220A" w:rsidP="0069220A">
      <w:pPr>
        <w:numPr>
          <w:ilvl w:val="2"/>
          <w:numId w:val="4"/>
        </w:numPr>
        <w:tabs>
          <w:tab w:val="clear" w:pos="720"/>
        </w:tabs>
        <w:spacing w:after="60"/>
        <w:ind w:left="1134" w:hanging="436"/>
      </w:pPr>
      <w:r w:rsidRPr="001F472A">
        <w:t xml:space="preserve">expenses incurred by the </w:t>
      </w:r>
      <w:r>
        <w:t>Full-time Statutory Office Holder</w:t>
      </w:r>
      <w:r w:rsidRPr="001F472A">
        <w:t>;</w:t>
      </w:r>
      <w:r>
        <w:t xml:space="preserve"> and</w:t>
      </w:r>
    </w:p>
    <w:p w:rsidR="0069220A" w:rsidRPr="001F472A" w:rsidRDefault="0069220A" w:rsidP="0069220A">
      <w:pPr>
        <w:numPr>
          <w:ilvl w:val="2"/>
          <w:numId w:val="4"/>
        </w:numPr>
        <w:tabs>
          <w:tab w:val="clear" w:pos="720"/>
        </w:tabs>
        <w:spacing w:after="60"/>
        <w:ind w:left="1134" w:hanging="436"/>
      </w:pPr>
      <w:r w:rsidRPr="001F472A">
        <w:t xml:space="preserve">the expected total relocation expenses of the </w:t>
      </w:r>
      <w:r>
        <w:t>Full-time Statutory Office Holder</w:t>
      </w:r>
      <w:r w:rsidRPr="001F472A">
        <w:t>;</w:t>
      </w:r>
      <w:r>
        <w:t xml:space="preserve"> and</w:t>
      </w:r>
    </w:p>
    <w:p w:rsidR="0069220A" w:rsidRPr="001F472A" w:rsidRDefault="0069220A" w:rsidP="0069220A">
      <w:pPr>
        <w:numPr>
          <w:ilvl w:val="2"/>
          <w:numId w:val="4"/>
        </w:numPr>
        <w:tabs>
          <w:tab w:val="clear" w:pos="720"/>
        </w:tabs>
        <w:spacing w:after="60"/>
        <w:ind w:left="1134" w:hanging="436"/>
      </w:pPr>
      <w:r w:rsidRPr="001F472A">
        <w:t xml:space="preserve">the level of assistance the </w:t>
      </w:r>
      <w:r>
        <w:t>Full-time Statutory Office Holder</w:t>
      </w:r>
      <w:r w:rsidRPr="001F472A">
        <w:t xml:space="preserve"> considers should be provided; and</w:t>
      </w:r>
    </w:p>
    <w:p w:rsidR="0069220A" w:rsidRPr="001F472A" w:rsidRDefault="0069220A" w:rsidP="0069220A">
      <w:pPr>
        <w:numPr>
          <w:ilvl w:val="2"/>
          <w:numId w:val="4"/>
        </w:numPr>
        <w:tabs>
          <w:tab w:val="clear" w:pos="720"/>
        </w:tabs>
        <w:spacing w:after="60"/>
        <w:ind w:left="1134" w:hanging="436"/>
      </w:pPr>
      <w:proofErr w:type="gramStart"/>
      <w:r w:rsidRPr="001F472A">
        <w:t>any</w:t>
      </w:r>
      <w:proofErr w:type="gramEnd"/>
      <w:r w:rsidRPr="001F472A">
        <w:t xml:space="preserve"> other relevant information.</w:t>
      </w:r>
    </w:p>
    <w:p w:rsidR="0069220A" w:rsidRPr="00BF6FC8" w:rsidRDefault="0069220A" w:rsidP="0069220A">
      <w:pPr>
        <w:numPr>
          <w:ilvl w:val="1"/>
          <w:numId w:val="4"/>
        </w:numPr>
        <w:tabs>
          <w:tab w:val="clear" w:pos="720"/>
          <w:tab w:val="num" w:pos="0"/>
        </w:tabs>
        <w:spacing w:before="80" w:after="60"/>
        <w:ind w:left="709" w:hanging="709"/>
      </w:pPr>
      <w:r>
        <w:t>R</w:t>
      </w:r>
      <w:r w:rsidRPr="00423475">
        <w:t>elocation allowance</w:t>
      </w:r>
      <w:r w:rsidRPr="00BF6FC8">
        <w:t xml:space="preserve"> does not apply to any expenses incurred at the conclusion of employment.</w:t>
      </w:r>
    </w:p>
    <w:p w:rsidR="0069220A" w:rsidRPr="0040603C" w:rsidRDefault="0069220A" w:rsidP="00031CFC">
      <w:pPr>
        <w:pStyle w:val="Heading3"/>
        <w:keepLines w:val="0"/>
        <w:ind w:left="709" w:hanging="709"/>
        <w:rPr>
          <w:rFonts w:cs="Arial"/>
          <w:szCs w:val="26"/>
        </w:rPr>
      </w:pPr>
      <w:r w:rsidRPr="0040603C">
        <w:rPr>
          <w:rFonts w:cs="Arial"/>
          <w:szCs w:val="26"/>
        </w:rPr>
        <w:t>Travelling Allowance</w:t>
      </w:r>
    </w:p>
    <w:p w:rsidR="0069220A" w:rsidRPr="00EE36F5" w:rsidRDefault="0069220A" w:rsidP="0069220A">
      <w:pPr>
        <w:numPr>
          <w:ilvl w:val="1"/>
          <w:numId w:val="4"/>
        </w:numPr>
        <w:tabs>
          <w:tab w:val="clear" w:pos="720"/>
          <w:tab w:val="num" w:pos="0"/>
        </w:tabs>
        <w:spacing w:before="80" w:after="60"/>
        <w:ind w:left="709" w:hanging="709"/>
      </w:pPr>
      <w:r w:rsidRPr="00EE36F5">
        <w:t>In this clause:</w:t>
      </w:r>
    </w:p>
    <w:p w:rsidR="0069220A" w:rsidRDefault="0069220A" w:rsidP="0069220A">
      <w:pPr>
        <w:spacing w:before="80"/>
        <w:ind w:left="709"/>
        <w:jc w:val="both"/>
      </w:pPr>
      <w:proofErr w:type="gramStart"/>
      <w:r>
        <w:rPr>
          <w:b/>
          <w:i/>
        </w:rPr>
        <w:t>d</w:t>
      </w:r>
      <w:r w:rsidRPr="00EE36F5">
        <w:rPr>
          <w:b/>
          <w:i/>
        </w:rPr>
        <w:t>omestic</w:t>
      </w:r>
      <w:proofErr w:type="gramEnd"/>
      <w:r w:rsidRPr="00EE36F5">
        <w:rPr>
          <w:b/>
          <w:i/>
        </w:rPr>
        <w:t xml:space="preserve"> travel</w:t>
      </w:r>
      <w:r>
        <w:t xml:space="preserve"> means official travel to a destination within Australia.</w:t>
      </w:r>
    </w:p>
    <w:p w:rsidR="0069220A" w:rsidRDefault="0069220A" w:rsidP="0069220A">
      <w:pPr>
        <w:spacing w:before="80"/>
        <w:ind w:left="709"/>
        <w:jc w:val="both"/>
      </w:pPr>
      <w:proofErr w:type="gramStart"/>
      <w:r>
        <w:rPr>
          <w:b/>
          <w:i/>
        </w:rPr>
        <w:t>i</w:t>
      </w:r>
      <w:r w:rsidRPr="00EE36F5">
        <w:rPr>
          <w:b/>
          <w:i/>
        </w:rPr>
        <w:t>nternational</w:t>
      </w:r>
      <w:proofErr w:type="gramEnd"/>
      <w:r w:rsidRPr="00EE36F5">
        <w:rPr>
          <w:b/>
          <w:i/>
        </w:rPr>
        <w:t xml:space="preserve"> travel</w:t>
      </w:r>
      <w:r>
        <w:t xml:space="preserve"> means official travel to a destination outside Australia.</w:t>
      </w:r>
    </w:p>
    <w:p w:rsidR="0069220A" w:rsidRDefault="0069220A" w:rsidP="0069220A">
      <w:pPr>
        <w:spacing w:before="80" w:after="60"/>
        <w:ind w:left="709"/>
        <w:jc w:val="both"/>
      </w:pPr>
      <w:proofErr w:type="gramStart"/>
      <w:r>
        <w:rPr>
          <w:b/>
          <w:i/>
        </w:rPr>
        <w:t>r</w:t>
      </w:r>
      <w:r w:rsidRPr="00EE36F5">
        <w:rPr>
          <w:b/>
          <w:i/>
        </w:rPr>
        <w:t>easonable</w:t>
      </w:r>
      <w:proofErr w:type="gramEnd"/>
      <w:r w:rsidRPr="00EE36F5">
        <w:rPr>
          <w:b/>
          <w:i/>
        </w:rPr>
        <w:t xml:space="preserve"> expenses </w:t>
      </w:r>
      <w:r>
        <w:t>means legitimate work-related expenses incurred while conducting official business efficiently and effectively.</w:t>
      </w:r>
    </w:p>
    <w:p w:rsidR="0069220A" w:rsidRPr="00EA04F4" w:rsidRDefault="0069220A" w:rsidP="0069220A">
      <w:pPr>
        <w:numPr>
          <w:ilvl w:val="1"/>
          <w:numId w:val="4"/>
        </w:numPr>
        <w:tabs>
          <w:tab w:val="clear" w:pos="720"/>
          <w:tab w:val="num" w:pos="0"/>
        </w:tabs>
        <w:spacing w:before="80" w:after="60"/>
        <w:ind w:left="709" w:hanging="709"/>
      </w:pPr>
      <w:r>
        <w:t>If a Full-time Statutory Office Holder</w:t>
      </w:r>
      <w:r w:rsidRPr="00EA04F4">
        <w:t xml:space="preserve"> is required to travel for official purposes, th</w:t>
      </w:r>
      <w:r>
        <w:t>e employer must pay the cost of</w:t>
      </w:r>
      <w:r w:rsidR="00EE2454">
        <w:t xml:space="preserve"> the matters outlined below, and as set out in relevant Australian Taxation Office Determinations</w:t>
      </w:r>
      <w:r w:rsidR="00D833FF">
        <w:t xml:space="preserve"> relating to reasonable travel and overtime meal allowance expense amounts for an income year</w:t>
      </w:r>
      <w:r w:rsidRPr="00E433F0">
        <w:rPr>
          <w:rFonts w:eastAsia="Calibri"/>
          <w:szCs w:val="24"/>
        </w:rPr>
        <w:t>—</w:t>
      </w:r>
    </w:p>
    <w:p w:rsidR="0069220A" w:rsidRPr="00EA04F4" w:rsidRDefault="0069220A" w:rsidP="0069220A">
      <w:pPr>
        <w:numPr>
          <w:ilvl w:val="2"/>
          <w:numId w:val="4"/>
        </w:numPr>
        <w:tabs>
          <w:tab w:val="clear" w:pos="720"/>
        </w:tabs>
        <w:spacing w:after="60"/>
        <w:ind w:left="1134" w:hanging="436"/>
      </w:pPr>
      <w:r w:rsidRPr="00EA04F4">
        <w:t>travel; and</w:t>
      </w:r>
    </w:p>
    <w:p w:rsidR="0069220A" w:rsidRPr="00EA04F4" w:rsidRDefault="0069220A" w:rsidP="0069220A">
      <w:pPr>
        <w:numPr>
          <w:ilvl w:val="2"/>
          <w:numId w:val="4"/>
        </w:numPr>
        <w:tabs>
          <w:tab w:val="clear" w:pos="720"/>
        </w:tabs>
        <w:spacing w:after="60"/>
        <w:ind w:left="1134" w:hanging="436"/>
      </w:pPr>
      <w:r w:rsidRPr="00EA04F4">
        <w:t>accommodation; and</w:t>
      </w:r>
    </w:p>
    <w:p w:rsidR="0069220A" w:rsidRPr="00EA04F4" w:rsidRDefault="0069220A" w:rsidP="0069220A">
      <w:pPr>
        <w:numPr>
          <w:ilvl w:val="2"/>
          <w:numId w:val="4"/>
        </w:numPr>
        <w:tabs>
          <w:tab w:val="clear" w:pos="720"/>
        </w:tabs>
        <w:spacing w:after="60"/>
        <w:ind w:left="1134" w:hanging="436"/>
      </w:pPr>
      <w:r w:rsidRPr="00EA04F4">
        <w:t>meals; and</w:t>
      </w:r>
    </w:p>
    <w:p w:rsidR="0069220A" w:rsidRPr="00EA04F4" w:rsidRDefault="0069220A" w:rsidP="0069220A">
      <w:pPr>
        <w:numPr>
          <w:ilvl w:val="2"/>
          <w:numId w:val="4"/>
        </w:numPr>
        <w:tabs>
          <w:tab w:val="clear" w:pos="720"/>
        </w:tabs>
        <w:spacing w:after="60"/>
        <w:ind w:left="1134" w:hanging="436"/>
      </w:pPr>
      <w:proofErr w:type="gramStart"/>
      <w:r w:rsidRPr="00EA04F4">
        <w:t>incidental</w:t>
      </w:r>
      <w:proofErr w:type="gramEnd"/>
      <w:r w:rsidRPr="00EA04F4">
        <w:t xml:space="preserve"> expenses.</w:t>
      </w:r>
    </w:p>
    <w:p w:rsidR="0069220A" w:rsidRPr="0040603C" w:rsidRDefault="0069220A" w:rsidP="00031CFC">
      <w:pPr>
        <w:pStyle w:val="Heading3"/>
        <w:keepLines w:val="0"/>
        <w:ind w:left="709" w:hanging="709"/>
        <w:rPr>
          <w:rFonts w:cs="Arial"/>
          <w:szCs w:val="26"/>
        </w:rPr>
      </w:pPr>
      <w:r w:rsidRPr="0040603C">
        <w:rPr>
          <w:rFonts w:cs="Arial"/>
          <w:szCs w:val="26"/>
        </w:rPr>
        <w:t>Travel</w:t>
      </w:r>
    </w:p>
    <w:p w:rsidR="0069220A" w:rsidRDefault="0069220A" w:rsidP="0069220A">
      <w:pPr>
        <w:numPr>
          <w:ilvl w:val="1"/>
          <w:numId w:val="4"/>
        </w:numPr>
        <w:tabs>
          <w:tab w:val="clear" w:pos="720"/>
          <w:tab w:val="num" w:pos="0"/>
        </w:tabs>
        <w:spacing w:before="80" w:after="60"/>
        <w:ind w:left="709" w:hanging="709"/>
      </w:pPr>
      <w:r>
        <w:t>A Full-time Statutory Office Holder may travel by one or more of the following:</w:t>
      </w:r>
    </w:p>
    <w:p w:rsidR="0069220A" w:rsidRDefault="0069220A" w:rsidP="0069220A">
      <w:pPr>
        <w:numPr>
          <w:ilvl w:val="2"/>
          <w:numId w:val="4"/>
        </w:numPr>
        <w:tabs>
          <w:tab w:val="clear" w:pos="720"/>
        </w:tabs>
        <w:spacing w:after="60"/>
        <w:ind w:left="1134" w:hanging="436"/>
      </w:pPr>
      <w:r>
        <w:t xml:space="preserve">commercially provided road or rail transport; </w:t>
      </w:r>
    </w:p>
    <w:p w:rsidR="0069220A" w:rsidRDefault="0069220A" w:rsidP="0069220A">
      <w:pPr>
        <w:numPr>
          <w:ilvl w:val="2"/>
          <w:numId w:val="4"/>
        </w:numPr>
        <w:tabs>
          <w:tab w:val="clear" w:pos="720"/>
        </w:tabs>
        <w:spacing w:after="60"/>
        <w:ind w:left="1134" w:hanging="436"/>
      </w:pPr>
      <w:r>
        <w:t>commercially provided flights;</w:t>
      </w:r>
    </w:p>
    <w:p w:rsidR="0069220A" w:rsidRDefault="0069220A" w:rsidP="0069220A">
      <w:pPr>
        <w:numPr>
          <w:ilvl w:val="2"/>
          <w:numId w:val="4"/>
        </w:numPr>
        <w:tabs>
          <w:tab w:val="clear" w:pos="720"/>
        </w:tabs>
        <w:spacing w:after="60"/>
        <w:ind w:left="1134" w:hanging="436"/>
      </w:pPr>
      <w:proofErr w:type="gramStart"/>
      <w:r>
        <w:t>private</w:t>
      </w:r>
      <w:proofErr w:type="gramEnd"/>
      <w:r>
        <w:t xml:space="preserve"> motor vehicle.</w:t>
      </w:r>
    </w:p>
    <w:p w:rsidR="0069220A" w:rsidRDefault="0069220A" w:rsidP="0069220A">
      <w:pPr>
        <w:numPr>
          <w:ilvl w:val="1"/>
          <w:numId w:val="4"/>
        </w:numPr>
        <w:tabs>
          <w:tab w:val="clear" w:pos="720"/>
          <w:tab w:val="num" w:pos="0"/>
        </w:tabs>
        <w:spacing w:before="80" w:after="60"/>
        <w:ind w:left="709" w:hanging="709"/>
      </w:pPr>
      <w:r>
        <w:t>Commercially provided travel should be selected on the basis of</w:t>
      </w:r>
      <w:r w:rsidRPr="00E433F0">
        <w:rPr>
          <w:rFonts w:eastAsia="Calibri"/>
          <w:szCs w:val="24"/>
        </w:rPr>
        <w:t>—</w:t>
      </w:r>
    </w:p>
    <w:p w:rsidR="0069220A" w:rsidRDefault="0069220A" w:rsidP="0069220A">
      <w:pPr>
        <w:numPr>
          <w:ilvl w:val="2"/>
          <w:numId w:val="4"/>
        </w:numPr>
        <w:tabs>
          <w:tab w:val="clear" w:pos="720"/>
        </w:tabs>
        <w:spacing w:after="60"/>
        <w:ind w:left="1134" w:hanging="436"/>
      </w:pPr>
      <w:r>
        <w:t>what is most convenient to the Full-time Statutory Office Holder; and</w:t>
      </w:r>
    </w:p>
    <w:p w:rsidR="0069220A" w:rsidRDefault="0069220A" w:rsidP="0069220A">
      <w:pPr>
        <w:numPr>
          <w:ilvl w:val="2"/>
          <w:numId w:val="4"/>
        </w:numPr>
        <w:tabs>
          <w:tab w:val="clear" w:pos="720"/>
        </w:tabs>
        <w:spacing w:after="60"/>
        <w:ind w:left="1134" w:hanging="436"/>
      </w:pPr>
      <w:proofErr w:type="gramStart"/>
      <w:r>
        <w:t>seeking</w:t>
      </w:r>
      <w:proofErr w:type="gramEnd"/>
      <w:r>
        <w:t xml:space="preserve"> the most reasonable costs.</w:t>
      </w:r>
    </w:p>
    <w:p w:rsidR="0069220A" w:rsidRDefault="0069220A" w:rsidP="0069220A">
      <w:pPr>
        <w:numPr>
          <w:ilvl w:val="1"/>
          <w:numId w:val="4"/>
        </w:numPr>
        <w:tabs>
          <w:tab w:val="clear" w:pos="720"/>
          <w:tab w:val="num" w:pos="0"/>
        </w:tabs>
        <w:spacing w:before="80" w:after="60"/>
        <w:ind w:left="709" w:hanging="709"/>
      </w:pPr>
      <w:r>
        <w:t>If a Full-time Statutory Office Holder travels on commercially provided road or rail transport the employer will pay the fares for that travel.</w:t>
      </w:r>
    </w:p>
    <w:p w:rsidR="0069220A" w:rsidRDefault="0069220A" w:rsidP="0069220A">
      <w:pPr>
        <w:keepNext/>
        <w:keepLines/>
        <w:numPr>
          <w:ilvl w:val="1"/>
          <w:numId w:val="4"/>
        </w:numPr>
        <w:tabs>
          <w:tab w:val="clear" w:pos="720"/>
          <w:tab w:val="num" w:pos="0"/>
        </w:tabs>
        <w:spacing w:before="80" w:after="60"/>
        <w:ind w:left="709" w:hanging="709"/>
      </w:pPr>
      <w:r>
        <w:lastRenderedPageBreak/>
        <w:t>If a Full-time Statutory Office Holder travels on commercially provided flights the employer will pay the fares to the following standard:</w:t>
      </w:r>
    </w:p>
    <w:p w:rsidR="0069220A" w:rsidRDefault="0069220A" w:rsidP="0069220A">
      <w:pPr>
        <w:keepNext/>
        <w:keepLines/>
        <w:numPr>
          <w:ilvl w:val="2"/>
          <w:numId w:val="4"/>
        </w:numPr>
        <w:tabs>
          <w:tab w:val="clear" w:pos="720"/>
        </w:tabs>
        <w:spacing w:after="60"/>
        <w:ind w:left="1134" w:hanging="436"/>
      </w:pPr>
      <w:r>
        <w:t>for domestic flights less than 4 hours</w:t>
      </w:r>
      <w:r w:rsidRPr="00E433F0">
        <w:rPr>
          <w:rFonts w:eastAsia="Calibri"/>
          <w:szCs w:val="24"/>
        </w:rPr>
        <w:t>—economy class;</w:t>
      </w:r>
    </w:p>
    <w:p w:rsidR="0069220A" w:rsidRPr="00E503D2" w:rsidRDefault="0069220A" w:rsidP="0069220A">
      <w:pPr>
        <w:keepNext/>
        <w:keepLines/>
        <w:numPr>
          <w:ilvl w:val="2"/>
          <w:numId w:val="4"/>
        </w:numPr>
        <w:tabs>
          <w:tab w:val="clear" w:pos="720"/>
        </w:tabs>
        <w:spacing w:after="60"/>
        <w:ind w:left="1134" w:hanging="436"/>
      </w:pPr>
      <w:r>
        <w:t>for domestic flights of 4 hours or more</w:t>
      </w:r>
      <w:r w:rsidRPr="00E433F0">
        <w:rPr>
          <w:rFonts w:eastAsia="Calibri"/>
          <w:szCs w:val="24"/>
        </w:rPr>
        <w:t>—business class;</w:t>
      </w:r>
    </w:p>
    <w:p w:rsidR="0069220A" w:rsidRDefault="0069220A" w:rsidP="0069220A">
      <w:pPr>
        <w:keepNext/>
        <w:keepLines/>
        <w:numPr>
          <w:ilvl w:val="2"/>
          <w:numId w:val="4"/>
        </w:numPr>
        <w:tabs>
          <w:tab w:val="clear" w:pos="720"/>
        </w:tabs>
        <w:spacing w:after="60"/>
        <w:ind w:left="1134" w:hanging="436"/>
      </w:pPr>
      <w:proofErr w:type="gramStart"/>
      <w:r w:rsidRPr="00E433F0">
        <w:rPr>
          <w:rFonts w:eastAsia="Calibri"/>
          <w:szCs w:val="24"/>
        </w:rPr>
        <w:t>for</w:t>
      </w:r>
      <w:proofErr w:type="gramEnd"/>
      <w:r w:rsidRPr="00E433F0">
        <w:rPr>
          <w:rFonts w:eastAsia="Calibri"/>
          <w:szCs w:val="24"/>
        </w:rPr>
        <w:t xml:space="preserve"> international flights—business class.</w:t>
      </w:r>
    </w:p>
    <w:p w:rsidR="0069220A" w:rsidRDefault="0069220A" w:rsidP="0069220A">
      <w:pPr>
        <w:numPr>
          <w:ilvl w:val="1"/>
          <w:numId w:val="4"/>
        </w:numPr>
        <w:tabs>
          <w:tab w:val="clear" w:pos="720"/>
          <w:tab w:val="num" w:pos="0"/>
        </w:tabs>
        <w:spacing w:before="80" w:after="60"/>
        <w:ind w:left="709" w:hanging="709"/>
      </w:pPr>
      <w:r>
        <w:t xml:space="preserve">If a Full-time Statutory Office Holder has approval to travel by private motor vehicle, the employer will pay the owner of the vehicle an allowance calculated in accordance with the Motor Vehicle Allowance set out in the </w:t>
      </w:r>
      <w:r w:rsidRPr="005638C6">
        <w:rPr>
          <w:i/>
        </w:rPr>
        <w:t>ACT Public Service Administrative and Related Classifications Enterprise Agreement 2013-2017</w:t>
      </w:r>
      <w:r>
        <w:t>.</w:t>
      </w:r>
    </w:p>
    <w:p w:rsidR="0069220A" w:rsidRPr="0040603C" w:rsidRDefault="0069220A" w:rsidP="00031CFC">
      <w:pPr>
        <w:pStyle w:val="Heading3"/>
        <w:keepLines w:val="0"/>
        <w:ind w:left="709" w:hanging="709"/>
        <w:rPr>
          <w:rFonts w:cs="Arial"/>
          <w:szCs w:val="26"/>
        </w:rPr>
      </w:pPr>
      <w:r w:rsidRPr="0040603C">
        <w:rPr>
          <w:rFonts w:cs="Arial"/>
          <w:szCs w:val="26"/>
        </w:rPr>
        <w:t>Accommodation</w:t>
      </w:r>
    </w:p>
    <w:p w:rsidR="0069220A" w:rsidRDefault="0069220A" w:rsidP="0069220A">
      <w:pPr>
        <w:numPr>
          <w:ilvl w:val="1"/>
          <w:numId w:val="4"/>
        </w:numPr>
        <w:tabs>
          <w:tab w:val="clear" w:pos="720"/>
          <w:tab w:val="num" w:pos="0"/>
        </w:tabs>
        <w:spacing w:before="80" w:after="60"/>
        <w:ind w:left="709" w:hanging="709"/>
      </w:pPr>
      <w:r>
        <w:t>If a Full-time Statutory Office Holder must stay overnight while on official travel, the employer will pay for commercial accommodation to the following standard:</w:t>
      </w:r>
    </w:p>
    <w:p w:rsidR="0069220A" w:rsidRDefault="0069220A" w:rsidP="0069220A">
      <w:pPr>
        <w:numPr>
          <w:ilvl w:val="2"/>
          <w:numId w:val="4"/>
        </w:numPr>
        <w:tabs>
          <w:tab w:val="clear" w:pos="720"/>
        </w:tabs>
        <w:spacing w:after="60"/>
        <w:ind w:left="1134" w:hanging="436"/>
      </w:pPr>
      <w:r>
        <w:t>for domestic accommodation</w:t>
      </w:r>
      <w:r w:rsidRPr="00E433F0">
        <w:rPr>
          <w:rFonts w:eastAsia="Calibri"/>
          <w:szCs w:val="24"/>
        </w:rPr>
        <w:t>—4.5 stars;</w:t>
      </w:r>
    </w:p>
    <w:p w:rsidR="0069220A" w:rsidRPr="00E503D2" w:rsidRDefault="0069220A" w:rsidP="0069220A">
      <w:pPr>
        <w:numPr>
          <w:ilvl w:val="2"/>
          <w:numId w:val="4"/>
        </w:numPr>
        <w:tabs>
          <w:tab w:val="clear" w:pos="720"/>
        </w:tabs>
        <w:spacing w:after="60"/>
        <w:ind w:left="1134" w:hanging="436"/>
      </w:pPr>
      <w:proofErr w:type="gramStart"/>
      <w:r>
        <w:t>for</w:t>
      </w:r>
      <w:proofErr w:type="gramEnd"/>
      <w:r>
        <w:t xml:space="preserve"> international accomdation</w:t>
      </w:r>
      <w:r w:rsidRPr="00E433F0">
        <w:rPr>
          <w:rFonts w:eastAsia="Calibri"/>
          <w:szCs w:val="24"/>
        </w:rPr>
        <w:t>—4.5 stars.</w:t>
      </w:r>
    </w:p>
    <w:p w:rsidR="0069220A" w:rsidRDefault="0069220A" w:rsidP="0069220A">
      <w:pPr>
        <w:numPr>
          <w:ilvl w:val="1"/>
          <w:numId w:val="4"/>
        </w:numPr>
        <w:tabs>
          <w:tab w:val="clear" w:pos="720"/>
          <w:tab w:val="num" w:pos="0"/>
        </w:tabs>
        <w:spacing w:before="80" w:after="60"/>
        <w:ind w:left="709" w:hanging="709"/>
      </w:pPr>
      <w:r>
        <w:t>The employer will pay for a Full-time Statutory Office Holder to stay in commercial accommodation above the 4.5 star standard if</w:t>
      </w:r>
      <w:r w:rsidRPr="00E433F0">
        <w:rPr>
          <w:rFonts w:eastAsia="Calibri"/>
          <w:szCs w:val="24"/>
        </w:rPr>
        <w:t>—</w:t>
      </w:r>
    </w:p>
    <w:p w:rsidR="0069220A" w:rsidRDefault="0069220A" w:rsidP="0069220A">
      <w:pPr>
        <w:numPr>
          <w:ilvl w:val="2"/>
          <w:numId w:val="4"/>
        </w:numPr>
        <w:tabs>
          <w:tab w:val="clear" w:pos="720"/>
        </w:tabs>
        <w:spacing w:after="60"/>
        <w:ind w:left="1134" w:hanging="436"/>
      </w:pPr>
      <w:r>
        <w:t>the cost is reasonable; and</w:t>
      </w:r>
    </w:p>
    <w:p w:rsidR="0069220A" w:rsidRDefault="0069220A" w:rsidP="0069220A">
      <w:pPr>
        <w:numPr>
          <w:ilvl w:val="2"/>
          <w:numId w:val="4"/>
        </w:numPr>
        <w:tabs>
          <w:tab w:val="clear" w:pos="720"/>
        </w:tabs>
        <w:spacing w:after="60"/>
        <w:ind w:left="1134" w:hanging="436"/>
      </w:pPr>
      <w:proofErr w:type="gramStart"/>
      <w:r>
        <w:t>to</w:t>
      </w:r>
      <w:proofErr w:type="gramEnd"/>
      <w:r>
        <w:t xml:space="preserve"> do so would better enable business objectives to be met.</w:t>
      </w:r>
    </w:p>
    <w:p w:rsidR="0069220A" w:rsidRPr="00096BB5" w:rsidRDefault="0069220A" w:rsidP="0069220A">
      <w:pPr>
        <w:keepNext/>
        <w:autoSpaceDE w:val="0"/>
        <w:autoSpaceDN w:val="0"/>
        <w:adjustRightInd w:val="0"/>
        <w:spacing w:before="80"/>
        <w:ind w:left="1276" w:hanging="567"/>
        <w:rPr>
          <w:sz w:val="20"/>
          <w:lang w:val="en-US"/>
        </w:rPr>
      </w:pPr>
      <w:r>
        <w:rPr>
          <w:sz w:val="20"/>
          <w:lang w:val="en-US"/>
        </w:rPr>
        <w:t>Examples where business objectives may be better met:</w:t>
      </w:r>
    </w:p>
    <w:p w:rsidR="0069220A" w:rsidRDefault="0069220A" w:rsidP="0069220A">
      <w:pPr>
        <w:pStyle w:val="ColorfulShading-Accent31"/>
        <w:keepNext/>
        <w:numPr>
          <w:ilvl w:val="0"/>
          <w:numId w:val="18"/>
        </w:numPr>
        <w:tabs>
          <w:tab w:val="num" w:pos="1134"/>
        </w:tabs>
        <w:autoSpaceDE w:val="0"/>
        <w:autoSpaceDN w:val="0"/>
        <w:adjustRightInd w:val="0"/>
        <w:spacing w:after="60"/>
        <w:rPr>
          <w:sz w:val="20"/>
          <w:lang w:val="en-US"/>
        </w:rPr>
      </w:pPr>
      <w:r>
        <w:rPr>
          <w:sz w:val="20"/>
          <w:lang w:val="en-US"/>
        </w:rPr>
        <w:t xml:space="preserve">to allow </w:t>
      </w:r>
      <w:r w:rsidRPr="001458A6">
        <w:rPr>
          <w:sz w:val="20"/>
          <w:lang w:val="en-US"/>
        </w:rPr>
        <w:t xml:space="preserve">a </w:t>
      </w:r>
      <w:r>
        <w:rPr>
          <w:sz w:val="20"/>
          <w:lang w:val="en-US"/>
        </w:rPr>
        <w:t>full</w:t>
      </w:r>
      <w:r w:rsidRPr="001458A6">
        <w:rPr>
          <w:sz w:val="20"/>
          <w:lang w:val="en-US"/>
        </w:rPr>
        <w:t xml:space="preserve">-time </w:t>
      </w:r>
      <w:r>
        <w:rPr>
          <w:sz w:val="20"/>
          <w:lang w:val="en-US"/>
        </w:rPr>
        <w:t>Statutory Office Holder</w:t>
      </w:r>
      <w:r w:rsidRPr="001458A6">
        <w:rPr>
          <w:sz w:val="20"/>
          <w:lang w:val="en-US"/>
        </w:rPr>
        <w:t xml:space="preserve"> </w:t>
      </w:r>
      <w:r>
        <w:rPr>
          <w:sz w:val="20"/>
          <w:lang w:val="en-US"/>
        </w:rPr>
        <w:t xml:space="preserve">to </w:t>
      </w:r>
      <w:r w:rsidRPr="001458A6">
        <w:rPr>
          <w:sz w:val="20"/>
          <w:lang w:val="en-US"/>
        </w:rPr>
        <w:t xml:space="preserve">stay in the commercial accommodation where a meeting, conference or seminar </w:t>
      </w:r>
      <w:r>
        <w:rPr>
          <w:sz w:val="20"/>
          <w:lang w:val="en-US"/>
        </w:rPr>
        <w:t xml:space="preserve">they are attending </w:t>
      </w:r>
      <w:r w:rsidRPr="001458A6">
        <w:rPr>
          <w:sz w:val="20"/>
          <w:lang w:val="en-US"/>
        </w:rPr>
        <w:t>is being held</w:t>
      </w:r>
    </w:p>
    <w:p w:rsidR="0069220A" w:rsidRPr="00534427" w:rsidRDefault="0069220A" w:rsidP="0069220A">
      <w:pPr>
        <w:pStyle w:val="ColorfulShading-Accent31"/>
        <w:keepNext/>
        <w:numPr>
          <w:ilvl w:val="0"/>
          <w:numId w:val="18"/>
        </w:numPr>
        <w:tabs>
          <w:tab w:val="num" w:pos="1134"/>
        </w:tabs>
        <w:autoSpaceDE w:val="0"/>
        <w:autoSpaceDN w:val="0"/>
        <w:adjustRightInd w:val="0"/>
        <w:spacing w:before="80" w:after="60"/>
        <w:rPr>
          <w:sz w:val="20"/>
          <w:lang w:val="en-US"/>
        </w:rPr>
      </w:pPr>
      <w:proofErr w:type="gramStart"/>
      <w:r w:rsidRPr="00534427">
        <w:rPr>
          <w:sz w:val="20"/>
          <w:lang w:val="en-US"/>
        </w:rPr>
        <w:t>to</w:t>
      </w:r>
      <w:proofErr w:type="gramEnd"/>
      <w:r w:rsidRPr="00534427">
        <w:rPr>
          <w:sz w:val="20"/>
          <w:lang w:val="en-US"/>
        </w:rPr>
        <w:t xml:space="preserve"> allow a full-time Statutory Office Holder who is traveling with a Minister to stay in the same commercial accommodation as that Minister if they are entitled to a higher standard of accommodation</w:t>
      </w:r>
      <w:r>
        <w:rPr>
          <w:sz w:val="20"/>
          <w:lang w:val="en-US"/>
        </w:rPr>
        <w:t>.</w:t>
      </w:r>
    </w:p>
    <w:p w:rsidR="0069220A" w:rsidRPr="0040603C" w:rsidRDefault="0069220A" w:rsidP="00031CFC">
      <w:pPr>
        <w:pStyle w:val="Heading3"/>
        <w:keepLines w:val="0"/>
        <w:ind w:left="709" w:hanging="709"/>
        <w:rPr>
          <w:rFonts w:cs="Arial"/>
          <w:szCs w:val="26"/>
        </w:rPr>
      </w:pPr>
      <w:r w:rsidRPr="0040603C">
        <w:rPr>
          <w:rFonts w:cs="Arial"/>
          <w:szCs w:val="26"/>
        </w:rPr>
        <w:t>Meals</w:t>
      </w:r>
    </w:p>
    <w:p w:rsidR="0069220A" w:rsidRDefault="0069220A" w:rsidP="0069220A">
      <w:pPr>
        <w:numPr>
          <w:ilvl w:val="1"/>
          <w:numId w:val="4"/>
        </w:numPr>
        <w:tabs>
          <w:tab w:val="clear" w:pos="720"/>
          <w:tab w:val="num" w:pos="0"/>
        </w:tabs>
        <w:spacing w:before="80" w:after="60"/>
        <w:ind w:left="709" w:hanging="709"/>
      </w:pPr>
      <w:r>
        <w:t>If a Full-time Statutory Office Holder is absent from Canberra for more than ten hours while on official travel, the employer will reimburse actual, reasonable expenses for meals.</w:t>
      </w:r>
    </w:p>
    <w:p w:rsidR="0069220A" w:rsidRPr="0040603C" w:rsidRDefault="0069220A" w:rsidP="00031CFC">
      <w:pPr>
        <w:pStyle w:val="Heading3"/>
        <w:keepLines w:val="0"/>
        <w:ind w:left="709" w:hanging="709"/>
        <w:rPr>
          <w:rFonts w:cs="Arial"/>
          <w:szCs w:val="26"/>
        </w:rPr>
      </w:pPr>
      <w:r w:rsidRPr="0040603C">
        <w:rPr>
          <w:rFonts w:cs="Arial"/>
          <w:szCs w:val="26"/>
        </w:rPr>
        <w:t>Incidental expenses</w:t>
      </w:r>
    </w:p>
    <w:p w:rsidR="0069220A" w:rsidRDefault="0069220A" w:rsidP="0069220A">
      <w:pPr>
        <w:numPr>
          <w:ilvl w:val="1"/>
          <w:numId w:val="4"/>
        </w:numPr>
        <w:tabs>
          <w:tab w:val="clear" w:pos="720"/>
          <w:tab w:val="num" w:pos="0"/>
        </w:tabs>
        <w:spacing w:before="80" w:after="60"/>
        <w:ind w:left="709" w:hanging="709"/>
      </w:pPr>
      <w:r>
        <w:t>The employer will reimburse reasonable expenses directly related to official travel, including</w:t>
      </w:r>
      <w:r w:rsidRPr="00E433F0">
        <w:rPr>
          <w:rFonts w:eastAsia="Calibri"/>
          <w:szCs w:val="24"/>
        </w:rPr>
        <w:t>—</w:t>
      </w:r>
    </w:p>
    <w:p w:rsidR="0069220A" w:rsidRDefault="0069220A" w:rsidP="0069220A">
      <w:pPr>
        <w:numPr>
          <w:ilvl w:val="2"/>
          <w:numId w:val="4"/>
        </w:numPr>
        <w:tabs>
          <w:tab w:val="clear" w:pos="720"/>
        </w:tabs>
        <w:spacing w:after="60"/>
        <w:ind w:left="1134" w:hanging="436"/>
      </w:pPr>
      <w:r>
        <w:t>taxi or bus fares to or from an airport; and</w:t>
      </w:r>
    </w:p>
    <w:p w:rsidR="0069220A" w:rsidRDefault="0069220A" w:rsidP="0069220A">
      <w:pPr>
        <w:numPr>
          <w:ilvl w:val="2"/>
          <w:numId w:val="4"/>
        </w:numPr>
        <w:tabs>
          <w:tab w:val="clear" w:pos="720"/>
        </w:tabs>
        <w:spacing w:after="60"/>
        <w:ind w:left="1134" w:hanging="436"/>
      </w:pPr>
      <w:r>
        <w:t xml:space="preserve">taxi and public transport costs at a temporary location; and </w:t>
      </w:r>
    </w:p>
    <w:p w:rsidR="0069220A" w:rsidRDefault="0069220A" w:rsidP="0069220A">
      <w:pPr>
        <w:numPr>
          <w:ilvl w:val="2"/>
          <w:numId w:val="4"/>
        </w:numPr>
        <w:tabs>
          <w:tab w:val="clear" w:pos="720"/>
        </w:tabs>
        <w:spacing w:after="60"/>
        <w:ind w:left="1134" w:hanging="436"/>
      </w:pPr>
      <w:proofErr w:type="gramStart"/>
      <w:r>
        <w:t>airport</w:t>
      </w:r>
      <w:proofErr w:type="gramEnd"/>
      <w:r>
        <w:t xml:space="preserve"> taxes or charges.</w:t>
      </w:r>
    </w:p>
    <w:p w:rsidR="0069220A" w:rsidRPr="0040603C" w:rsidRDefault="0069220A" w:rsidP="00031CFC">
      <w:pPr>
        <w:pStyle w:val="Heading3"/>
        <w:keepLines w:val="0"/>
        <w:ind w:left="709" w:hanging="709"/>
        <w:rPr>
          <w:rFonts w:cs="Arial"/>
          <w:szCs w:val="26"/>
        </w:rPr>
      </w:pPr>
      <w:r w:rsidRPr="0040603C">
        <w:rPr>
          <w:rFonts w:cs="Arial"/>
          <w:szCs w:val="26"/>
        </w:rPr>
        <w:t>Frequent Flyer Program</w:t>
      </w:r>
    </w:p>
    <w:p w:rsidR="0069220A" w:rsidRDefault="0069220A" w:rsidP="0069220A">
      <w:pPr>
        <w:numPr>
          <w:ilvl w:val="1"/>
          <w:numId w:val="4"/>
        </w:numPr>
        <w:tabs>
          <w:tab w:val="clear" w:pos="720"/>
          <w:tab w:val="num" w:pos="0"/>
        </w:tabs>
        <w:spacing w:before="80" w:after="60"/>
        <w:ind w:left="709" w:hanging="709"/>
      </w:pPr>
      <w:r>
        <w:t xml:space="preserve">Frequent flyer points accrued by a Full-time Statutory Office Holder as a result of travel and accommodation paid for by the employer may only be used for further official travel.  </w:t>
      </w:r>
    </w:p>
    <w:p w:rsidR="0069220A" w:rsidRDefault="0069220A" w:rsidP="0069220A">
      <w:pPr>
        <w:numPr>
          <w:ilvl w:val="1"/>
          <w:numId w:val="4"/>
        </w:numPr>
        <w:tabs>
          <w:tab w:val="clear" w:pos="720"/>
          <w:tab w:val="num" w:pos="0"/>
        </w:tabs>
        <w:spacing w:before="80" w:after="60"/>
        <w:ind w:left="709" w:hanging="709"/>
      </w:pPr>
      <w:r>
        <w:t>Frequent flyer points may not be used to upgrade the standard of air travel to a level above the Full-time Statutory Office Holder’s entitlement.</w:t>
      </w:r>
    </w:p>
    <w:p w:rsidR="0069220A" w:rsidRPr="0040603C" w:rsidRDefault="0069220A" w:rsidP="00031CFC">
      <w:pPr>
        <w:pStyle w:val="Heading3"/>
        <w:keepLines w:val="0"/>
        <w:ind w:left="709" w:hanging="709"/>
        <w:rPr>
          <w:rFonts w:cs="Arial"/>
          <w:szCs w:val="26"/>
        </w:rPr>
      </w:pPr>
      <w:r w:rsidRPr="0040603C">
        <w:rPr>
          <w:rFonts w:cs="Arial"/>
          <w:szCs w:val="26"/>
        </w:rPr>
        <w:lastRenderedPageBreak/>
        <w:t>Definitions</w:t>
      </w:r>
    </w:p>
    <w:p w:rsidR="0069220A" w:rsidRDefault="0069220A" w:rsidP="0069220A">
      <w:pPr>
        <w:numPr>
          <w:ilvl w:val="1"/>
          <w:numId w:val="4"/>
        </w:numPr>
        <w:tabs>
          <w:tab w:val="clear" w:pos="720"/>
          <w:tab w:val="num" w:pos="0"/>
        </w:tabs>
        <w:spacing w:before="80" w:after="60"/>
        <w:ind w:left="709" w:hanging="709"/>
      </w:pPr>
      <w:r w:rsidRPr="003C55D8">
        <w:t xml:space="preserve">In this </w:t>
      </w:r>
      <w:r>
        <w:t>Determination</w:t>
      </w:r>
      <w:r w:rsidRPr="003C55D8">
        <w:t>:</w:t>
      </w:r>
    </w:p>
    <w:p w:rsidR="0069220A" w:rsidRPr="00E433F0" w:rsidRDefault="0069220A" w:rsidP="0069220A">
      <w:pPr>
        <w:spacing w:before="80"/>
        <w:ind w:left="709"/>
        <w:jc w:val="both"/>
      </w:pPr>
      <w:proofErr w:type="gramStart"/>
      <w:r w:rsidRPr="00E433F0">
        <w:rPr>
          <w:b/>
          <w:bCs/>
          <w:i/>
          <w:iCs/>
        </w:rPr>
        <w:t>agreed</w:t>
      </w:r>
      <w:proofErr w:type="gramEnd"/>
      <w:r w:rsidRPr="00E433F0">
        <w:rPr>
          <w:b/>
          <w:bCs/>
          <w:i/>
          <w:iCs/>
        </w:rPr>
        <w:t xml:space="preserve"> superannuation fund</w:t>
      </w:r>
      <w:r w:rsidRPr="00E433F0">
        <w:t xml:space="preserve"> means a fund complying with the requirements of:</w:t>
      </w:r>
    </w:p>
    <w:p w:rsidR="0069220A" w:rsidRPr="00E433F0" w:rsidRDefault="0069220A" w:rsidP="0069220A">
      <w:pPr>
        <w:pStyle w:val="ColorfulShading-Accent31"/>
        <w:numPr>
          <w:ilvl w:val="0"/>
          <w:numId w:val="17"/>
        </w:numPr>
        <w:spacing w:after="60"/>
        <w:jc w:val="both"/>
      </w:pPr>
      <w:r w:rsidRPr="00E433F0">
        <w:t xml:space="preserve">the </w:t>
      </w:r>
      <w:r w:rsidRPr="00E433F0">
        <w:rPr>
          <w:i/>
        </w:rPr>
        <w:t>Income Tax Assessment Act 1936</w:t>
      </w:r>
      <w:r w:rsidRPr="00E433F0">
        <w:t xml:space="preserve"> (</w:t>
      </w:r>
      <w:proofErr w:type="spellStart"/>
      <w:r w:rsidRPr="00E433F0">
        <w:t>Cth</w:t>
      </w:r>
      <w:proofErr w:type="spellEnd"/>
      <w:r w:rsidRPr="00E433F0">
        <w:t>); and</w:t>
      </w:r>
    </w:p>
    <w:p w:rsidR="0069220A" w:rsidRPr="00E433F0" w:rsidRDefault="0069220A" w:rsidP="0069220A">
      <w:pPr>
        <w:pStyle w:val="ColorfulShading-Accent31"/>
        <w:numPr>
          <w:ilvl w:val="0"/>
          <w:numId w:val="17"/>
        </w:numPr>
        <w:spacing w:before="80"/>
        <w:jc w:val="both"/>
      </w:pPr>
      <w:proofErr w:type="gramStart"/>
      <w:r w:rsidRPr="00E433F0">
        <w:t>the</w:t>
      </w:r>
      <w:proofErr w:type="gramEnd"/>
      <w:r w:rsidRPr="00E433F0">
        <w:t xml:space="preserve"> </w:t>
      </w:r>
      <w:r w:rsidRPr="00E433F0">
        <w:rPr>
          <w:i/>
        </w:rPr>
        <w:t>Superannuation Industry (Supervision) Act 1993</w:t>
      </w:r>
      <w:r w:rsidRPr="00E433F0">
        <w:t xml:space="preserve"> (</w:t>
      </w:r>
      <w:proofErr w:type="spellStart"/>
      <w:r w:rsidRPr="00E433F0">
        <w:t>Cth</w:t>
      </w:r>
      <w:proofErr w:type="spellEnd"/>
      <w:r w:rsidRPr="00E433F0">
        <w:t>).</w:t>
      </w:r>
    </w:p>
    <w:p w:rsidR="0069220A" w:rsidRDefault="0069220A" w:rsidP="0069220A">
      <w:pPr>
        <w:spacing w:before="80"/>
        <w:ind w:left="709"/>
        <w:jc w:val="both"/>
      </w:pPr>
      <w:r>
        <w:rPr>
          <w:b/>
          <w:i/>
        </w:rPr>
        <w:t xml:space="preserve">CSS </w:t>
      </w:r>
      <w:r>
        <w:t xml:space="preserve">means the </w:t>
      </w:r>
      <w:r w:rsidRPr="0075183B">
        <w:t>Comm</w:t>
      </w:r>
      <w:r>
        <w:t>onwealth Superannuation Scheme.</w:t>
      </w:r>
    </w:p>
    <w:p w:rsidR="0069220A" w:rsidRPr="00E433F0" w:rsidRDefault="0069220A" w:rsidP="0069220A">
      <w:pPr>
        <w:spacing w:before="80"/>
        <w:ind w:left="709"/>
        <w:jc w:val="both"/>
      </w:pPr>
      <w:proofErr w:type="gramStart"/>
      <w:r w:rsidRPr="00E433F0">
        <w:rPr>
          <w:b/>
          <w:bCs/>
          <w:i/>
        </w:rPr>
        <w:t>employer</w:t>
      </w:r>
      <w:proofErr w:type="gramEnd"/>
      <w:r w:rsidRPr="00E433F0">
        <w:t xml:space="preserve"> means the Australian Capital Territory and includes any person authorised to act on behalf of the Australian Capital Territory.</w:t>
      </w:r>
    </w:p>
    <w:p w:rsidR="0069220A" w:rsidRPr="00E433F0" w:rsidRDefault="0069220A" w:rsidP="0069220A">
      <w:pPr>
        <w:spacing w:before="80"/>
        <w:ind w:left="709"/>
        <w:jc w:val="both"/>
      </w:pPr>
      <w:proofErr w:type="gramStart"/>
      <w:r w:rsidRPr="00E433F0">
        <w:rPr>
          <w:b/>
          <w:bCs/>
          <w:i/>
          <w:iCs/>
        </w:rPr>
        <w:t>fringe</w:t>
      </w:r>
      <w:proofErr w:type="gramEnd"/>
      <w:r w:rsidRPr="00E433F0">
        <w:rPr>
          <w:b/>
          <w:bCs/>
          <w:i/>
        </w:rPr>
        <w:t xml:space="preserve"> benefits tax</w:t>
      </w:r>
      <w:r w:rsidRPr="00E433F0">
        <w:t xml:space="preserve"> means the tax assessed under the </w:t>
      </w:r>
      <w:r w:rsidRPr="00E433F0">
        <w:rPr>
          <w:i/>
        </w:rPr>
        <w:t>Fringe Benefits Tax Assessment Act 1986</w:t>
      </w:r>
      <w:r w:rsidRPr="00E433F0">
        <w:t>.</w:t>
      </w:r>
    </w:p>
    <w:p w:rsidR="0069220A" w:rsidRPr="00D101F0" w:rsidRDefault="0069220A" w:rsidP="0069220A">
      <w:pPr>
        <w:spacing w:before="80"/>
        <w:ind w:left="709"/>
        <w:jc w:val="both"/>
      </w:pPr>
      <w:r>
        <w:rPr>
          <w:b/>
          <w:i/>
        </w:rPr>
        <w:t>Full-time Statutory Office Holder</w:t>
      </w:r>
      <w:r>
        <w:t xml:space="preserve"> means a person appointed to an office </w:t>
      </w:r>
      <w:r w:rsidRPr="00E433F0">
        <w:t>listed in column 1 of Table 2.1</w:t>
      </w:r>
      <w:r w:rsidR="00CA0D6A">
        <w:t xml:space="preserve"> </w:t>
      </w:r>
      <w:r w:rsidR="008236B1">
        <w:t xml:space="preserve">or </w:t>
      </w:r>
      <w:r w:rsidR="00CA0D6A">
        <w:t>Table 2.2</w:t>
      </w:r>
      <w:r w:rsidRPr="00E433F0">
        <w:t>.</w:t>
      </w:r>
    </w:p>
    <w:p w:rsidR="0069220A" w:rsidRDefault="0069220A" w:rsidP="0069220A">
      <w:pPr>
        <w:spacing w:before="80"/>
        <w:ind w:left="709"/>
        <w:jc w:val="both"/>
      </w:pPr>
      <w:r>
        <w:rPr>
          <w:b/>
          <w:i/>
        </w:rPr>
        <w:t xml:space="preserve">PSS </w:t>
      </w:r>
      <w:r>
        <w:t xml:space="preserve">means the </w:t>
      </w:r>
      <w:r w:rsidRPr="0075183B">
        <w:t>Publi</w:t>
      </w:r>
      <w:r>
        <w:t>c Sector Superannuation Scheme.</w:t>
      </w:r>
    </w:p>
    <w:p w:rsidR="0069220A" w:rsidRPr="00E433F0" w:rsidRDefault="0069220A" w:rsidP="0069220A">
      <w:pPr>
        <w:numPr>
          <w:ilvl w:val="1"/>
          <w:numId w:val="4"/>
        </w:numPr>
        <w:tabs>
          <w:tab w:val="clear" w:pos="720"/>
          <w:tab w:val="num" w:pos="0"/>
        </w:tabs>
        <w:spacing w:before="80" w:after="60"/>
        <w:ind w:left="709" w:hanging="709"/>
      </w:pPr>
      <w:proofErr w:type="gramStart"/>
      <w:r w:rsidRPr="00E433F0">
        <w:rPr>
          <w:b/>
          <w:i/>
        </w:rPr>
        <w:t>total</w:t>
      </w:r>
      <w:proofErr w:type="gramEnd"/>
      <w:r w:rsidRPr="00E433F0">
        <w:rPr>
          <w:b/>
          <w:i/>
        </w:rPr>
        <w:t xml:space="preserve"> remuneration package</w:t>
      </w:r>
      <w:r w:rsidRPr="00E433F0">
        <w:t xml:space="preserve"> includes remuneration set out in Table 2.1</w:t>
      </w:r>
      <w:r w:rsidR="00CA0D6A" w:rsidRPr="00CA0D6A">
        <w:t xml:space="preserve"> </w:t>
      </w:r>
      <w:r w:rsidR="00CA0D6A">
        <w:t>or Table 2.2</w:t>
      </w:r>
      <w:r w:rsidRPr="00E433F0">
        <w:t xml:space="preserve">, all employer provided benefits, and all </w:t>
      </w:r>
      <w:r w:rsidRPr="00555703">
        <w:t>allowances</w:t>
      </w:r>
      <w:r w:rsidRPr="00E433F0">
        <w:t xml:space="preserve">.  </w:t>
      </w:r>
      <w:r w:rsidRPr="00C74636">
        <w:t xml:space="preserve">The value of an allowance or entitlement set out in this Determination is fixed and cannot be transferred to </w:t>
      </w:r>
      <w:r>
        <w:t xml:space="preserve">any other component of </w:t>
      </w:r>
      <w:r w:rsidRPr="00C74636">
        <w:t>the total remuneration package</w:t>
      </w:r>
      <w:r>
        <w:t>.</w:t>
      </w:r>
    </w:p>
    <w:p w:rsidR="00DC6C6D" w:rsidRPr="0040603C" w:rsidRDefault="00DC6C6D" w:rsidP="00031CFC">
      <w:pPr>
        <w:pStyle w:val="Heading3"/>
        <w:keepLines w:val="0"/>
        <w:ind w:left="709" w:hanging="709"/>
        <w:rPr>
          <w:rFonts w:cs="Arial"/>
          <w:szCs w:val="26"/>
        </w:rPr>
      </w:pPr>
      <w:r w:rsidRPr="0040603C">
        <w:rPr>
          <w:rFonts w:cs="Arial"/>
          <w:szCs w:val="26"/>
        </w:rPr>
        <w:t>Revocation of previous Determination</w:t>
      </w:r>
    </w:p>
    <w:p w:rsidR="007612FA" w:rsidRDefault="00DC6C6D" w:rsidP="00AE2CF2">
      <w:pPr>
        <w:numPr>
          <w:ilvl w:val="1"/>
          <w:numId w:val="4"/>
        </w:numPr>
        <w:tabs>
          <w:tab w:val="clear" w:pos="720"/>
        </w:tabs>
        <w:spacing w:before="80" w:after="60"/>
        <w:ind w:left="709" w:hanging="709"/>
      </w:pPr>
      <w:r w:rsidRPr="000E19B1">
        <w:t xml:space="preserve">Determination </w:t>
      </w:r>
      <w:r w:rsidR="0069220A" w:rsidRPr="000E19B1">
        <w:t>4 of 2015</w:t>
      </w:r>
      <w:r w:rsidR="000E19B1">
        <w:t xml:space="preserve"> (Full-time Statutory Office Holders) </w:t>
      </w:r>
      <w:r w:rsidR="007612FA">
        <w:t>is revoked</w:t>
      </w:r>
      <w:proofErr w:type="gramStart"/>
      <w:r w:rsidR="00007899">
        <w:rPr>
          <w:b/>
        </w:rPr>
        <w:t>.</w:t>
      </w:r>
      <w:r w:rsidR="007612FA">
        <w:t>.</w:t>
      </w:r>
      <w:proofErr w:type="gramEnd"/>
    </w:p>
    <w:p w:rsidR="00DC6C6D" w:rsidRPr="000E19B1" w:rsidRDefault="000E19B1" w:rsidP="00AE2CF2">
      <w:pPr>
        <w:numPr>
          <w:ilvl w:val="1"/>
          <w:numId w:val="4"/>
        </w:numPr>
        <w:tabs>
          <w:tab w:val="clear" w:pos="720"/>
        </w:tabs>
        <w:spacing w:before="80" w:after="60"/>
        <w:ind w:left="709" w:hanging="709"/>
      </w:pPr>
      <w:r>
        <w:t>Determination 14 of 2015 (CEO, CIT)</w:t>
      </w:r>
      <w:r w:rsidR="00DC6C6D" w:rsidRPr="000E19B1">
        <w:t xml:space="preserve"> </w:t>
      </w:r>
      <w:r w:rsidR="007612FA">
        <w:t>is</w:t>
      </w:r>
      <w:r w:rsidR="00DC6C6D" w:rsidRPr="000E19B1">
        <w:t xml:space="preserve"> revoked.</w:t>
      </w:r>
    </w:p>
    <w:p w:rsidR="00883CEC" w:rsidRPr="00E433F0" w:rsidRDefault="00883CEC" w:rsidP="00883CEC">
      <w:pPr>
        <w:spacing w:before="80" w:after="60"/>
      </w:pPr>
    </w:p>
    <w:p w:rsidR="00DC6C6D" w:rsidRDefault="00DC6C6D" w:rsidP="00DC6C6D">
      <w:pPr>
        <w:tabs>
          <w:tab w:val="left" w:pos="4320"/>
        </w:tabs>
      </w:pPr>
    </w:p>
    <w:p w:rsidR="00883CEC" w:rsidRPr="00A9481F" w:rsidRDefault="00883CEC" w:rsidP="00883CEC">
      <w:pPr>
        <w:tabs>
          <w:tab w:val="left" w:pos="4253"/>
          <w:tab w:val="left" w:leader="dot" w:pos="8222"/>
        </w:tabs>
        <w:spacing w:line="360" w:lineRule="auto"/>
      </w:pPr>
      <w:r w:rsidRPr="00A9481F">
        <w:t>Anne Cahill Lambert AM</w:t>
      </w:r>
      <w:r w:rsidRPr="00A9481F">
        <w:tab/>
      </w:r>
    </w:p>
    <w:p w:rsidR="00883CEC" w:rsidRPr="00A9481F" w:rsidRDefault="00883CEC" w:rsidP="00883CEC">
      <w:pPr>
        <w:tabs>
          <w:tab w:val="left" w:pos="4253"/>
          <w:tab w:val="left" w:leader="dot" w:pos="8222"/>
        </w:tabs>
      </w:pPr>
      <w:r w:rsidRPr="00A9481F">
        <w:t>Chair</w:t>
      </w:r>
      <w:r w:rsidRPr="00A9481F">
        <w:tab/>
        <w:t>.................................................................</w:t>
      </w:r>
    </w:p>
    <w:p w:rsidR="00883CEC" w:rsidRPr="00A9481F" w:rsidRDefault="00883CEC" w:rsidP="00883CEC">
      <w:pPr>
        <w:tabs>
          <w:tab w:val="left" w:pos="4253"/>
          <w:tab w:val="left" w:leader="dot" w:pos="8222"/>
        </w:tabs>
      </w:pPr>
    </w:p>
    <w:p w:rsidR="00883CEC" w:rsidRPr="00A9481F" w:rsidRDefault="00883CEC" w:rsidP="00883CEC">
      <w:pPr>
        <w:tabs>
          <w:tab w:val="left" w:pos="4253"/>
          <w:tab w:val="left" w:leader="dot" w:pos="8222"/>
        </w:tabs>
      </w:pPr>
    </w:p>
    <w:p w:rsidR="00883CEC" w:rsidRPr="00A9481F" w:rsidRDefault="00883CEC" w:rsidP="00883CEC">
      <w:pPr>
        <w:tabs>
          <w:tab w:val="left" w:pos="4253"/>
          <w:tab w:val="left" w:leader="dot" w:pos="8222"/>
        </w:tabs>
      </w:pPr>
      <w:r>
        <w:t>Dr Colin Adrian</w:t>
      </w:r>
      <w:r w:rsidRPr="00A9481F">
        <w:tab/>
      </w:r>
    </w:p>
    <w:p w:rsidR="00883CEC" w:rsidRPr="00A9481F" w:rsidRDefault="00883CEC" w:rsidP="00883CEC">
      <w:pPr>
        <w:tabs>
          <w:tab w:val="left" w:pos="4253"/>
          <w:tab w:val="left" w:leader="dot" w:pos="8222"/>
        </w:tabs>
      </w:pPr>
      <w:r w:rsidRPr="00A9481F">
        <w:t>Member</w:t>
      </w:r>
      <w:r w:rsidRPr="00A9481F">
        <w:tab/>
        <w:t>.................................................................</w:t>
      </w:r>
    </w:p>
    <w:p w:rsidR="00883CEC" w:rsidRDefault="00883CEC" w:rsidP="00883CEC">
      <w:pPr>
        <w:tabs>
          <w:tab w:val="left" w:pos="4253"/>
          <w:tab w:val="left" w:leader="dot" w:pos="8222"/>
        </w:tabs>
      </w:pPr>
    </w:p>
    <w:p w:rsidR="00883CEC" w:rsidRPr="00A9481F" w:rsidRDefault="00883CEC" w:rsidP="00883CEC">
      <w:pPr>
        <w:tabs>
          <w:tab w:val="left" w:pos="4253"/>
          <w:tab w:val="left" w:leader="dot" w:pos="8222"/>
        </w:tabs>
      </w:pPr>
    </w:p>
    <w:p w:rsidR="00883CEC" w:rsidRPr="00A9481F" w:rsidRDefault="00883CEC" w:rsidP="00883CEC">
      <w:pPr>
        <w:tabs>
          <w:tab w:val="left" w:pos="4253"/>
          <w:tab w:val="left" w:leader="dot" w:pos="8222"/>
        </w:tabs>
      </w:pPr>
      <w:r>
        <w:t>James Smythe PSM</w:t>
      </w:r>
      <w:r w:rsidRPr="00A9481F">
        <w:tab/>
      </w:r>
    </w:p>
    <w:p w:rsidR="00883CEC" w:rsidRPr="00A9481F" w:rsidRDefault="00883CEC" w:rsidP="00883CEC">
      <w:pPr>
        <w:tabs>
          <w:tab w:val="left" w:pos="4253"/>
          <w:tab w:val="left" w:leader="dot" w:pos="8222"/>
        </w:tabs>
      </w:pPr>
      <w:r w:rsidRPr="00A9481F">
        <w:t>Member</w:t>
      </w:r>
      <w:r w:rsidRPr="00A9481F">
        <w:tab/>
        <w:t>.................................................................</w:t>
      </w:r>
    </w:p>
    <w:p w:rsidR="00883CEC" w:rsidRDefault="00883CEC" w:rsidP="00883CEC">
      <w:pPr>
        <w:tabs>
          <w:tab w:val="left" w:pos="4253"/>
          <w:tab w:val="left" w:leader="dot" w:pos="8222"/>
        </w:tabs>
      </w:pPr>
    </w:p>
    <w:p w:rsidR="00DC6C6D" w:rsidRPr="00A9481F" w:rsidRDefault="00DC6C6D" w:rsidP="00DC6C6D">
      <w:pPr>
        <w:tabs>
          <w:tab w:val="left" w:pos="4253"/>
          <w:tab w:val="left" w:leader="dot" w:pos="8222"/>
        </w:tabs>
      </w:pPr>
    </w:p>
    <w:p w:rsidR="00DC6C6D" w:rsidRDefault="007B3033" w:rsidP="00DC6C6D">
      <w:pPr>
        <w:tabs>
          <w:tab w:val="left" w:pos="4253"/>
          <w:tab w:val="left" w:leader="dot" w:pos="8222"/>
        </w:tabs>
        <w:jc w:val="right"/>
      </w:pPr>
      <w:r>
        <w:t>April</w:t>
      </w:r>
      <w:r w:rsidRPr="00A9481F">
        <w:t xml:space="preserve"> </w:t>
      </w:r>
      <w:r w:rsidR="00DC6C6D" w:rsidRPr="00A9481F">
        <w:t>201</w:t>
      </w:r>
      <w:r w:rsidR="00DC6C6D">
        <w:t>6</w:t>
      </w:r>
      <w:bookmarkEnd w:id="0"/>
    </w:p>
    <w:sectPr w:rsidR="00DC6C6D" w:rsidSect="00DD73BE">
      <w:headerReference w:type="even" r:id="rId16"/>
      <w:headerReference w:type="default" r:id="rId17"/>
      <w:footerReference w:type="even" r:id="rId18"/>
      <w:footerReference w:type="default" r:id="rId19"/>
      <w:headerReference w:type="first" r:id="rId20"/>
      <w:footerReference w:type="first" r:id="rId21"/>
      <w:type w:val="continuous"/>
      <w:pgSz w:w="11907" w:h="16840" w:code="9"/>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2F07" w:rsidRDefault="007B2F07">
      <w:r>
        <w:separator/>
      </w:r>
    </w:p>
  </w:endnote>
  <w:endnote w:type="continuationSeparator" w:id="0">
    <w:p w:rsidR="007B2F07" w:rsidRDefault="007B2F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012" w:rsidRDefault="00D6601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19F" w:rsidRDefault="00F572EC">
    <w:pPr>
      <w:pStyle w:val="Footer"/>
      <w:jc w:val="right"/>
    </w:pPr>
    <w:r>
      <w:fldChar w:fldCharType="begin"/>
    </w:r>
    <w:r w:rsidR="0078119F">
      <w:instrText xml:space="preserve"> PAGE   \* MERGEFORMAT </w:instrText>
    </w:r>
    <w:r>
      <w:fldChar w:fldCharType="separate"/>
    </w:r>
    <w:r w:rsidR="00732D04">
      <w:rPr>
        <w:noProof/>
      </w:rPr>
      <w:t>3</w:t>
    </w:r>
    <w:r>
      <w:fldChar w:fldCharType="end"/>
    </w:r>
  </w:p>
  <w:p w:rsidR="0078119F" w:rsidRDefault="0078119F" w:rsidP="00DC6C6D">
    <w:pPr>
      <w:pStyle w:val="Footer"/>
      <w:spacing w:before="0" w:after="0" w:line="240" w:lineRule="auto"/>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012" w:rsidRDefault="00D6601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19F" w:rsidRDefault="00F572EC">
    <w:pPr>
      <w:pStyle w:val="Footer"/>
      <w:framePr w:wrap="around" w:vAnchor="text" w:hAnchor="margin" w:xAlign="right" w:y="1"/>
      <w:rPr>
        <w:rStyle w:val="PageNumber"/>
      </w:rPr>
    </w:pPr>
    <w:r>
      <w:rPr>
        <w:rStyle w:val="PageNumber"/>
      </w:rPr>
      <w:fldChar w:fldCharType="begin"/>
    </w:r>
    <w:r w:rsidR="0078119F">
      <w:rPr>
        <w:rStyle w:val="PageNumber"/>
      </w:rPr>
      <w:instrText xml:space="preserve">PAGE  </w:instrText>
    </w:r>
    <w:r>
      <w:rPr>
        <w:rStyle w:val="PageNumber"/>
      </w:rPr>
      <w:fldChar w:fldCharType="end"/>
    </w:r>
  </w:p>
  <w:p w:rsidR="0078119F" w:rsidRDefault="0078119F">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19F" w:rsidRDefault="0078119F">
    <w:pPr>
      <w:pStyle w:val="Footer"/>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19F" w:rsidRDefault="007811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2F07" w:rsidRDefault="007B2F07">
      <w:r>
        <w:separator/>
      </w:r>
    </w:p>
  </w:footnote>
  <w:footnote w:type="continuationSeparator" w:id="0">
    <w:p w:rsidR="007B2F07" w:rsidRDefault="007B2F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012" w:rsidRDefault="00D6601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012" w:rsidRDefault="00D6601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012" w:rsidRDefault="00D66012">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19F" w:rsidRDefault="0078119F">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19F" w:rsidRDefault="0078119F">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19F" w:rsidRDefault="0078119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40FEC6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2">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6">
    <w:nsid w:val="3B697BA5"/>
    <w:multiLevelType w:val="multilevel"/>
    <w:tmpl w:val="5C1AE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7">
    <w:nsid w:val="48192A7A"/>
    <w:multiLevelType w:val="hybridMultilevel"/>
    <w:tmpl w:val="A78E7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5DD3BDA"/>
    <w:multiLevelType w:val="hybridMultilevel"/>
    <w:tmpl w:val="51CC602E"/>
    <w:lvl w:ilvl="0" w:tplc="D36C8A2A">
      <w:start w:val="1"/>
      <w:numFmt w:val="lowerRoman"/>
      <w:lvlText w:val="(%1)"/>
      <w:lvlJc w:val="left"/>
      <w:pPr>
        <w:tabs>
          <w:tab w:val="num" w:pos="1407"/>
        </w:tabs>
        <w:ind w:left="1407" w:hanging="720"/>
      </w:pPr>
      <w:rPr>
        <w:rFonts w:hint="default"/>
      </w:rPr>
    </w:lvl>
    <w:lvl w:ilvl="1" w:tplc="04090019">
      <w:start w:val="6"/>
      <w:numFmt w:val="bullet"/>
      <w:lvlText w:val="-"/>
      <w:lvlJc w:val="left"/>
      <w:pPr>
        <w:tabs>
          <w:tab w:val="num" w:pos="1767"/>
        </w:tabs>
        <w:ind w:left="1767" w:hanging="360"/>
      </w:pPr>
      <w:rPr>
        <w:rFonts w:ascii="Times New Roman" w:eastAsia="Times New Roman" w:hAnsi="Times New Roman" w:cs="Times New Roman" w:hint="default"/>
      </w:rPr>
    </w:lvl>
    <w:lvl w:ilvl="2" w:tplc="0409001B" w:tentative="1">
      <w:start w:val="1"/>
      <w:numFmt w:val="lowerRoman"/>
      <w:lvlText w:val="%3."/>
      <w:lvlJc w:val="right"/>
      <w:pPr>
        <w:tabs>
          <w:tab w:val="num" w:pos="2487"/>
        </w:tabs>
        <w:ind w:left="2487" w:hanging="180"/>
      </w:pPr>
    </w:lvl>
    <w:lvl w:ilvl="3" w:tplc="0409000F" w:tentative="1">
      <w:start w:val="1"/>
      <w:numFmt w:val="decimal"/>
      <w:lvlText w:val="%4."/>
      <w:lvlJc w:val="left"/>
      <w:pPr>
        <w:tabs>
          <w:tab w:val="num" w:pos="3207"/>
        </w:tabs>
        <w:ind w:left="3207" w:hanging="360"/>
      </w:pPr>
    </w:lvl>
    <w:lvl w:ilvl="4" w:tplc="04090019" w:tentative="1">
      <w:start w:val="1"/>
      <w:numFmt w:val="lowerLetter"/>
      <w:lvlText w:val="%5."/>
      <w:lvlJc w:val="left"/>
      <w:pPr>
        <w:tabs>
          <w:tab w:val="num" w:pos="3927"/>
        </w:tabs>
        <w:ind w:left="3927" w:hanging="360"/>
      </w:pPr>
    </w:lvl>
    <w:lvl w:ilvl="5" w:tplc="0409001B" w:tentative="1">
      <w:start w:val="1"/>
      <w:numFmt w:val="lowerRoman"/>
      <w:lvlText w:val="%6."/>
      <w:lvlJc w:val="right"/>
      <w:pPr>
        <w:tabs>
          <w:tab w:val="num" w:pos="4647"/>
        </w:tabs>
        <w:ind w:left="4647" w:hanging="180"/>
      </w:pPr>
    </w:lvl>
    <w:lvl w:ilvl="6" w:tplc="0409000F" w:tentative="1">
      <w:start w:val="1"/>
      <w:numFmt w:val="decimal"/>
      <w:lvlText w:val="%7."/>
      <w:lvlJc w:val="left"/>
      <w:pPr>
        <w:tabs>
          <w:tab w:val="num" w:pos="5367"/>
        </w:tabs>
        <w:ind w:left="5367" w:hanging="360"/>
      </w:pPr>
    </w:lvl>
    <w:lvl w:ilvl="7" w:tplc="04090019" w:tentative="1">
      <w:start w:val="1"/>
      <w:numFmt w:val="lowerLetter"/>
      <w:lvlText w:val="%8."/>
      <w:lvlJc w:val="left"/>
      <w:pPr>
        <w:tabs>
          <w:tab w:val="num" w:pos="6087"/>
        </w:tabs>
        <w:ind w:left="6087" w:hanging="360"/>
      </w:pPr>
    </w:lvl>
    <w:lvl w:ilvl="8" w:tplc="0409001B" w:tentative="1">
      <w:start w:val="1"/>
      <w:numFmt w:val="lowerRoman"/>
      <w:lvlText w:val="%9."/>
      <w:lvlJc w:val="right"/>
      <w:pPr>
        <w:tabs>
          <w:tab w:val="num" w:pos="6807"/>
        </w:tabs>
        <w:ind w:left="6807" w:hanging="180"/>
      </w:pPr>
    </w:lvl>
  </w:abstractNum>
  <w:abstractNum w:abstractNumId="9">
    <w:nsid w:val="5B3E35C0"/>
    <w:multiLevelType w:val="multilevel"/>
    <w:tmpl w:val="A4BE7698"/>
    <w:lvl w:ilvl="0">
      <w:start w:val="1"/>
      <w:numFmt w:val="lowerLetter"/>
      <w:lvlText w:val="(%1)"/>
      <w:lvlJc w:val="left"/>
      <w:pPr>
        <w:tabs>
          <w:tab w:val="num" w:pos="1065"/>
        </w:tabs>
        <w:ind w:left="1065" w:hanging="360"/>
      </w:pPr>
      <w:rPr>
        <w:rFonts w:hint="default"/>
      </w:rPr>
    </w:lvl>
    <w:lvl w:ilvl="1">
      <w:start w:val="1"/>
      <w:numFmt w:val="lowerRoman"/>
      <w:lvlText w:val="%2)"/>
      <w:lvlJc w:val="left"/>
      <w:pPr>
        <w:tabs>
          <w:tab w:val="num" w:pos="1800"/>
        </w:tabs>
        <w:ind w:left="1440" w:hanging="360"/>
      </w:pPr>
      <w:rPr>
        <w:rFonts w:ascii="Calibri" w:hAnsi="Calibri" w:hint="default"/>
        <w:b w:val="0"/>
        <w:i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nsid w:val="5F0B6217"/>
    <w:multiLevelType w:val="hybridMultilevel"/>
    <w:tmpl w:val="B0EE0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BD763F8"/>
    <w:multiLevelType w:val="hybridMultilevel"/>
    <w:tmpl w:val="D9E01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FB67592"/>
    <w:multiLevelType w:val="hybridMultilevel"/>
    <w:tmpl w:val="46546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7B512BD8"/>
    <w:multiLevelType w:val="hybridMultilevel"/>
    <w:tmpl w:val="94589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BF07775"/>
    <w:multiLevelType w:val="hybridMultilevel"/>
    <w:tmpl w:val="11262F60"/>
    <w:lvl w:ilvl="0" w:tplc="0C090001">
      <w:start w:val="1"/>
      <w:numFmt w:val="bullet"/>
      <w:lvlText w:val=""/>
      <w:lvlJc w:val="left"/>
      <w:pPr>
        <w:ind w:left="763" w:hanging="360"/>
      </w:pPr>
      <w:rPr>
        <w:rFonts w:ascii="Symbol" w:hAnsi="Symbol"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15">
    <w:nsid w:val="7DE03E18"/>
    <w:multiLevelType w:val="multilevel"/>
    <w:tmpl w:val="2A4E3AAA"/>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7F4311A0"/>
    <w:multiLevelType w:val="multilevel"/>
    <w:tmpl w:val="B822A23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5"/>
  </w:num>
  <w:num w:numId="3">
    <w:abstractNumId w:val="1"/>
  </w:num>
  <w:num w:numId="4">
    <w:abstractNumId w:val="15"/>
  </w:num>
  <w:num w:numId="5">
    <w:abstractNumId w:val="9"/>
  </w:num>
  <w:num w:numId="6">
    <w:abstractNumId w:val="12"/>
  </w:num>
  <w:num w:numId="7">
    <w:abstractNumId w:val="6"/>
  </w:num>
  <w:num w:numId="8">
    <w:abstractNumId w:val="13"/>
  </w:num>
  <w:num w:numId="9">
    <w:abstractNumId w:val="15"/>
  </w:num>
  <w:num w:numId="10">
    <w:abstractNumId w:val="15"/>
  </w:num>
  <w:num w:numId="11">
    <w:abstractNumId w:val="14"/>
  </w:num>
  <w:num w:numId="12">
    <w:abstractNumId w:val="10"/>
  </w:num>
  <w:num w:numId="13">
    <w:abstractNumId w:val="11"/>
  </w:num>
  <w:num w:numId="14">
    <w:abstractNumId w:val="7"/>
  </w:num>
  <w:num w:numId="15">
    <w:abstractNumId w:val="16"/>
  </w:num>
  <w:num w:numId="16">
    <w:abstractNumId w:val="8"/>
  </w:num>
  <w:num w:numId="17">
    <w:abstractNumId w:val="3"/>
  </w:num>
  <w:num w:numId="18">
    <w:abstractNumId w:val="4"/>
  </w:num>
  <w:num w:numId="19">
    <w:abstractNumId w:val="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11265"/>
  </w:hdrShapeDefaults>
  <w:footnotePr>
    <w:footnote w:id="-1"/>
    <w:footnote w:id="0"/>
  </w:footnotePr>
  <w:endnotePr>
    <w:endnote w:id="-1"/>
    <w:endnote w:id="0"/>
  </w:endnotePr>
  <w:compat/>
  <w:rsids>
    <w:rsidRoot w:val="00CA682D"/>
    <w:rsid w:val="00007899"/>
    <w:rsid w:val="000235E0"/>
    <w:rsid w:val="00031CFC"/>
    <w:rsid w:val="0005314A"/>
    <w:rsid w:val="00056206"/>
    <w:rsid w:val="00056F1E"/>
    <w:rsid w:val="000656D9"/>
    <w:rsid w:val="000739D1"/>
    <w:rsid w:val="00073FA6"/>
    <w:rsid w:val="00090A4E"/>
    <w:rsid w:val="000945B5"/>
    <w:rsid w:val="000C0FBA"/>
    <w:rsid w:val="000D063D"/>
    <w:rsid w:val="000D2E7C"/>
    <w:rsid w:val="000E19B1"/>
    <w:rsid w:val="000F5D3A"/>
    <w:rsid w:val="000F74E9"/>
    <w:rsid w:val="00104D2C"/>
    <w:rsid w:val="0010519E"/>
    <w:rsid w:val="0010590D"/>
    <w:rsid w:val="00107976"/>
    <w:rsid w:val="0011446D"/>
    <w:rsid w:val="0012152F"/>
    <w:rsid w:val="00134E9D"/>
    <w:rsid w:val="0013640A"/>
    <w:rsid w:val="0015430B"/>
    <w:rsid w:val="0016506F"/>
    <w:rsid w:val="001B4DE2"/>
    <w:rsid w:val="001D03AE"/>
    <w:rsid w:val="001D1882"/>
    <w:rsid w:val="0021099D"/>
    <w:rsid w:val="00220C1E"/>
    <w:rsid w:val="0024270A"/>
    <w:rsid w:val="00260189"/>
    <w:rsid w:val="002740B6"/>
    <w:rsid w:val="002A134C"/>
    <w:rsid w:val="002A4ADA"/>
    <w:rsid w:val="002B391E"/>
    <w:rsid w:val="002C0635"/>
    <w:rsid w:val="002C2521"/>
    <w:rsid w:val="002C2963"/>
    <w:rsid w:val="002C3B13"/>
    <w:rsid w:val="002C5A60"/>
    <w:rsid w:val="002D40AF"/>
    <w:rsid w:val="002E23E7"/>
    <w:rsid w:val="003019CD"/>
    <w:rsid w:val="003114FB"/>
    <w:rsid w:val="0033335A"/>
    <w:rsid w:val="00347A7E"/>
    <w:rsid w:val="0036438B"/>
    <w:rsid w:val="003661F9"/>
    <w:rsid w:val="003715E6"/>
    <w:rsid w:val="00372DD3"/>
    <w:rsid w:val="00381CF4"/>
    <w:rsid w:val="00383A02"/>
    <w:rsid w:val="003B0300"/>
    <w:rsid w:val="003B1A08"/>
    <w:rsid w:val="003D2D25"/>
    <w:rsid w:val="003D4E8A"/>
    <w:rsid w:val="003D59CB"/>
    <w:rsid w:val="003F5154"/>
    <w:rsid w:val="003F6933"/>
    <w:rsid w:val="003F7A76"/>
    <w:rsid w:val="004004FA"/>
    <w:rsid w:val="00437715"/>
    <w:rsid w:val="004455DD"/>
    <w:rsid w:val="00470F0C"/>
    <w:rsid w:val="004A2467"/>
    <w:rsid w:val="004B66BB"/>
    <w:rsid w:val="004B688C"/>
    <w:rsid w:val="004B71C5"/>
    <w:rsid w:val="004C2A9A"/>
    <w:rsid w:val="004C42DA"/>
    <w:rsid w:val="004C4847"/>
    <w:rsid w:val="004C6DE2"/>
    <w:rsid w:val="004D35A7"/>
    <w:rsid w:val="004D44E5"/>
    <w:rsid w:val="004F77CB"/>
    <w:rsid w:val="00510BDD"/>
    <w:rsid w:val="00513C42"/>
    <w:rsid w:val="005152BC"/>
    <w:rsid w:val="00516063"/>
    <w:rsid w:val="005210C7"/>
    <w:rsid w:val="00521DCD"/>
    <w:rsid w:val="00531C63"/>
    <w:rsid w:val="00557E3B"/>
    <w:rsid w:val="005708C7"/>
    <w:rsid w:val="0059383C"/>
    <w:rsid w:val="005B596D"/>
    <w:rsid w:val="005D23A4"/>
    <w:rsid w:val="005E66E2"/>
    <w:rsid w:val="005E7A3E"/>
    <w:rsid w:val="005F35AD"/>
    <w:rsid w:val="00604F0B"/>
    <w:rsid w:val="0061777D"/>
    <w:rsid w:val="00621F10"/>
    <w:rsid w:val="00647F0A"/>
    <w:rsid w:val="00667D31"/>
    <w:rsid w:val="00674580"/>
    <w:rsid w:val="00674BD0"/>
    <w:rsid w:val="00675113"/>
    <w:rsid w:val="00677B60"/>
    <w:rsid w:val="0069220A"/>
    <w:rsid w:val="00697229"/>
    <w:rsid w:val="006A5149"/>
    <w:rsid w:val="006B1541"/>
    <w:rsid w:val="006B231A"/>
    <w:rsid w:val="006B2E82"/>
    <w:rsid w:val="006C7757"/>
    <w:rsid w:val="006D6312"/>
    <w:rsid w:val="006E1141"/>
    <w:rsid w:val="006E53A9"/>
    <w:rsid w:val="006E6165"/>
    <w:rsid w:val="006F1565"/>
    <w:rsid w:val="00714C87"/>
    <w:rsid w:val="00730C82"/>
    <w:rsid w:val="00732D04"/>
    <w:rsid w:val="007534BC"/>
    <w:rsid w:val="007612FA"/>
    <w:rsid w:val="00774F91"/>
    <w:rsid w:val="0078119F"/>
    <w:rsid w:val="007A0CEA"/>
    <w:rsid w:val="007B2F07"/>
    <w:rsid w:val="007B3033"/>
    <w:rsid w:val="007B444B"/>
    <w:rsid w:val="007B5A4D"/>
    <w:rsid w:val="007B7D04"/>
    <w:rsid w:val="007E11E5"/>
    <w:rsid w:val="007E6AB7"/>
    <w:rsid w:val="00802958"/>
    <w:rsid w:val="00802ACA"/>
    <w:rsid w:val="0080694B"/>
    <w:rsid w:val="0081580E"/>
    <w:rsid w:val="00816BA9"/>
    <w:rsid w:val="008236B1"/>
    <w:rsid w:val="00842AA2"/>
    <w:rsid w:val="00865598"/>
    <w:rsid w:val="00867A92"/>
    <w:rsid w:val="00870068"/>
    <w:rsid w:val="00877EB0"/>
    <w:rsid w:val="00882C73"/>
    <w:rsid w:val="00883CEC"/>
    <w:rsid w:val="0089656C"/>
    <w:rsid w:val="008B6DDC"/>
    <w:rsid w:val="008C43AB"/>
    <w:rsid w:val="008C5BE2"/>
    <w:rsid w:val="008D0A3D"/>
    <w:rsid w:val="008D5909"/>
    <w:rsid w:val="009031DC"/>
    <w:rsid w:val="0091032A"/>
    <w:rsid w:val="009118FF"/>
    <w:rsid w:val="0092035A"/>
    <w:rsid w:val="00926988"/>
    <w:rsid w:val="00935862"/>
    <w:rsid w:val="009468BC"/>
    <w:rsid w:val="00946CD2"/>
    <w:rsid w:val="00960FDB"/>
    <w:rsid w:val="00964233"/>
    <w:rsid w:val="009859F7"/>
    <w:rsid w:val="00992018"/>
    <w:rsid w:val="009A108C"/>
    <w:rsid w:val="009D1A1F"/>
    <w:rsid w:val="009E34DA"/>
    <w:rsid w:val="009E4C67"/>
    <w:rsid w:val="009E735F"/>
    <w:rsid w:val="00A403CA"/>
    <w:rsid w:val="00A7057A"/>
    <w:rsid w:val="00A72561"/>
    <w:rsid w:val="00A760A2"/>
    <w:rsid w:val="00AC1C71"/>
    <w:rsid w:val="00AC729A"/>
    <w:rsid w:val="00AD5324"/>
    <w:rsid w:val="00AE2CF2"/>
    <w:rsid w:val="00AE689E"/>
    <w:rsid w:val="00AE77C3"/>
    <w:rsid w:val="00B40DE4"/>
    <w:rsid w:val="00B41011"/>
    <w:rsid w:val="00B42918"/>
    <w:rsid w:val="00B543C2"/>
    <w:rsid w:val="00B602B7"/>
    <w:rsid w:val="00B61E76"/>
    <w:rsid w:val="00B634A3"/>
    <w:rsid w:val="00B7359A"/>
    <w:rsid w:val="00B76438"/>
    <w:rsid w:val="00B94E3B"/>
    <w:rsid w:val="00B960E0"/>
    <w:rsid w:val="00B96194"/>
    <w:rsid w:val="00B97BF2"/>
    <w:rsid w:val="00BB3562"/>
    <w:rsid w:val="00BB7044"/>
    <w:rsid w:val="00BC2ABD"/>
    <w:rsid w:val="00BE3052"/>
    <w:rsid w:val="00BE4B52"/>
    <w:rsid w:val="00C03DBD"/>
    <w:rsid w:val="00C05120"/>
    <w:rsid w:val="00C10C16"/>
    <w:rsid w:val="00C22742"/>
    <w:rsid w:val="00C23982"/>
    <w:rsid w:val="00C2538E"/>
    <w:rsid w:val="00C5322A"/>
    <w:rsid w:val="00C561B4"/>
    <w:rsid w:val="00C616D7"/>
    <w:rsid w:val="00C76A53"/>
    <w:rsid w:val="00C810A6"/>
    <w:rsid w:val="00C90DE3"/>
    <w:rsid w:val="00C91627"/>
    <w:rsid w:val="00C95977"/>
    <w:rsid w:val="00CA01A6"/>
    <w:rsid w:val="00CA0D6A"/>
    <w:rsid w:val="00CA682D"/>
    <w:rsid w:val="00CB1C7E"/>
    <w:rsid w:val="00CB7D64"/>
    <w:rsid w:val="00CB7ED3"/>
    <w:rsid w:val="00CC57FE"/>
    <w:rsid w:val="00CF2E46"/>
    <w:rsid w:val="00D003B9"/>
    <w:rsid w:val="00D04F1B"/>
    <w:rsid w:val="00D24A6F"/>
    <w:rsid w:val="00D364F2"/>
    <w:rsid w:val="00D452F4"/>
    <w:rsid w:val="00D5308B"/>
    <w:rsid w:val="00D6128B"/>
    <w:rsid w:val="00D6184E"/>
    <w:rsid w:val="00D66012"/>
    <w:rsid w:val="00D833FF"/>
    <w:rsid w:val="00DC011D"/>
    <w:rsid w:val="00DC337A"/>
    <w:rsid w:val="00DC35CF"/>
    <w:rsid w:val="00DC5108"/>
    <w:rsid w:val="00DC6C6D"/>
    <w:rsid w:val="00DD73BE"/>
    <w:rsid w:val="00DE6EB1"/>
    <w:rsid w:val="00DF0D48"/>
    <w:rsid w:val="00DF10B8"/>
    <w:rsid w:val="00DF140E"/>
    <w:rsid w:val="00DF3859"/>
    <w:rsid w:val="00E01547"/>
    <w:rsid w:val="00E14F84"/>
    <w:rsid w:val="00E16907"/>
    <w:rsid w:val="00E32058"/>
    <w:rsid w:val="00E33098"/>
    <w:rsid w:val="00E356CE"/>
    <w:rsid w:val="00E35B41"/>
    <w:rsid w:val="00E43087"/>
    <w:rsid w:val="00E546CC"/>
    <w:rsid w:val="00E61D6D"/>
    <w:rsid w:val="00E846BF"/>
    <w:rsid w:val="00EA1A9E"/>
    <w:rsid w:val="00EE2454"/>
    <w:rsid w:val="00EF040C"/>
    <w:rsid w:val="00F215BD"/>
    <w:rsid w:val="00F23FF5"/>
    <w:rsid w:val="00F35025"/>
    <w:rsid w:val="00F412B1"/>
    <w:rsid w:val="00F54DBA"/>
    <w:rsid w:val="00F55699"/>
    <w:rsid w:val="00F572EC"/>
    <w:rsid w:val="00F64856"/>
    <w:rsid w:val="00F67DFE"/>
    <w:rsid w:val="00F74FF0"/>
    <w:rsid w:val="00F84806"/>
    <w:rsid w:val="00F875AC"/>
    <w:rsid w:val="00FA3A75"/>
    <w:rsid w:val="00FB4530"/>
    <w:rsid w:val="00FB7E3C"/>
    <w:rsid w:val="00FC1A46"/>
    <w:rsid w:val="00FC1AD2"/>
    <w:rsid w:val="00FC5C65"/>
    <w:rsid w:val="00FE11B6"/>
    <w:rsid w:val="00FE674B"/>
    <w:rsid w:val="00FF0669"/>
    <w:rsid w:val="00FF346F"/>
    <w:rsid w:val="00FF40D4"/>
  </w:rsids>
  <m:mathPr>
    <m:mathFont m:val="Cambria Math"/>
    <m:brkBin m:val="before"/>
    <m:brkBinSub m:val="--"/>
    <m:smallFrac m:val="off"/>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semiHidden="1" w:uiPriority="7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10C7"/>
    <w:rPr>
      <w:rFonts w:ascii="Calibri" w:hAnsi="Calibri"/>
      <w:sz w:val="24"/>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3B1A08"/>
    <w:pPr>
      <w:keepNext/>
      <w:widowControl w:val="0"/>
      <w:jc w:val="center"/>
      <w:outlineLvl w:val="1"/>
    </w:pPr>
    <w:rPr>
      <w:b/>
      <w:iCs/>
      <w:szCs w:val="16"/>
    </w:rPr>
  </w:style>
  <w:style w:type="paragraph" w:styleId="Heading3">
    <w:name w:val="heading 3"/>
    <w:basedOn w:val="Normal"/>
    <w:next w:val="Normal"/>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7"/>
      </w:numPr>
      <w:spacing w:before="80" w:after="60"/>
      <w:jc w:val="both"/>
      <w:outlineLvl w:val="6"/>
    </w:pPr>
  </w:style>
  <w:style w:type="paragraph" w:customStyle="1" w:styleId="Asubpara">
    <w:name w:val="A subpara"/>
    <w:basedOn w:val="Normal"/>
    <w:rsid w:val="002740B6"/>
    <w:pPr>
      <w:numPr>
        <w:ilvl w:val="7"/>
        <w:numId w:val="7"/>
      </w:numPr>
      <w:spacing w:before="80" w:after="60"/>
      <w:jc w:val="both"/>
      <w:outlineLvl w:val="7"/>
    </w:pPr>
  </w:style>
  <w:style w:type="paragraph" w:customStyle="1" w:styleId="Asubsubpara">
    <w:name w:val="A subsubpara"/>
    <w:basedOn w:val="Normal"/>
    <w:rsid w:val="002740B6"/>
    <w:pPr>
      <w:numPr>
        <w:ilvl w:val="8"/>
        <w:numId w:val="7"/>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uiPriority w:val="99"/>
    <w:semiHidden/>
    <w:rsid w:val="002740B6"/>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2740B6"/>
    <w:pPr>
      <w:spacing w:before="80" w:after="60"/>
      <w:jc w:val="both"/>
    </w:pPr>
    <w:rPr>
      <w:szCs w:val="24"/>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BB7044"/>
    <w:rPr>
      <w:rFonts w:ascii="Calibri" w:hAnsi="Calibri" w:cs="Arial"/>
      <w:b/>
      <w:iCs/>
      <w:sz w:val="24"/>
      <w:szCs w:val="16"/>
      <w:lang w:eastAsia="en-US"/>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rsid w:val="009E4C67"/>
    <w:rPr>
      <w:sz w:val="18"/>
      <w:szCs w:val="18"/>
    </w:rPr>
  </w:style>
  <w:style w:type="paragraph" w:styleId="CommentText">
    <w:name w:val="annotation text"/>
    <w:basedOn w:val="Normal"/>
    <w:link w:val="CommentTextChar"/>
    <w:rsid w:val="009E4C67"/>
    <w:rPr>
      <w:szCs w:val="24"/>
    </w:rPr>
  </w:style>
  <w:style w:type="character" w:customStyle="1" w:styleId="CommentTextChar">
    <w:name w:val="Comment Text Char"/>
    <w:link w:val="CommentText"/>
    <w:rsid w:val="009E4C67"/>
    <w:rPr>
      <w:rFonts w:ascii="Calibri" w:hAnsi="Calibri"/>
      <w:sz w:val="24"/>
      <w:szCs w:val="24"/>
      <w:lang w:eastAsia="en-US"/>
    </w:rPr>
  </w:style>
  <w:style w:type="paragraph" w:customStyle="1" w:styleId="ColorfulShading-Accent31">
    <w:name w:val="Colorful Shading - Accent 31"/>
    <w:basedOn w:val="Normal"/>
    <w:uiPriority w:val="34"/>
    <w:qFormat/>
    <w:rsid w:val="00DC6C6D"/>
    <w:pPr>
      <w:ind w:left="720"/>
      <w:contextualSpacing/>
    </w:pPr>
  </w:style>
  <w:style w:type="paragraph" w:styleId="BodyText2">
    <w:name w:val="Body Text 2"/>
    <w:basedOn w:val="Normal"/>
    <w:link w:val="BodyText2Char"/>
    <w:rsid w:val="00DC6C6D"/>
    <w:pPr>
      <w:spacing w:after="120" w:line="480" w:lineRule="auto"/>
    </w:pPr>
  </w:style>
  <w:style w:type="character" w:customStyle="1" w:styleId="BodyText2Char">
    <w:name w:val="Body Text 2 Char"/>
    <w:basedOn w:val="DefaultParagraphFont"/>
    <w:link w:val="BodyText2"/>
    <w:rsid w:val="00DC6C6D"/>
    <w:rPr>
      <w:rFonts w:ascii="Calibri" w:hAnsi="Calibri"/>
      <w:sz w:val="24"/>
      <w:lang w:eastAsia="en-US"/>
    </w:rPr>
  </w:style>
  <w:style w:type="paragraph" w:customStyle="1" w:styleId="Title20Left">
    <w:name w:val="Title 20 Left"/>
    <w:basedOn w:val="Title"/>
    <w:qFormat/>
    <w:rsid w:val="00DC6C6D"/>
    <w:pPr>
      <w:pBdr>
        <w:top w:val="none" w:sz="0" w:space="0" w:color="auto"/>
        <w:bottom w:val="none" w:sz="0" w:space="0" w:color="auto"/>
      </w:pBdr>
      <w:spacing w:after="60"/>
      <w:outlineLvl w:val="0"/>
    </w:pPr>
    <w:rPr>
      <w:rFonts w:ascii="Calibri" w:hAnsi="Calibri"/>
      <w:bCs/>
      <w:szCs w:val="32"/>
    </w:rPr>
  </w:style>
  <w:style w:type="character" w:customStyle="1" w:styleId="FootnoteTextChar">
    <w:name w:val="Footnote Text Char"/>
    <w:link w:val="FootnoteText"/>
    <w:uiPriority w:val="99"/>
    <w:semiHidden/>
    <w:rsid w:val="00DC6C6D"/>
    <w:rPr>
      <w:rFonts w:ascii="Calibri" w:hAnsi="Calibri"/>
      <w:sz w:val="24"/>
      <w:szCs w:val="24"/>
      <w:lang w:eastAsia="en-US"/>
    </w:rPr>
  </w:style>
  <w:style w:type="paragraph" w:styleId="ListParagraph">
    <w:name w:val="List Paragraph"/>
    <w:basedOn w:val="Normal"/>
    <w:uiPriority w:val="34"/>
    <w:qFormat/>
    <w:rsid w:val="00D364F2"/>
    <w:pPr>
      <w:spacing w:after="200" w:line="276" w:lineRule="auto"/>
      <w:ind w:left="720"/>
      <w:contextualSpacing/>
    </w:pPr>
    <w:rPr>
      <w:rFonts w:eastAsia="Calibri"/>
      <w:sz w:val="22"/>
      <w:szCs w:val="22"/>
    </w:rPr>
  </w:style>
  <w:style w:type="paragraph" w:styleId="CommentSubject">
    <w:name w:val="annotation subject"/>
    <w:basedOn w:val="CommentText"/>
    <w:next w:val="CommentText"/>
    <w:link w:val="CommentSubjectChar"/>
    <w:rsid w:val="00AD5324"/>
    <w:rPr>
      <w:b/>
      <w:bCs/>
      <w:sz w:val="20"/>
      <w:szCs w:val="20"/>
    </w:rPr>
  </w:style>
  <w:style w:type="character" w:customStyle="1" w:styleId="CommentSubjectChar">
    <w:name w:val="Comment Subject Char"/>
    <w:basedOn w:val="CommentTextChar"/>
    <w:link w:val="CommentSubject"/>
    <w:rsid w:val="00AD5324"/>
    <w:rPr>
      <w:rFonts w:ascii="Calibri" w:hAnsi="Calibri"/>
      <w:b/>
      <w:bCs/>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te Level 2"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semiHidden="1" w:uiPriority="7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10C7"/>
    <w:rPr>
      <w:rFonts w:ascii="Calibri" w:hAnsi="Calibri"/>
      <w:sz w:val="24"/>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3B1A08"/>
    <w:pPr>
      <w:keepNext/>
      <w:widowControl w:val="0"/>
      <w:jc w:val="center"/>
      <w:outlineLvl w:val="1"/>
    </w:pPr>
    <w:rPr>
      <w:b/>
      <w:iCs/>
      <w:szCs w:val="16"/>
      <w:lang w:val="x-none"/>
    </w:rPr>
  </w:style>
  <w:style w:type="paragraph" w:styleId="Heading3">
    <w:name w:val="heading 3"/>
    <w:basedOn w:val="Normal"/>
    <w:next w:val="Normal"/>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lang w:val="x-none"/>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7"/>
      </w:numPr>
      <w:spacing w:before="80" w:after="60"/>
      <w:jc w:val="both"/>
      <w:outlineLvl w:val="6"/>
    </w:pPr>
  </w:style>
  <w:style w:type="paragraph" w:customStyle="1" w:styleId="Asubpara">
    <w:name w:val="A subpara"/>
    <w:basedOn w:val="Normal"/>
    <w:rsid w:val="002740B6"/>
    <w:pPr>
      <w:numPr>
        <w:ilvl w:val="7"/>
        <w:numId w:val="7"/>
      </w:numPr>
      <w:spacing w:before="80" w:after="60"/>
      <w:jc w:val="both"/>
      <w:outlineLvl w:val="7"/>
    </w:pPr>
  </w:style>
  <w:style w:type="paragraph" w:customStyle="1" w:styleId="Asubsubpara">
    <w:name w:val="A subsubpara"/>
    <w:basedOn w:val="Normal"/>
    <w:rsid w:val="002740B6"/>
    <w:pPr>
      <w:numPr>
        <w:ilvl w:val="8"/>
        <w:numId w:val="7"/>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rPr>
      <w:lang w:val="x-none"/>
    </w:r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rPr>
      <w:lang w:val="x-none"/>
    </w:r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uiPriority w:val="99"/>
    <w:semiHidden/>
    <w:rsid w:val="002740B6"/>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2740B6"/>
    <w:pPr>
      <w:spacing w:before="80" w:after="60"/>
      <w:jc w:val="both"/>
    </w:pPr>
    <w:rPr>
      <w:szCs w:val="24"/>
      <w:lang w:val="x-none"/>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DF0D48"/>
    <w:rPr>
      <w:rFonts w:ascii="Calibri" w:hAnsi="Calibri"/>
      <w:sz w:val="24"/>
      <w:lang w:eastAsia="en-US"/>
    </w:rPr>
  </w:style>
  <w:style w:type="paragraph" w:styleId="ColorfulList-Accent1">
    <w:name w:val="Colorful List Accent 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lang w:val="x-none"/>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lang w:val="x-none"/>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rPr>
      <w:lang w:val="x-none"/>
    </w:r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BB7044"/>
    <w:rPr>
      <w:rFonts w:ascii="Calibri" w:hAnsi="Calibri" w:cs="Arial"/>
      <w:b/>
      <w:iCs/>
      <w:sz w:val="24"/>
      <w:szCs w:val="16"/>
      <w:lang w:eastAsia="en-US"/>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lang w:val="x-none"/>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rsid w:val="009E4C67"/>
    <w:rPr>
      <w:sz w:val="18"/>
      <w:szCs w:val="18"/>
    </w:rPr>
  </w:style>
  <w:style w:type="paragraph" w:styleId="CommentText">
    <w:name w:val="annotation text"/>
    <w:basedOn w:val="Normal"/>
    <w:link w:val="CommentTextChar"/>
    <w:rsid w:val="009E4C67"/>
    <w:rPr>
      <w:szCs w:val="24"/>
      <w:lang w:val="x-none"/>
    </w:rPr>
  </w:style>
  <w:style w:type="character" w:customStyle="1" w:styleId="CommentTextChar">
    <w:name w:val="Comment Text Char"/>
    <w:link w:val="CommentText"/>
    <w:rsid w:val="009E4C67"/>
    <w:rPr>
      <w:rFonts w:ascii="Calibri" w:hAnsi="Calibri"/>
      <w:sz w:val="24"/>
      <w:szCs w:val="24"/>
      <w:lang w:eastAsia="en-US"/>
    </w:rPr>
  </w:style>
  <w:style w:type="paragraph" w:customStyle="1" w:styleId="ColorfulShading-Accent31">
    <w:name w:val="Colorful Shading - Accent 31"/>
    <w:basedOn w:val="Normal"/>
    <w:uiPriority w:val="34"/>
    <w:qFormat/>
    <w:rsid w:val="00DC6C6D"/>
    <w:pPr>
      <w:ind w:left="720"/>
      <w:contextualSpacing/>
    </w:pPr>
  </w:style>
  <w:style w:type="paragraph" w:styleId="BodyText2">
    <w:name w:val="Body Text 2"/>
    <w:basedOn w:val="Normal"/>
    <w:link w:val="BodyText2Char"/>
    <w:rsid w:val="00DC6C6D"/>
    <w:pPr>
      <w:spacing w:after="120" w:line="480" w:lineRule="auto"/>
    </w:pPr>
  </w:style>
  <w:style w:type="character" w:customStyle="1" w:styleId="BodyText2Char">
    <w:name w:val="Body Text 2 Char"/>
    <w:basedOn w:val="DefaultParagraphFont"/>
    <w:link w:val="BodyText2"/>
    <w:rsid w:val="00DC6C6D"/>
    <w:rPr>
      <w:rFonts w:ascii="Calibri" w:hAnsi="Calibri"/>
      <w:sz w:val="24"/>
      <w:lang w:eastAsia="en-US"/>
    </w:rPr>
  </w:style>
  <w:style w:type="paragraph" w:customStyle="1" w:styleId="Title20Left">
    <w:name w:val="Title 20 Left"/>
    <w:basedOn w:val="Title"/>
    <w:qFormat/>
    <w:rsid w:val="00DC6C6D"/>
    <w:pPr>
      <w:pBdr>
        <w:top w:val="none" w:sz="0" w:space="0" w:color="auto"/>
        <w:bottom w:val="none" w:sz="0" w:space="0" w:color="auto"/>
      </w:pBdr>
      <w:spacing w:after="60"/>
      <w:outlineLvl w:val="0"/>
    </w:pPr>
    <w:rPr>
      <w:rFonts w:ascii="Calibri" w:hAnsi="Calibri"/>
      <w:bCs/>
      <w:szCs w:val="32"/>
    </w:rPr>
  </w:style>
  <w:style w:type="character" w:customStyle="1" w:styleId="FootnoteTextChar">
    <w:name w:val="Footnote Text Char"/>
    <w:link w:val="FootnoteText"/>
    <w:uiPriority w:val="99"/>
    <w:semiHidden/>
    <w:rsid w:val="00DC6C6D"/>
    <w:rPr>
      <w:rFonts w:ascii="Calibri" w:hAnsi="Calibri"/>
      <w:sz w:val="24"/>
      <w:szCs w:val="24"/>
      <w:lang w:eastAsia="en-US"/>
    </w:rPr>
  </w:style>
  <w:style w:type="paragraph" w:styleId="ListParagraph">
    <w:name w:val="List Paragraph"/>
    <w:basedOn w:val="Normal"/>
    <w:uiPriority w:val="34"/>
    <w:qFormat/>
    <w:rsid w:val="00D364F2"/>
    <w:pPr>
      <w:spacing w:after="200" w:line="276" w:lineRule="auto"/>
      <w:ind w:left="720"/>
      <w:contextualSpacing/>
    </w:pPr>
    <w:rPr>
      <w:rFonts w:eastAsia="Calibri"/>
      <w:sz w:val="22"/>
      <w:szCs w:val="22"/>
    </w:rPr>
  </w:style>
  <w:style w:type="paragraph" w:styleId="CommentSubject">
    <w:name w:val="annotation subject"/>
    <w:basedOn w:val="CommentText"/>
    <w:next w:val="CommentText"/>
    <w:link w:val="CommentSubjectChar"/>
    <w:rsid w:val="00AD5324"/>
    <w:rPr>
      <w:b/>
      <w:bCs/>
      <w:sz w:val="20"/>
      <w:szCs w:val="20"/>
      <w:lang w:val="en-AU"/>
    </w:rPr>
  </w:style>
  <w:style w:type="character" w:customStyle="1" w:styleId="CommentSubjectChar">
    <w:name w:val="Comment Subject Char"/>
    <w:basedOn w:val="CommentTextChar"/>
    <w:link w:val="CommentSubject"/>
    <w:rsid w:val="00AD5324"/>
    <w:rPr>
      <w:rFonts w:ascii="Calibri" w:hAnsi="Calibri"/>
      <w:b/>
      <w:bCs/>
      <w:sz w:val="24"/>
      <w:szCs w:val="24"/>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microsoft.com/office/2007/relationships/stylesWithEffects" Target="stylesWithEffects.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9C536-231B-4404-B645-5BF9174FE5F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7016481-5693-4B55-9494-092043ECD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2946</Words>
  <Characters>16057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Dtermination 1 of 2013 - Members of the ACT Legislative Assembly</vt:lpstr>
    </vt:vector>
  </TitlesOfParts>
  <Company>InTACT</Company>
  <LinksUpToDate>false</LinksUpToDate>
  <CharactersWithSpaces>18966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Dtermination 1 of 2013 - Members of the ACT Legislative Assembly</dc:title>
  <dc:subject>Remuneration</dc:subject>
  <dc:creator>Secretary, ACT Remuneration Tribunal</dc:creator>
  <cp:lastModifiedBy>Lowri Grice</cp:lastModifiedBy>
  <cp:revision>7</cp:revision>
  <cp:lastPrinted>2016-03-29T05:18:00Z</cp:lastPrinted>
  <dcterms:created xsi:type="dcterms:W3CDTF">2016-04-11T00:02:00Z</dcterms:created>
  <dcterms:modified xsi:type="dcterms:W3CDTF">2016-04-12T22:31:00Z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Dtermination outlining the remuneration to Members of the ACT Legislative Assembly  </vt:lpwstr>
  </property>
  <property fmtid="{D5CDD505-2E9C-101B-9397-08002B2CF9AE}" pid="5" name="docIndexRef">
    <vt:lpwstr>9484cff3-27d9-4bc7-945b-d0aa7cfc2a7e</vt:lpwstr>
  </property>
  <property fmtid="{D5CDD505-2E9C-101B-9397-08002B2CF9AE}" pid="6" name="bjSaver">
    <vt:lpwstr>Dl6ApRSHYVgxX8T8bEan8VIA9SRCGo1U</vt:lpwstr>
  </property>
  <property fmtid="{D5CDD505-2E9C-101B-9397-08002B2CF9AE}" pid="7"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8" name="bjDocumentLabelXML-0">
    <vt:lpwstr>nternal/label"&gt;&lt;element uid="a68a5297-83bb-4ba8-a7cd-4b62d6981a77" value="" /&gt;&lt;/sisl&gt;</vt:lpwstr>
  </property>
  <property fmtid="{D5CDD505-2E9C-101B-9397-08002B2CF9AE}" pid="9" name="bjDocumentSecurityLabel">
    <vt:lpwstr>UNCLASSIFIED - NO MARKING</vt:lpwstr>
  </property>
  <property fmtid="{D5CDD505-2E9C-101B-9397-08002B2CF9AE}" pid="10" name="bjDocumentLabelFieldCode">
    <vt:lpwstr>UNCLASSIFIED - NO MARKING</vt:lpwstr>
  </property>
  <property fmtid="{D5CDD505-2E9C-101B-9397-08002B2CF9AE}" pid="11" name="bjDocumentLabelFieldCodeHeaderFooter">
    <vt:lpwstr>UNCLASSIFIED - NO MARKING</vt:lpwstr>
  </property>
</Properties>
</file>