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18CC74B7" w:rsidR="009E4C67" w:rsidRPr="00D61781" w:rsidRDefault="009E4C67" w:rsidP="009E4C67">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FC4D82" w:rsidRPr="00FC4D82">
        <w:t>4</w:t>
      </w:r>
      <w:r w:rsidR="00E012BE" w:rsidRPr="00FC4D82">
        <w:t xml:space="preserve"> </w:t>
      </w:r>
      <w:r w:rsidR="00DC6C6D" w:rsidRPr="00FC4D82">
        <w:t xml:space="preserve">of </w:t>
      </w:r>
      <w:r w:rsidR="00E012BE" w:rsidRPr="00FC4D82">
        <w:t>20</w:t>
      </w:r>
      <w:r w:rsidR="00A04923" w:rsidRPr="00FC4D82">
        <w:t>20</w:t>
      </w:r>
      <w:r w:rsidR="00913DC0" w:rsidRPr="00FC4D82">
        <w:t xml:space="preserve"> </w:t>
      </w:r>
    </w:p>
    <w:p w14:paraId="2AA71DBC" w14:textId="4B2F5180" w:rsidR="00DC6C6D" w:rsidRPr="002E55A6" w:rsidRDefault="00DC6C6D" w:rsidP="00DC6C6D">
      <w:pPr>
        <w:pStyle w:val="Heading1"/>
        <w:keepLines/>
        <w:pageBreakBefore w:val="0"/>
        <w:pBdr>
          <w:bottom w:val="none" w:sz="0" w:space="0" w:color="auto"/>
        </w:pBdr>
        <w:spacing w:before="240"/>
      </w:pPr>
      <w:r w:rsidRPr="002E55A6">
        <w:t>Full-Time Statutory Office Holder</w:t>
      </w:r>
      <w:r w:rsidR="00AD5E24" w:rsidRPr="002E55A6">
        <w:t>s</w:t>
      </w:r>
    </w:p>
    <w:p w14:paraId="682C81A6" w14:textId="77777777" w:rsidR="00D66012" w:rsidRPr="002E55A6" w:rsidRDefault="00D66012" w:rsidP="00D66012">
      <w:r w:rsidRPr="002E55A6">
        <w:t xml:space="preserve">made under the </w:t>
      </w:r>
    </w:p>
    <w:p w14:paraId="0E769AAB" w14:textId="77777777" w:rsidR="00D66012" w:rsidRPr="002E55A6" w:rsidRDefault="00D66012" w:rsidP="00D66012">
      <w:pPr>
        <w:rPr>
          <w:rFonts w:cs="Arial"/>
          <w:b/>
        </w:rPr>
      </w:pPr>
      <w:r w:rsidRPr="002E55A6">
        <w:rPr>
          <w:rFonts w:cs="Arial"/>
          <w:b/>
        </w:rPr>
        <w:t>Remuneration Tribunal Act 1995, section 10 (Inquiries about holders of certain positions)</w:t>
      </w:r>
    </w:p>
    <w:p w14:paraId="77185208" w14:textId="4FCBB304" w:rsidR="009E4C67" w:rsidRPr="002E55A6" w:rsidRDefault="009E4C67" w:rsidP="009E4C67">
      <w:pPr>
        <w:pStyle w:val="Heading1"/>
        <w:keepLines/>
        <w:pageBreakBefore w:val="0"/>
        <w:pBdr>
          <w:bottom w:val="none" w:sz="0" w:space="0" w:color="auto"/>
        </w:pBdr>
        <w:spacing w:before="240"/>
      </w:pPr>
      <w:r w:rsidRPr="002E55A6">
        <w:t>AC</w:t>
      </w:r>
      <w:r w:rsidR="00FF72C5" w:rsidRPr="002E55A6">
        <w:t>C</w:t>
      </w:r>
      <w:r w:rsidRPr="002E55A6">
        <w:t>OMPANYING STATEMENT</w:t>
      </w:r>
      <w:r w:rsidR="00AB0311" w:rsidRPr="002E55A6">
        <w:t xml:space="preserve">  </w:t>
      </w:r>
    </w:p>
    <w:p w14:paraId="7B0FFAC8" w14:textId="77777777" w:rsidR="009E4C67" w:rsidRPr="002E55A6" w:rsidRDefault="009E4C67" w:rsidP="009E4C67">
      <w:pPr>
        <w:pStyle w:val="N-line3"/>
        <w:pBdr>
          <w:bottom w:val="none" w:sz="0" w:space="0" w:color="auto"/>
        </w:pBdr>
      </w:pPr>
    </w:p>
    <w:p w14:paraId="2F14D0DB" w14:textId="77777777" w:rsidR="009E4C67" w:rsidRPr="002E55A6" w:rsidRDefault="009E4C67" w:rsidP="009E4C67">
      <w:pPr>
        <w:pStyle w:val="N-line3"/>
        <w:pBdr>
          <w:top w:val="single" w:sz="12" w:space="1" w:color="auto"/>
          <w:bottom w:val="none" w:sz="0" w:space="0" w:color="auto"/>
        </w:pBdr>
      </w:pPr>
    </w:p>
    <w:p w14:paraId="4C9D2152" w14:textId="77777777" w:rsidR="009E4C67" w:rsidRPr="002E55A6" w:rsidRDefault="009E4C67" w:rsidP="0078119F">
      <w:pPr>
        <w:pStyle w:val="Heading2"/>
        <w:spacing w:before="120" w:after="60"/>
        <w:jc w:val="left"/>
      </w:pPr>
      <w:r w:rsidRPr="002E55A6">
        <w:t>Background</w:t>
      </w:r>
    </w:p>
    <w:p w14:paraId="12198F24" w14:textId="326C0A49" w:rsidR="00DC6C6D" w:rsidRPr="002E55A6" w:rsidRDefault="00DC6C6D" w:rsidP="001F6DFA">
      <w:pPr>
        <w:spacing w:before="120" w:after="60"/>
      </w:pPr>
      <w:r w:rsidRPr="002E55A6">
        <w:t xml:space="preserve">Under section 10 of the </w:t>
      </w:r>
      <w:r w:rsidRPr="002E55A6">
        <w:rPr>
          <w:i/>
        </w:rPr>
        <w:t>Remuneration Tribunal Act 1995</w:t>
      </w:r>
      <w:r w:rsidRPr="002E55A6">
        <w:t xml:space="preserve"> </w:t>
      </w:r>
      <w:r w:rsidR="00111665" w:rsidRPr="002E55A6">
        <w:t xml:space="preserve">(the Act), </w:t>
      </w:r>
      <w:r w:rsidRPr="002E55A6">
        <w:t>the Remuneration Tribunal (</w:t>
      </w:r>
      <w:r w:rsidR="00111665" w:rsidRPr="002E55A6">
        <w:t xml:space="preserve">the </w:t>
      </w:r>
      <w:r w:rsidRPr="002E55A6">
        <w:t>Tribunal) is required to inquire into, and determine, the salary, allowances and other entitlements for</w:t>
      </w:r>
      <w:r w:rsidR="002C785E" w:rsidRPr="002E55A6">
        <w:t xml:space="preserve"> certain </w:t>
      </w:r>
      <w:r w:rsidR="00F975B7" w:rsidRPr="002E55A6">
        <w:t>f</w:t>
      </w:r>
      <w:r w:rsidRPr="002E55A6">
        <w:t>ull-time public office</w:t>
      </w:r>
      <w:r w:rsidR="00F975B7" w:rsidRPr="002E55A6">
        <w:t xml:space="preserve"> holder</w:t>
      </w:r>
      <w:r w:rsidRPr="002E55A6">
        <w:t xml:space="preserve">s. </w:t>
      </w:r>
      <w:r w:rsidR="00F975B7" w:rsidRPr="002E55A6">
        <w:t>T</w:t>
      </w:r>
      <w:r w:rsidR="00843E1B" w:rsidRPr="002E55A6">
        <w:t>his Determination covers the</w:t>
      </w:r>
      <w:r w:rsidR="00F975B7" w:rsidRPr="002E55A6">
        <w:t xml:space="preserve"> following office holders</w:t>
      </w:r>
      <w:r w:rsidR="00843E1B" w:rsidRPr="002E55A6">
        <w:t>:</w:t>
      </w:r>
    </w:p>
    <w:p w14:paraId="43326DA1" w14:textId="54CF0484" w:rsidR="00843E1B" w:rsidRPr="002E55A6" w:rsidRDefault="00843E1B" w:rsidP="00843E1B">
      <w:pPr>
        <w:pStyle w:val="ListParagraph"/>
        <w:numPr>
          <w:ilvl w:val="0"/>
          <w:numId w:val="27"/>
        </w:numPr>
        <w:spacing w:before="120" w:after="60"/>
        <w:rPr>
          <w:sz w:val="24"/>
          <w:szCs w:val="24"/>
        </w:rPr>
      </w:pPr>
      <w:r w:rsidRPr="002E55A6">
        <w:rPr>
          <w:sz w:val="24"/>
          <w:szCs w:val="24"/>
        </w:rPr>
        <w:t>Assistant Executive Officer, Legal Aid Commission (ACT);</w:t>
      </w:r>
    </w:p>
    <w:p w14:paraId="24ED0E60" w14:textId="25434037"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Canberra Institute of Technology;</w:t>
      </w:r>
    </w:p>
    <w:p w14:paraId="20034F0E" w14:textId="45E4002E"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Legal Aid Commission (ACT);</w:t>
      </w:r>
    </w:p>
    <w:p w14:paraId="58C223BD" w14:textId="6C72F699"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City Renewal Authority;</w:t>
      </w:r>
    </w:p>
    <w:p w14:paraId="116B2DE4" w14:textId="190A8343" w:rsidR="00843E1B" w:rsidRDefault="00843E1B" w:rsidP="00843E1B">
      <w:pPr>
        <w:pStyle w:val="ListParagraph"/>
        <w:numPr>
          <w:ilvl w:val="0"/>
          <w:numId w:val="27"/>
        </w:numPr>
        <w:spacing w:before="120" w:after="60"/>
        <w:rPr>
          <w:sz w:val="24"/>
          <w:szCs w:val="24"/>
        </w:rPr>
      </w:pPr>
      <w:r w:rsidRPr="002E55A6">
        <w:rPr>
          <w:sz w:val="24"/>
          <w:szCs w:val="24"/>
        </w:rPr>
        <w:t>Chief Executive Officer, Suburban Land Agency;</w:t>
      </w:r>
    </w:p>
    <w:p w14:paraId="435A51D2" w14:textId="3B8C98DF" w:rsidR="003D404C" w:rsidRPr="002E55A6" w:rsidRDefault="003D404C" w:rsidP="00843E1B">
      <w:pPr>
        <w:pStyle w:val="ListParagraph"/>
        <w:numPr>
          <w:ilvl w:val="0"/>
          <w:numId w:val="27"/>
        </w:numPr>
        <w:spacing w:before="120" w:after="60"/>
        <w:rPr>
          <w:sz w:val="24"/>
          <w:szCs w:val="24"/>
        </w:rPr>
      </w:pPr>
      <w:r w:rsidRPr="003D404C">
        <w:rPr>
          <w:sz w:val="24"/>
          <w:szCs w:val="24"/>
        </w:rPr>
        <w:t>Commissioner for Sustainability and the Environment</w:t>
      </w:r>
    </w:p>
    <w:p w14:paraId="0110AD24" w14:textId="5A2A128C" w:rsidR="00843E1B" w:rsidRPr="002E55A6" w:rsidRDefault="00843E1B" w:rsidP="00843E1B">
      <w:pPr>
        <w:pStyle w:val="ListParagraph"/>
        <w:numPr>
          <w:ilvl w:val="0"/>
          <w:numId w:val="27"/>
        </w:numPr>
        <w:spacing w:before="120" w:after="60"/>
        <w:rPr>
          <w:sz w:val="24"/>
          <w:szCs w:val="24"/>
        </w:rPr>
      </w:pPr>
      <w:r w:rsidRPr="002E55A6">
        <w:rPr>
          <w:sz w:val="24"/>
          <w:szCs w:val="24"/>
        </w:rPr>
        <w:t>Discrimination, Health Services and Disability and Community Services Commissioner;</w:t>
      </w:r>
    </w:p>
    <w:p w14:paraId="1B16624C" w14:textId="5C6C92B9" w:rsidR="00843E1B" w:rsidRPr="002E55A6" w:rsidRDefault="00843E1B" w:rsidP="00843E1B">
      <w:pPr>
        <w:pStyle w:val="ListParagraph"/>
        <w:numPr>
          <w:ilvl w:val="0"/>
          <w:numId w:val="27"/>
        </w:numPr>
        <w:spacing w:before="120" w:after="60"/>
        <w:rPr>
          <w:sz w:val="24"/>
          <w:szCs w:val="24"/>
        </w:rPr>
      </w:pPr>
      <w:r w:rsidRPr="002E55A6">
        <w:rPr>
          <w:sz w:val="24"/>
          <w:szCs w:val="24"/>
        </w:rPr>
        <w:t>President and Human Rights Commissioner;</w:t>
      </w:r>
    </w:p>
    <w:p w14:paraId="4C45AA9C" w14:textId="4764417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Public Advocate and Children and </w:t>
      </w:r>
      <w:r w:rsidR="00F74E7D" w:rsidRPr="002E55A6">
        <w:rPr>
          <w:sz w:val="24"/>
          <w:szCs w:val="24"/>
        </w:rPr>
        <w:t>Y</w:t>
      </w:r>
      <w:r w:rsidRPr="002E55A6">
        <w:rPr>
          <w:sz w:val="24"/>
          <w:szCs w:val="24"/>
        </w:rPr>
        <w:t xml:space="preserve">oung People Commissioner; </w:t>
      </w:r>
    </w:p>
    <w:p w14:paraId="686C2D56" w14:textId="77777777" w:rsidR="003A57A2" w:rsidRPr="002E55A6" w:rsidRDefault="00843E1B" w:rsidP="00843E1B">
      <w:pPr>
        <w:pStyle w:val="ListParagraph"/>
        <w:numPr>
          <w:ilvl w:val="0"/>
          <w:numId w:val="27"/>
        </w:numPr>
        <w:spacing w:before="120" w:after="60"/>
        <w:rPr>
          <w:sz w:val="24"/>
          <w:szCs w:val="24"/>
        </w:rPr>
      </w:pPr>
      <w:r w:rsidRPr="002E55A6">
        <w:rPr>
          <w:sz w:val="24"/>
          <w:szCs w:val="24"/>
        </w:rPr>
        <w:t>Victims of Crime Commissioner</w:t>
      </w:r>
      <w:r w:rsidR="003A57A2" w:rsidRPr="002E55A6">
        <w:rPr>
          <w:sz w:val="24"/>
          <w:szCs w:val="24"/>
        </w:rPr>
        <w:t>; and</w:t>
      </w:r>
    </w:p>
    <w:p w14:paraId="54764CF0" w14:textId="343822F0" w:rsidR="00843E1B" w:rsidRPr="002E55A6" w:rsidRDefault="003A57A2" w:rsidP="00843E1B">
      <w:pPr>
        <w:pStyle w:val="ListParagraph"/>
        <w:numPr>
          <w:ilvl w:val="0"/>
          <w:numId w:val="27"/>
        </w:numPr>
        <w:spacing w:before="120" w:after="60"/>
        <w:rPr>
          <w:sz w:val="24"/>
          <w:szCs w:val="24"/>
        </w:rPr>
      </w:pPr>
      <w:r w:rsidRPr="002E55A6">
        <w:rPr>
          <w:sz w:val="24"/>
          <w:szCs w:val="24"/>
        </w:rPr>
        <w:t>Work Health and Safety Commissioner</w:t>
      </w:r>
      <w:r w:rsidR="00843E1B" w:rsidRPr="002E55A6">
        <w:rPr>
          <w:sz w:val="24"/>
          <w:szCs w:val="24"/>
        </w:rPr>
        <w:t>.</w:t>
      </w:r>
    </w:p>
    <w:p w14:paraId="17E2B285" w14:textId="583E2630" w:rsidR="00A10D88" w:rsidRPr="002E55A6" w:rsidRDefault="00111665">
      <w:pPr>
        <w:spacing w:before="120" w:after="60"/>
      </w:pPr>
      <w:r w:rsidRPr="002E55A6">
        <w:rPr>
          <w:b/>
        </w:rPr>
        <w:t>Considerations</w:t>
      </w:r>
    </w:p>
    <w:p w14:paraId="282FE16F" w14:textId="76D8B3A4" w:rsidR="00E24700" w:rsidRPr="000448CC" w:rsidRDefault="00E24700" w:rsidP="00E24700">
      <w:pPr>
        <w:pStyle w:val="Heading2"/>
        <w:tabs>
          <w:tab w:val="left" w:pos="6078"/>
          <w:tab w:val="left" w:pos="7334"/>
        </w:tabs>
        <w:spacing w:before="120" w:after="60"/>
        <w:jc w:val="left"/>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131BF86B" w14:textId="77777777" w:rsidR="00FC4D82" w:rsidRDefault="00FC4D82">
      <w:pPr>
        <w:rPr>
          <w:lang w:val="x-none"/>
        </w:rPr>
      </w:pPr>
      <w:r>
        <w:rPr>
          <w:b/>
          <w:iCs/>
        </w:rPr>
        <w:br w:type="page"/>
      </w:r>
    </w:p>
    <w:p w14:paraId="4FE82156" w14:textId="3E0CFB92" w:rsidR="00E24700" w:rsidRPr="000448CC" w:rsidRDefault="00E24700" w:rsidP="00E24700">
      <w:pPr>
        <w:pStyle w:val="Heading2"/>
        <w:tabs>
          <w:tab w:val="left" w:pos="6078"/>
          <w:tab w:val="left" w:pos="7334"/>
        </w:tabs>
        <w:spacing w:before="120" w:after="60"/>
        <w:jc w:val="left"/>
        <w:rPr>
          <w:b w:val="0"/>
          <w:iCs w:val="0"/>
          <w:szCs w:val="20"/>
        </w:rPr>
      </w:pPr>
      <w:r w:rsidRPr="000448CC">
        <w:rPr>
          <w:b w:val="0"/>
          <w:iCs w:val="0"/>
          <w:szCs w:val="20"/>
        </w:rPr>
        <w:lastRenderedPageBreak/>
        <w:t xml:space="preserve">Matters considered by the Tribunal since this time, include the receipt by the Tribunal of a letter from </w:t>
      </w:r>
      <w:r w:rsidR="0099547F">
        <w:rPr>
          <w:b w:val="0"/>
          <w:iCs w:val="0"/>
          <w:szCs w:val="20"/>
        </w:rPr>
        <w:t xml:space="preserve">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bookmarkStart w:id="1" w:name="_Hlk49524214"/>
      <w:r w:rsidR="00C15AC6" w:rsidRPr="000E61C6">
        <w:rPr>
          <w:b w:val="0"/>
          <w:iCs w:val="0"/>
          <w:szCs w:val="20"/>
        </w:rPr>
        <w:t>The Tribunal noted that this corresponded with its earlier decision</w:t>
      </w:r>
      <w:r w:rsidR="00C15AC6">
        <w:rPr>
          <w:b w:val="0"/>
          <w:iCs w:val="0"/>
          <w:szCs w:val="20"/>
        </w:rPr>
        <w:t>.</w:t>
      </w:r>
      <w:bookmarkEnd w:id="1"/>
    </w:p>
    <w:p w14:paraId="1753BB0F" w14:textId="3FE1D330" w:rsidR="00E24700" w:rsidRPr="000448CC" w:rsidRDefault="00E24700" w:rsidP="00E24700">
      <w:pPr>
        <w:pStyle w:val="Heading2"/>
        <w:tabs>
          <w:tab w:val="left" w:pos="6078"/>
          <w:tab w:val="left" w:pos="7334"/>
        </w:tabs>
        <w:spacing w:before="120" w:after="60"/>
        <w:jc w:val="left"/>
        <w:rPr>
          <w:b w:val="0"/>
          <w:iCs w:val="0"/>
          <w:szCs w:val="20"/>
        </w:rPr>
      </w:pPr>
      <w:r w:rsidRPr="000448CC">
        <w:rPr>
          <w:b w:val="0"/>
          <w:iCs w:val="0"/>
          <w:szCs w:val="20"/>
        </w:rPr>
        <w:t xml:space="preserve">The Tribunal met again on 17 August 2020 and 2 September 2020 and received </w:t>
      </w:r>
      <w:r w:rsidR="004F66D7">
        <w:rPr>
          <w:b w:val="0"/>
          <w:iCs w:val="0"/>
          <w:szCs w:val="20"/>
          <w:lang w:val="en-AU"/>
        </w:rPr>
        <w:t xml:space="preserve">a </w:t>
      </w:r>
      <w:r w:rsidRPr="000448CC">
        <w:rPr>
          <w:b w:val="0"/>
          <w:iCs w:val="0"/>
          <w:szCs w:val="20"/>
        </w:rPr>
        <w:t>further comprehensive briefing from the Chief Minister and ACT Government Treasury officials. The Tribunal considered the Chief Minister</w:t>
      </w:r>
      <w:r w:rsidR="004A3DC1">
        <w:rPr>
          <w:b w:val="0"/>
          <w:iCs w:val="0"/>
          <w:szCs w:val="20"/>
          <w:lang w:val="en-AU"/>
        </w:rPr>
        <w:t>’s</w:t>
      </w:r>
      <w:r w:rsidRPr="000448CC">
        <w:rPr>
          <w:b w:val="0"/>
          <w:iCs w:val="0"/>
          <w:szCs w:val="20"/>
        </w:rPr>
        <w:t xml:space="preserve"> </w:t>
      </w:r>
      <w:r w:rsidR="004F66D7" w:rsidRPr="004F66D7">
        <w:rPr>
          <w:b w:val="0"/>
          <w:iCs w:val="0"/>
          <w:szCs w:val="20"/>
        </w:rPr>
        <w:t>‘Ministerial Statement August 2020 Economic and Fiscal Update’ presented to the Legislative Assembly</w:t>
      </w:r>
      <w:r w:rsidR="004F66D7">
        <w:rPr>
          <w:b w:val="0"/>
          <w:iCs w:val="0"/>
          <w:szCs w:val="20"/>
          <w:lang w:val="en-AU"/>
        </w:rPr>
        <w:t xml:space="preserve"> </w:t>
      </w:r>
      <w:r w:rsidRPr="000448CC">
        <w:rPr>
          <w:b w:val="0"/>
          <w:iCs w:val="0"/>
          <w:szCs w:val="20"/>
        </w:rPr>
        <w:t>on 27 August 2020</w:t>
      </w:r>
      <w:bookmarkStart w:id="2" w:name="_Hlk49524180"/>
      <w:r w:rsidR="00C15AC6" w:rsidRPr="000E61C6">
        <w:rPr>
          <w:b w:val="0"/>
          <w:iCs w:val="0"/>
          <w:szCs w:val="20"/>
        </w:rPr>
        <w:t>, which reinforced the significant downturn of the Territory’s economic circumstances</w:t>
      </w:r>
      <w:bookmarkEnd w:id="2"/>
      <w:r w:rsidRPr="000448CC">
        <w:rPr>
          <w:b w:val="0"/>
          <w:iCs w:val="0"/>
          <w:szCs w:val="20"/>
        </w:rPr>
        <w:t>.</w:t>
      </w:r>
    </w:p>
    <w:p w14:paraId="023BE7A0" w14:textId="556FA649" w:rsidR="00E24700" w:rsidRPr="000448CC" w:rsidRDefault="003D404C" w:rsidP="00E24700">
      <w:pPr>
        <w:pStyle w:val="Heading2"/>
        <w:tabs>
          <w:tab w:val="left" w:pos="6078"/>
          <w:tab w:val="left" w:pos="7334"/>
        </w:tabs>
        <w:spacing w:before="120" w:after="60"/>
        <w:jc w:val="left"/>
        <w:rPr>
          <w:b w:val="0"/>
          <w:iCs w:val="0"/>
          <w:szCs w:val="20"/>
        </w:rPr>
      </w:pPr>
      <w:r>
        <w:rPr>
          <w:b w:val="0"/>
          <w:iCs w:val="0"/>
          <w:szCs w:val="20"/>
          <w:lang w:val="en-AU"/>
        </w:rPr>
        <w:t xml:space="preserve">While </w:t>
      </w:r>
      <w:r w:rsidR="00E24700" w:rsidRPr="000448CC">
        <w:rPr>
          <w:b w:val="0"/>
          <w:iCs w:val="0"/>
          <w:szCs w:val="20"/>
        </w:rPr>
        <w:t xml:space="preserve">the Tribunal </w:t>
      </w:r>
      <w:r w:rsidR="00C15AC6">
        <w:rPr>
          <w:b w:val="0"/>
          <w:iCs w:val="0"/>
          <w:szCs w:val="20"/>
          <w:lang w:val="en-AU"/>
        </w:rPr>
        <w:t xml:space="preserve">had regard to </w:t>
      </w:r>
      <w:r w:rsidR="00E24700" w:rsidRPr="000448CC">
        <w:rPr>
          <w:b w:val="0"/>
          <w:iCs w:val="0"/>
          <w:szCs w:val="20"/>
        </w:rPr>
        <w:t>the determinations by its Commonwealth and State/Territory counterparts,</w:t>
      </w:r>
      <w:r>
        <w:rPr>
          <w:b w:val="0"/>
          <w:iCs w:val="0"/>
          <w:szCs w:val="20"/>
          <w:lang w:val="en-AU"/>
        </w:rPr>
        <w:t xml:space="preserve"> </w:t>
      </w:r>
      <w:r w:rsidRPr="003D404C">
        <w:rPr>
          <w:b w:val="0"/>
          <w:iCs w:val="0"/>
          <w:szCs w:val="20"/>
        </w:rPr>
        <w:t>its decision was particularly taken in the context of the ACT’s economic circumstances</w:t>
      </w:r>
      <w:r w:rsidR="00E24700" w:rsidRPr="000448CC">
        <w:rPr>
          <w:b w:val="0"/>
          <w:iCs w:val="0"/>
          <w:szCs w:val="20"/>
        </w:rPr>
        <w:t>.</w:t>
      </w:r>
    </w:p>
    <w:p w14:paraId="4F3188F1" w14:textId="750D7A20" w:rsidR="00E24700" w:rsidRPr="000448CC" w:rsidRDefault="00E24700" w:rsidP="00E24700">
      <w:pPr>
        <w:pStyle w:val="Heading2"/>
        <w:tabs>
          <w:tab w:val="left" w:pos="6078"/>
          <w:tab w:val="left" w:pos="7334"/>
        </w:tabs>
        <w:spacing w:before="120" w:after="60"/>
        <w:jc w:val="left"/>
        <w:rPr>
          <w:b w:val="0"/>
          <w:iCs w:val="0"/>
          <w:szCs w:val="20"/>
        </w:rPr>
      </w:pPr>
      <w:r w:rsidRPr="000448CC">
        <w:rPr>
          <w:b w:val="0"/>
          <w:iCs w:val="0"/>
          <w:szCs w:val="20"/>
        </w:rPr>
        <w:t xml:space="preserve">Given the current COVID-19 pandemic, the impact on the economic conditions and community expectations, </w:t>
      </w:r>
      <w:r w:rsidR="00FC4D82" w:rsidRPr="00FC4D82">
        <w:rPr>
          <w:b w:val="0"/>
          <w:bCs/>
        </w:rPr>
        <w:t>the Tribunal has determined that no adjustments should be made to the remuneration</w:t>
      </w:r>
      <w:r w:rsidR="00FC4D82">
        <w:rPr>
          <w:b w:val="0"/>
          <w:bCs/>
          <w:lang w:val="en-AU"/>
        </w:rPr>
        <w:t xml:space="preserve">, </w:t>
      </w:r>
      <w:r w:rsidRPr="000448CC">
        <w:rPr>
          <w:b w:val="0"/>
          <w:iCs w:val="0"/>
          <w:szCs w:val="20"/>
        </w:rPr>
        <w:t xml:space="preserve">allowances and other entitlements of office holders in its jurisdiction at this time.  </w:t>
      </w:r>
    </w:p>
    <w:p w14:paraId="04E7FF1A" w14:textId="77777777" w:rsidR="0006177A" w:rsidRDefault="0006177A" w:rsidP="0006177A">
      <w:pPr>
        <w:spacing w:before="120" w:after="60"/>
      </w:pPr>
      <w:r w:rsidRPr="00615131">
        <w:t xml:space="preserve">The Tribunal will continue to monitor conditions in the ACT closely and will make appropriate decisions when the Territory’s economic and fiscal circumstances are known next year. </w:t>
      </w:r>
    </w:p>
    <w:p w14:paraId="38D26863" w14:textId="70899523" w:rsidR="00743DEB" w:rsidRPr="002E55A6" w:rsidRDefault="00743DEB" w:rsidP="00743DEB">
      <w:pPr>
        <w:spacing w:before="120" w:after="60"/>
      </w:pPr>
      <w:r>
        <w:t xml:space="preserve">The Tribunal </w:t>
      </w:r>
      <w:r w:rsidR="009A441F">
        <w:t xml:space="preserve">also </w:t>
      </w:r>
      <w:r>
        <w:t xml:space="preserve">received a referral from the Chief Minister to consider the remuneration, allowance and other entitlements of the Commissioner of Sustainability and Environment. The Commissioner of Sustainability and Environment is statutory position established in 1993 and is responsible to produce state of the environment reports for the ACT and investigate complaints about the management of the environment by the Territory or a Territory authority. </w:t>
      </w:r>
      <w:r w:rsidRPr="002E55A6">
        <w:t xml:space="preserve"> </w:t>
      </w:r>
    </w:p>
    <w:p w14:paraId="7AFB6DE9" w14:textId="7D41F2D2" w:rsidR="00743DEB" w:rsidRPr="002E55A6" w:rsidRDefault="00743DEB" w:rsidP="00743DEB">
      <w:pPr>
        <w:spacing w:before="120" w:after="60"/>
      </w:pPr>
      <w:r w:rsidRPr="002E55A6">
        <w:t xml:space="preserve">In determining the appropriate remuneration paid to the </w:t>
      </w:r>
      <w:r>
        <w:t>Commissioner of Sustainability and Environment</w:t>
      </w:r>
      <w:r w:rsidRPr="002E55A6">
        <w:t xml:space="preserve">, the Tribunal considered advice from an official of the </w:t>
      </w:r>
      <w:r>
        <w:t>Environment, Planning and Sustain</w:t>
      </w:r>
      <w:r w:rsidR="009A441F">
        <w:t>able Development</w:t>
      </w:r>
      <w:r w:rsidRPr="002E55A6">
        <w:t xml:space="preserve"> Directorate. </w:t>
      </w:r>
    </w:p>
    <w:p w14:paraId="32F144F1" w14:textId="619902E3" w:rsidR="00A10D88" w:rsidRPr="002E55A6" w:rsidRDefault="00791C85" w:rsidP="00747932">
      <w:pPr>
        <w:spacing w:before="120" w:after="60"/>
        <w:rPr>
          <w:b/>
        </w:rPr>
      </w:pPr>
      <w:r w:rsidRPr="002E55A6">
        <w:rPr>
          <w:b/>
        </w:rPr>
        <w:t>Decision</w:t>
      </w:r>
    </w:p>
    <w:p w14:paraId="77155541" w14:textId="211B2AAB" w:rsidR="00E24700" w:rsidRDefault="00E24700" w:rsidP="00E24700">
      <w:pPr>
        <w:spacing w:before="120" w:after="60"/>
      </w:pPr>
      <w:r w:rsidRPr="000448CC">
        <w:t xml:space="preserve">The Tribunal has decided to determine no adjustment to remuneration, allowances or entitlements for </w:t>
      </w:r>
      <w:r w:rsidR="009649E8">
        <w:t xml:space="preserve">the </w:t>
      </w:r>
      <w:r w:rsidRPr="000448CC">
        <w:t xml:space="preserve">office holders </w:t>
      </w:r>
      <w:r w:rsidR="00C15AC6">
        <w:t xml:space="preserve">covered by this </w:t>
      </w:r>
      <w:r w:rsidR="00681507">
        <w:t>D</w:t>
      </w:r>
      <w:r w:rsidR="00C15AC6">
        <w:t>etermination</w:t>
      </w:r>
      <w:r w:rsidRPr="000448CC">
        <w:t xml:space="preserve"> for 2020.</w:t>
      </w:r>
    </w:p>
    <w:p w14:paraId="1B7E3C96" w14:textId="1B8038C1" w:rsidR="00743DEB" w:rsidRPr="002E55A6" w:rsidRDefault="00743DEB" w:rsidP="00743DEB">
      <w:pPr>
        <w:spacing w:before="120" w:after="60"/>
      </w:pPr>
      <w:r w:rsidRPr="002E55A6">
        <w:t xml:space="preserve">The Tribunal decided that the </w:t>
      </w:r>
      <w:r>
        <w:t>Commissioner of Sustainability and Environment</w:t>
      </w:r>
      <w:r w:rsidRPr="002E55A6">
        <w:t xml:space="preserve"> is entitled to be remunerated at $245,543. The position will receive the same allowances and other entitlements as the other full-time statutory officer holders covered by this Determination.  </w:t>
      </w:r>
    </w:p>
    <w:p w14:paraId="070CE667" w14:textId="77777777" w:rsidR="003336A8" w:rsidRPr="002E55A6" w:rsidRDefault="003336A8">
      <w:pPr>
        <w:spacing w:before="120" w:after="60"/>
      </w:pPr>
    </w:p>
    <w:p w14:paraId="7D023FEF" w14:textId="72BD9721" w:rsidR="00DC6C6D" w:rsidRPr="002E55A6" w:rsidRDefault="00A04923" w:rsidP="00DC6C6D">
      <w:pPr>
        <w:ind w:left="360"/>
        <w:jc w:val="right"/>
        <w:rPr>
          <w:szCs w:val="24"/>
        </w:rPr>
      </w:pPr>
      <w:r>
        <w:rPr>
          <w:szCs w:val="24"/>
        </w:rPr>
        <w:t>September 2020</w:t>
      </w:r>
    </w:p>
    <w:p w14:paraId="3F368893" w14:textId="77777777" w:rsidR="00DC6C6D" w:rsidRPr="002E55A6" w:rsidRDefault="00DC6C6D" w:rsidP="00DC6C6D">
      <w:pPr>
        <w:spacing w:before="120"/>
        <w:rPr>
          <w:rFonts w:cs="Arial"/>
        </w:rPr>
        <w:sectPr w:rsidR="00DC6C6D" w:rsidRPr="002E55A6"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11880A2E" w14:textId="77777777" w:rsidR="00835A36" w:rsidRPr="002E55A6" w:rsidRDefault="00835A36" w:rsidP="00835A36">
      <w:pPr>
        <w:keepNext/>
        <w:spacing w:before="240" w:after="60"/>
        <w:outlineLvl w:val="2"/>
        <w:rPr>
          <w:rFonts w:ascii="Arial" w:hAnsi="Arial" w:cs="Arial"/>
          <w:b/>
          <w:bCs/>
          <w:szCs w:val="26"/>
        </w:rPr>
      </w:pPr>
      <w:r w:rsidRPr="002E55A6">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2E55A6">
        <w:rPr>
          <w:rFonts w:ascii="Arial" w:hAnsi="Arial" w:cs="Arial"/>
          <w:b/>
          <w:bCs/>
          <w:noProof/>
          <w:szCs w:val="26"/>
          <w:lang w:eastAsia="en-AU"/>
        </w:rPr>
        <w:t xml:space="preserve">        </w:t>
      </w:r>
      <w:r w:rsidRPr="002E55A6">
        <w:rPr>
          <w:rFonts w:ascii="Arial" w:hAnsi="Arial" w:cs="Arial"/>
          <w:b/>
          <w:bCs/>
          <w:noProof/>
          <w:szCs w:val="26"/>
          <w:lang w:eastAsia="en-AU"/>
        </w:rPr>
        <w:tab/>
      </w:r>
      <w:r w:rsidRPr="002E55A6">
        <w:rPr>
          <w:rFonts w:ascii="Arial" w:hAnsi="Arial" w:cs="Arial"/>
          <w:b/>
          <w:bCs/>
          <w:noProof/>
          <w:szCs w:val="26"/>
          <w:lang w:eastAsia="en-AU"/>
        </w:rPr>
        <w:tab/>
        <w:t xml:space="preserve">     </w:t>
      </w:r>
      <w:r w:rsidRPr="002E55A6">
        <w:rPr>
          <w:rFonts w:cs="Arial"/>
          <w:sz w:val="28"/>
          <w:szCs w:val="28"/>
        </w:rPr>
        <w:t>Australian Capital Territory Remuneration Tribunal</w:t>
      </w:r>
    </w:p>
    <w:p w14:paraId="0E6B6C9C" w14:textId="695D5689" w:rsidR="00AD5E24" w:rsidRPr="00D61781" w:rsidRDefault="00AD5E24" w:rsidP="00AD5E24">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FC4D82">
        <w:rPr>
          <w:color w:val="000000" w:themeColor="text1"/>
        </w:rPr>
        <w:t>4</w:t>
      </w:r>
      <w:r w:rsidRPr="00D61781">
        <w:rPr>
          <w:color w:val="000000" w:themeColor="text1"/>
        </w:rPr>
        <w:t xml:space="preserve"> of 20</w:t>
      </w:r>
      <w:r w:rsidR="00A04923">
        <w:rPr>
          <w:color w:val="000000" w:themeColor="text1"/>
        </w:rPr>
        <w:t>20</w:t>
      </w:r>
      <w:r w:rsidRPr="00D61781">
        <w:rPr>
          <w:color w:val="000000" w:themeColor="text1"/>
        </w:rPr>
        <w:t xml:space="preserve"> </w:t>
      </w:r>
    </w:p>
    <w:p w14:paraId="4A325C49" w14:textId="0F6A8B00" w:rsidR="00AD5E24" w:rsidRPr="002E55A6" w:rsidRDefault="00AD5E24" w:rsidP="00AD5E24">
      <w:pPr>
        <w:pStyle w:val="Heading1"/>
        <w:keepLines/>
        <w:pageBreakBefore w:val="0"/>
        <w:pBdr>
          <w:bottom w:val="none" w:sz="0" w:space="0" w:color="auto"/>
        </w:pBdr>
        <w:spacing w:before="240"/>
      </w:pPr>
      <w:r w:rsidRPr="002E55A6">
        <w:t>Full-Time Statutory Office Holders</w:t>
      </w:r>
    </w:p>
    <w:p w14:paraId="32D2E939" w14:textId="77777777" w:rsidR="00DC6C6D" w:rsidRPr="002E55A6" w:rsidRDefault="00DC6C6D" w:rsidP="00DC6C6D">
      <w:pPr>
        <w:pStyle w:val="madeunder"/>
        <w:spacing w:before="240" w:after="120"/>
      </w:pPr>
      <w:r w:rsidRPr="002E55A6">
        <w:t xml:space="preserve">made under the </w:t>
      </w:r>
    </w:p>
    <w:p w14:paraId="604A07D2" w14:textId="77777777" w:rsidR="00DC6C6D" w:rsidRPr="002E55A6" w:rsidRDefault="00DC6C6D" w:rsidP="00DC6C6D">
      <w:pPr>
        <w:pStyle w:val="CoverActName"/>
        <w:rPr>
          <w:rFonts w:ascii="Calibri" w:hAnsi="Calibri" w:cs="Arial"/>
        </w:rPr>
      </w:pPr>
      <w:r w:rsidRPr="002E55A6">
        <w:rPr>
          <w:rFonts w:ascii="Calibri" w:hAnsi="Calibri" w:cs="Arial"/>
        </w:rPr>
        <w:t>Remuneration Tribunal Act 1995, section 10 (Inquiries about holders of certain positions)</w:t>
      </w:r>
    </w:p>
    <w:p w14:paraId="131AF482" w14:textId="77777777" w:rsidR="00DC6C6D" w:rsidRPr="002E55A6" w:rsidRDefault="00DC6C6D" w:rsidP="00DC6C6D">
      <w:pPr>
        <w:pStyle w:val="CoverActName"/>
      </w:pPr>
    </w:p>
    <w:p w14:paraId="0C22E450" w14:textId="77777777" w:rsidR="00DC6C6D" w:rsidRPr="002E55A6" w:rsidRDefault="00DC6C6D" w:rsidP="00DC6C6D">
      <w:pPr>
        <w:pStyle w:val="N-line3"/>
        <w:pBdr>
          <w:top w:val="single" w:sz="12" w:space="1" w:color="auto"/>
          <w:bottom w:val="none" w:sz="0" w:space="0" w:color="auto"/>
        </w:pBdr>
      </w:pPr>
    </w:p>
    <w:p w14:paraId="319D96AC" w14:textId="77777777" w:rsidR="00DC6C6D" w:rsidRPr="002E55A6" w:rsidRDefault="00DC6C6D" w:rsidP="00675113">
      <w:pPr>
        <w:pStyle w:val="Heading3"/>
        <w:keepLines w:val="0"/>
        <w:tabs>
          <w:tab w:val="clear" w:pos="720"/>
        </w:tabs>
        <w:ind w:left="0" w:firstLine="0"/>
        <w:rPr>
          <w:rFonts w:cs="Arial"/>
        </w:rPr>
      </w:pPr>
      <w:r w:rsidRPr="002E55A6">
        <w:rPr>
          <w:rFonts w:cs="Arial"/>
          <w:szCs w:val="26"/>
        </w:rPr>
        <w:t>Commencement</w:t>
      </w:r>
      <w:r w:rsidRPr="002E55A6">
        <w:rPr>
          <w:rFonts w:cs="Arial"/>
        </w:rPr>
        <w:t xml:space="preserve"> </w:t>
      </w:r>
    </w:p>
    <w:p w14:paraId="05AA1483" w14:textId="3EF13451" w:rsidR="00DC6C6D" w:rsidRPr="002E55A6" w:rsidRDefault="001D03AE" w:rsidP="001D03AE">
      <w:pPr>
        <w:numPr>
          <w:ilvl w:val="1"/>
          <w:numId w:val="4"/>
        </w:numPr>
        <w:tabs>
          <w:tab w:val="clear" w:pos="720"/>
        </w:tabs>
        <w:spacing w:before="80" w:after="60"/>
        <w:ind w:left="709" w:hanging="709"/>
      </w:pPr>
      <w:r w:rsidRPr="002E55A6">
        <w:t xml:space="preserve">The instrument </w:t>
      </w:r>
      <w:r w:rsidR="00E24700">
        <w:t xml:space="preserve">is taken to have </w:t>
      </w:r>
      <w:r w:rsidR="00E66FEB" w:rsidRPr="002E55A6">
        <w:t>commence</w:t>
      </w:r>
      <w:r w:rsidR="00E24700">
        <w:t>d</w:t>
      </w:r>
      <w:r w:rsidR="00E66FEB" w:rsidRPr="002E55A6">
        <w:t xml:space="preserve"> on </w:t>
      </w:r>
      <w:r w:rsidR="00E66FEB" w:rsidRPr="00DC40FD">
        <w:t xml:space="preserve">1 </w:t>
      </w:r>
      <w:r w:rsidR="00E24700">
        <w:t>July 2020</w:t>
      </w:r>
      <w:bookmarkStart w:id="3" w:name="_GoBack"/>
      <w:bookmarkEnd w:id="3"/>
      <w:r w:rsidRPr="00DC40FD">
        <w:t>.</w:t>
      </w:r>
      <w:r w:rsidRPr="002E55A6">
        <w:t xml:space="preserve"> </w:t>
      </w:r>
    </w:p>
    <w:p w14:paraId="68E198C4" w14:textId="77777777" w:rsidR="00DC6C6D" w:rsidRPr="002E55A6" w:rsidRDefault="00DC6C6D" w:rsidP="00675113">
      <w:pPr>
        <w:pStyle w:val="Heading3"/>
        <w:keepLines w:val="0"/>
        <w:tabs>
          <w:tab w:val="clear" w:pos="720"/>
        </w:tabs>
        <w:rPr>
          <w:rFonts w:cs="Arial"/>
          <w:szCs w:val="26"/>
        </w:rPr>
      </w:pPr>
      <w:r w:rsidRPr="002E55A6">
        <w:rPr>
          <w:rFonts w:cs="Arial"/>
          <w:szCs w:val="26"/>
        </w:rPr>
        <w:t>Remuneration</w:t>
      </w:r>
    </w:p>
    <w:p w14:paraId="31AE735E" w14:textId="6C56A118" w:rsidR="00DC6C6D" w:rsidRPr="002E55A6" w:rsidRDefault="00DC6C6D" w:rsidP="00AE2CF2">
      <w:pPr>
        <w:numPr>
          <w:ilvl w:val="1"/>
          <w:numId w:val="4"/>
        </w:numPr>
        <w:tabs>
          <w:tab w:val="clear" w:pos="720"/>
        </w:tabs>
        <w:spacing w:before="80" w:after="60"/>
        <w:ind w:left="709" w:hanging="709"/>
      </w:pPr>
      <w:r w:rsidRPr="002E55A6">
        <w:t xml:space="preserve">A person appointed to an office listed in column 1 of </w:t>
      </w:r>
      <w:r w:rsidR="00FB06AE" w:rsidRPr="002E55A6">
        <w:t>the table below</w:t>
      </w:r>
      <w:r w:rsidRPr="002E55A6">
        <w:t xml:space="preserve"> is entitled to the </w:t>
      </w:r>
      <w:r w:rsidR="007E0063" w:rsidRPr="002E55A6">
        <w:t xml:space="preserve">remuneration </w:t>
      </w:r>
      <w:r w:rsidRPr="002E55A6">
        <w:t xml:space="preserve">mentioned in column 2 </w:t>
      </w:r>
      <w:r w:rsidR="00CA0D6A" w:rsidRPr="002E55A6">
        <w:t xml:space="preserve">of the </w:t>
      </w:r>
      <w:r w:rsidR="009F419B" w:rsidRPr="002E55A6">
        <w:t>same row in the table below</w:t>
      </w:r>
      <w:r w:rsidRPr="002E55A6">
        <w:t>.</w:t>
      </w:r>
    </w:p>
    <w:p w14:paraId="2BBCC19E" w14:textId="18ABA713" w:rsidR="00FB06AE" w:rsidRPr="002E55A6" w:rsidRDefault="00671C75" w:rsidP="0018623B">
      <w:pPr>
        <w:pStyle w:val="Heading3"/>
        <w:numPr>
          <w:ilvl w:val="0"/>
          <w:numId w:val="0"/>
        </w:numPr>
        <w:ind w:left="720" w:hanging="720"/>
      </w:pPr>
      <w:r w:rsidRPr="002E55A6">
        <w:t>TABLE 2.1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7088"/>
        <w:gridCol w:w="1984"/>
      </w:tblGrid>
      <w:tr w:rsidR="002E55A6" w:rsidRPr="002E55A6" w14:paraId="27EF471C" w14:textId="77777777" w:rsidTr="0018623B">
        <w:tc>
          <w:tcPr>
            <w:tcW w:w="7088" w:type="dxa"/>
          </w:tcPr>
          <w:p w14:paraId="0C8CA0AA" w14:textId="19ED98FE" w:rsidR="007A11BD" w:rsidRPr="002E55A6" w:rsidRDefault="007A11BD" w:rsidP="00E66FEB">
            <w:pPr>
              <w:spacing w:before="60" w:after="60"/>
              <w:rPr>
                <w:sz w:val="22"/>
                <w:szCs w:val="22"/>
              </w:rPr>
            </w:pPr>
            <w:r w:rsidRPr="002E55A6">
              <w:rPr>
                <w:sz w:val="22"/>
                <w:szCs w:val="22"/>
              </w:rPr>
              <w:t>Column 1</w:t>
            </w:r>
          </w:p>
          <w:p w14:paraId="09FC4020" w14:textId="77777777" w:rsidR="007A11BD" w:rsidRPr="002E55A6" w:rsidRDefault="007A11BD" w:rsidP="00E66FEB">
            <w:pPr>
              <w:spacing w:before="60" w:after="60"/>
              <w:rPr>
                <w:b/>
                <w:szCs w:val="22"/>
              </w:rPr>
            </w:pPr>
            <w:r w:rsidRPr="002E55A6">
              <w:rPr>
                <w:b/>
                <w:sz w:val="22"/>
                <w:szCs w:val="22"/>
              </w:rPr>
              <w:t>Office</w:t>
            </w:r>
          </w:p>
        </w:tc>
        <w:tc>
          <w:tcPr>
            <w:tcW w:w="1984" w:type="dxa"/>
            <w:shd w:val="clear" w:color="auto" w:fill="auto"/>
            <w:vAlign w:val="bottom"/>
          </w:tcPr>
          <w:p w14:paraId="2D34BF1A" w14:textId="4B130BA2" w:rsidR="007A11BD" w:rsidRPr="002E55A6" w:rsidRDefault="007A11BD" w:rsidP="00E66FEB">
            <w:pPr>
              <w:rPr>
                <w:bCs/>
                <w:sz w:val="22"/>
                <w:szCs w:val="22"/>
              </w:rPr>
            </w:pPr>
            <w:r w:rsidRPr="002E55A6">
              <w:rPr>
                <w:bCs/>
                <w:sz w:val="22"/>
                <w:szCs w:val="22"/>
              </w:rPr>
              <w:t>Column 2</w:t>
            </w:r>
          </w:p>
          <w:p w14:paraId="5B941A1E" w14:textId="6E50C7E9" w:rsidR="007A11BD" w:rsidRPr="002E55A6" w:rsidRDefault="007A11BD" w:rsidP="00E66FEB">
            <w:pPr>
              <w:rPr>
                <w:b/>
                <w:bCs/>
                <w:sz w:val="22"/>
                <w:szCs w:val="22"/>
              </w:rPr>
            </w:pPr>
            <w:r w:rsidRPr="002E55A6">
              <w:rPr>
                <w:b/>
                <w:bCs/>
                <w:sz w:val="22"/>
                <w:szCs w:val="22"/>
              </w:rPr>
              <w:t>Remuneration</w:t>
            </w:r>
          </w:p>
          <w:p w14:paraId="5BBACA49" w14:textId="77777777" w:rsidR="007A11BD" w:rsidRPr="002E55A6" w:rsidRDefault="007A11BD" w:rsidP="00E66FEB">
            <w:pPr>
              <w:rPr>
                <w:bCs/>
                <w:sz w:val="22"/>
                <w:szCs w:val="22"/>
              </w:rPr>
            </w:pPr>
          </w:p>
        </w:tc>
      </w:tr>
      <w:tr w:rsidR="002E55A6" w:rsidRPr="002E55A6" w14:paraId="71C0D1C8" w14:textId="77777777" w:rsidTr="0018623B">
        <w:tc>
          <w:tcPr>
            <w:tcW w:w="7088" w:type="dxa"/>
          </w:tcPr>
          <w:p w14:paraId="2187C8ED" w14:textId="3179947C" w:rsidR="007A11BD" w:rsidRPr="002E55A6" w:rsidRDefault="007A11BD" w:rsidP="00CA0D6A">
            <w:pPr>
              <w:spacing w:before="60" w:after="60"/>
              <w:rPr>
                <w:szCs w:val="22"/>
              </w:rPr>
            </w:pPr>
            <w:r w:rsidRPr="002E55A6">
              <w:rPr>
                <w:sz w:val="22"/>
                <w:szCs w:val="22"/>
              </w:rPr>
              <w:t>Assistant Executive Officer (DCEO), Legal Aid Commission (ACT)</w:t>
            </w:r>
          </w:p>
        </w:tc>
        <w:tc>
          <w:tcPr>
            <w:tcW w:w="1984" w:type="dxa"/>
            <w:shd w:val="clear" w:color="auto" w:fill="auto"/>
            <w:vAlign w:val="bottom"/>
          </w:tcPr>
          <w:p w14:paraId="7133F813" w14:textId="0AFA593D" w:rsidR="007A11BD" w:rsidRPr="002E55A6" w:rsidRDefault="008151E4" w:rsidP="00F5535C">
            <w:pPr>
              <w:rPr>
                <w:bCs/>
                <w:sz w:val="22"/>
                <w:szCs w:val="22"/>
              </w:rPr>
            </w:pPr>
            <w:r w:rsidRPr="002E55A6">
              <w:rPr>
                <w:sz w:val="22"/>
                <w:szCs w:val="22"/>
              </w:rPr>
              <w:t>$227,160</w:t>
            </w:r>
          </w:p>
        </w:tc>
      </w:tr>
      <w:tr w:rsidR="002E55A6" w:rsidRPr="002E55A6" w14:paraId="543E5E22" w14:textId="77777777" w:rsidTr="0018623B">
        <w:tc>
          <w:tcPr>
            <w:tcW w:w="7088" w:type="dxa"/>
          </w:tcPr>
          <w:p w14:paraId="0D3CE09E" w14:textId="24373C34" w:rsidR="007A11BD" w:rsidRPr="002E55A6" w:rsidRDefault="007A11BD" w:rsidP="00675113">
            <w:pPr>
              <w:pStyle w:val="Header"/>
              <w:tabs>
                <w:tab w:val="clear" w:pos="4153"/>
                <w:tab w:val="clear" w:pos="8306"/>
              </w:tabs>
              <w:spacing w:before="60" w:after="60"/>
              <w:rPr>
                <w:szCs w:val="22"/>
              </w:rPr>
            </w:pPr>
            <w:r w:rsidRPr="002E55A6">
              <w:rPr>
                <w:sz w:val="22"/>
                <w:szCs w:val="22"/>
              </w:rPr>
              <w:t>Chief Executive Officer, Canberra Institute of Technology</w:t>
            </w:r>
          </w:p>
        </w:tc>
        <w:tc>
          <w:tcPr>
            <w:tcW w:w="1984" w:type="dxa"/>
            <w:shd w:val="clear" w:color="auto" w:fill="auto"/>
            <w:vAlign w:val="bottom"/>
          </w:tcPr>
          <w:p w14:paraId="7381C3B8" w14:textId="74E0F960" w:rsidR="007A11BD" w:rsidRPr="002E55A6" w:rsidRDefault="007A11BD" w:rsidP="00F31978">
            <w:pPr>
              <w:rPr>
                <w:bCs/>
                <w:sz w:val="22"/>
                <w:szCs w:val="22"/>
              </w:rPr>
            </w:pPr>
            <w:r w:rsidRPr="002E55A6">
              <w:rPr>
                <w:bCs/>
                <w:sz w:val="22"/>
                <w:szCs w:val="22"/>
              </w:rPr>
              <w:t>$313,052</w:t>
            </w:r>
          </w:p>
        </w:tc>
      </w:tr>
      <w:tr w:rsidR="002E55A6" w:rsidRPr="002E55A6" w14:paraId="1C1F002A" w14:textId="77777777" w:rsidTr="0018623B">
        <w:tc>
          <w:tcPr>
            <w:tcW w:w="7088" w:type="dxa"/>
          </w:tcPr>
          <w:p w14:paraId="699A2C8E" w14:textId="32A1EE68" w:rsidR="007A11BD" w:rsidRPr="002E55A6" w:rsidRDefault="007A11BD" w:rsidP="00CA0D6A">
            <w:pPr>
              <w:spacing w:before="60" w:after="60"/>
              <w:rPr>
                <w:szCs w:val="22"/>
              </w:rPr>
            </w:pPr>
            <w:r w:rsidRPr="002E55A6">
              <w:rPr>
                <w:sz w:val="22"/>
                <w:szCs w:val="22"/>
              </w:rPr>
              <w:t>Chief Executive Officer, Legal Aid Commission (ACT)</w:t>
            </w:r>
          </w:p>
        </w:tc>
        <w:tc>
          <w:tcPr>
            <w:tcW w:w="1984" w:type="dxa"/>
            <w:shd w:val="clear" w:color="auto" w:fill="auto"/>
            <w:vAlign w:val="bottom"/>
          </w:tcPr>
          <w:p w14:paraId="5AAC394C" w14:textId="39D59583" w:rsidR="007A11BD" w:rsidRPr="002E55A6" w:rsidRDefault="008151E4" w:rsidP="00F31978">
            <w:pPr>
              <w:rPr>
                <w:bCs/>
                <w:sz w:val="22"/>
                <w:szCs w:val="22"/>
              </w:rPr>
            </w:pPr>
            <w:r w:rsidRPr="002E55A6">
              <w:rPr>
                <w:sz w:val="22"/>
                <w:szCs w:val="22"/>
              </w:rPr>
              <w:t>$293,809</w:t>
            </w:r>
          </w:p>
        </w:tc>
      </w:tr>
      <w:tr w:rsidR="003D404C" w:rsidRPr="002E55A6" w14:paraId="49D6B0E8" w14:textId="77777777" w:rsidTr="0018623B">
        <w:tc>
          <w:tcPr>
            <w:tcW w:w="7088" w:type="dxa"/>
          </w:tcPr>
          <w:p w14:paraId="2E8A97AF" w14:textId="08E1D07E" w:rsidR="003D404C" w:rsidRPr="002E55A6" w:rsidRDefault="003D404C" w:rsidP="00CA0D6A">
            <w:pPr>
              <w:spacing w:before="60" w:after="60"/>
              <w:rPr>
                <w:sz w:val="22"/>
                <w:szCs w:val="22"/>
              </w:rPr>
            </w:pPr>
            <w:r w:rsidRPr="003D404C">
              <w:rPr>
                <w:sz w:val="22"/>
                <w:szCs w:val="22"/>
              </w:rPr>
              <w:t>Commissioner for Sustainability and the Environment</w:t>
            </w:r>
          </w:p>
        </w:tc>
        <w:tc>
          <w:tcPr>
            <w:tcW w:w="1984" w:type="dxa"/>
            <w:shd w:val="clear" w:color="auto" w:fill="auto"/>
            <w:vAlign w:val="bottom"/>
          </w:tcPr>
          <w:p w14:paraId="15E9EA85" w14:textId="7E3381E1" w:rsidR="003D404C" w:rsidRPr="002E55A6" w:rsidRDefault="003D404C" w:rsidP="00F31978">
            <w:pPr>
              <w:rPr>
                <w:sz w:val="22"/>
                <w:szCs w:val="22"/>
              </w:rPr>
            </w:pPr>
            <w:r w:rsidRPr="002E55A6">
              <w:rPr>
                <w:sz w:val="22"/>
                <w:szCs w:val="22"/>
              </w:rPr>
              <w:t>$245,543</w:t>
            </w:r>
          </w:p>
        </w:tc>
      </w:tr>
      <w:tr w:rsidR="002E55A6" w:rsidRPr="002E55A6" w14:paraId="477F29D5" w14:textId="77777777" w:rsidTr="0018623B">
        <w:tc>
          <w:tcPr>
            <w:tcW w:w="7088" w:type="dxa"/>
          </w:tcPr>
          <w:p w14:paraId="02002AC5" w14:textId="0B5FBCA1" w:rsidR="007A11BD" w:rsidRPr="002E55A6" w:rsidRDefault="007A11BD" w:rsidP="00E66FEB">
            <w:pPr>
              <w:spacing w:before="60" w:after="60"/>
              <w:rPr>
                <w:szCs w:val="22"/>
              </w:rPr>
            </w:pPr>
            <w:r w:rsidRPr="002E55A6">
              <w:rPr>
                <w:sz w:val="22"/>
                <w:szCs w:val="22"/>
              </w:rPr>
              <w:t>Discrimination, Health Services and Disability and Community Services Commissioner, ACT Human Rights Commission</w:t>
            </w:r>
          </w:p>
        </w:tc>
        <w:tc>
          <w:tcPr>
            <w:tcW w:w="1984" w:type="dxa"/>
            <w:shd w:val="clear" w:color="auto" w:fill="auto"/>
            <w:vAlign w:val="bottom"/>
          </w:tcPr>
          <w:p w14:paraId="5B758BC0" w14:textId="542309EB" w:rsidR="007A11BD" w:rsidRPr="002E55A6" w:rsidRDefault="007A11BD" w:rsidP="00F31978">
            <w:pPr>
              <w:rPr>
                <w:bCs/>
                <w:sz w:val="22"/>
                <w:szCs w:val="22"/>
              </w:rPr>
            </w:pPr>
            <w:r w:rsidRPr="002E55A6">
              <w:rPr>
                <w:bCs/>
                <w:sz w:val="22"/>
                <w:szCs w:val="22"/>
              </w:rPr>
              <w:t>$202,111</w:t>
            </w:r>
          </w:p>
        </w:tc>
      </w:tr>
      <w:tr w:rsidR="002E55A6" w:rsidRPr="002E55A6" w14:paraId="032BC78D" w14:textId="77777777" w:rsidTr="0018623B">
        <w:tc>
          <w:tcPr>
            <w:tcW w:w="7088" w:type="dxa"/>
          </w:tcPr>
          <w:p w14:paraId="74749C21" w14:textId="51CF1664" w:rsidR="007A11BD" w:rsidRPr="002E55A6" w:rsidRDefault="007A11BD" w:rsidP="00E66FEB">
            <w:pPr>
              <w:pStyle w:val="Header"/>
              <w:tabs>
                <w:tab w:val="clear" w:pos="4153"/>
                <w:tab w:val="clear" w:pos="8306"/>
              </w:tabs>
              <w:spacing w:before="60" w:after="60"/>
              <w:rPr>
                <w:szCs w:val="22"/>
              </w:rPr>
            </w:pPr>
            <w:r w:rsidRPr="002E55A6">
              <w:rPr>
                <w:sz w:val="22"/>
                <w:szCs w:val="22"/>
              </w:rPr>
              <w:t>President and Human Rights Commissioner, ACT Human Rights Commission</w:t>
            </w:r>
          </w:p>
        </w:tc>
        <w:tc>
          <w:tcPr>
            <w:tcW w:w="1984" w:type="dxa"/>
            <w:shd w:val="clear" w:color="auto" w:fill="auto"/>
            <w:vAlign w:val="bottom"/>
          </w:tcPr>
          <w:p w14:paraId="38969054" w14:textId="630F7FCA" w:rsidR="007A11BD" w:rsidRPr="002E55A6" w:rsidRDefault="007A11BD" w:rsidP="00F31978">
            <w:pPr>
              <w:rPr>
                <w:bCs/>
                <w:sz w:val="22"/>
                <w:szCs w:val="22"/>
              </w:rPr>
            </w:pPr>
            <w:r w:rsidRPr="002E55A6">
              <w:rPr>
                <w:bCs/>
                <w:sz w:val="22"/>
                <w:szCs w:val="22"/>
              </w:rPr>
              <w:t>$231,538</w:t>
            </w:r>
          </w:p>
        </w:tc>
      </w:tr>
      <w:tr w:rsidR="002E55A6" w:rsidRPr="002E55A6" w14:paraId="1FEE3FD9" w14:textId="77777777" w:rsidTr="0018623B">
        <w:tc>
          <w:tcPr>
            <w:tcW w:w="7088" w:type="dxa"/>
          </w:tcPr>
          <w:p w14:paraId="41932851" w14:textId="1D4918A0" w:rsidR="007A11BD" w:rsidRPr="002E55A6" w:rsidRDefault="007A11BD" w:rsidP="00E66FEB">
            <w:pPr>
              <w:spacing w:before="60" w:after="60"/>
              <w:rPr>
                <w:szCs w:val="22"/>
              </w:rPr>
            </w:pPr>
            <w:r w:rsidRPr="002E55A6">
              <w:rPr>
                <w:sz w:val="22"/>
                <w:szCs w:val="22"/>
              </w:rPr>
              <w:t>Public Advocate and Children and Young People Commissioner, ACT Human Rights Commission</w:t>
            </w:r>
          </w:p>
        </w:tc>
        <w:tc>
          <w:tcPr>
            <w:tcW w:w="1984" w:type="dxa"/>
            <w:shd w:val="clear" w:color="auto" w:fill="auto"/>
            <w:vAlign w:val="bottom"/>
          </w:tcPr>
          <w:p w14:paraId="457E78D4" w14:textId="06FCA0CF" w:rsidR="007A11BD" w:rsidRPr="002E55A6" w:rsidRDefault="007A11BD" w:rsidP="00F31978">
            <w:pPr>
              <w:rPr>
                <w:bCs/>
                <w:sz w:val="22"/>
                <w:szCs w:val="22"/>
              </w:rPr>
            </w:pPr>
            <w:r w:rsidRPr="002E55A6">
              <w:rPr>
                <w:bCs/>
                <w:sz w:val="22"/>
                <w:szCs w:val="22"/>
              </w:rPr>
              <w:t>$202,111</w:t>
            </w:r>
          </w:p>
        </w:tc>
      </w:tr>
      <w:tr w:rsidR="002E55A6" w:rsidRPr="002E55A6" w14:paraId="16F5FE36" w14:textId="77777777" w:rsidTr="0018623B">
        <w:tc>
          <w:tcPr>
            <w:tcW w:w="7088" w:type="dxa"/>
          </w:tcPr>
          <w:p w14:paraId="121431B7" w14:textId="4873FD45" w:rsidR="007A11BD" w:rsidRPr="002E55A6" w:rsidRDefault="007A11BD" w:rsidP="00E66FEB">
            <w:pPr>
              <w:spacing w:before="60" w:after="60"/>
              <w:rPr>
                <w:szCs w:val="22"/>
              </w:rPr>
            </w:pPr>
            <w:r w:rsidRPr="002E55A6">
              <w:rPr>
                <w:sz w:val="22"/>
                <w:szCs w:val="22"/>
              </w:rPr>
              <w:t>Victims of Crime Commissioner, ACT Human Rights Commission</w:t>
            </w:r>
          </w:p>
        </w:tc>
        <w:tc>
          <w:tcPr>
            <w:tcW w:w="1984" w:type="dxa"/>
            <w:shd w:val="clear" w:color="auto" w:fill="auto"/>
            <w:vAlign w:val="bottom"/>
          </w:tcPr>
          <w:p w14:paraId="2BC3F0B4" w14:textId="5D8ED3B0" w:rsidR="007A11BD" w:rsidRPr="002E55A6" w:rsidRDefault="007A11BD" w:rsidP="00F31978">
            <w:pPr>
              <w:rPr>
                <w:bCs/>
                <w:sz w:val="22"/>
                <w:szCs w:val="22"/>
              </w:rPr>
            </w:pPr>
            <w:r w:rsidRPr="002E55A6">
              <w:rPr>
                <w:bCs/>
                <w:sz w:val="22"/>
                <w:szCs w:val="22"/>
              </w:rPr>
              <w:t>$202,111</w:t>
            </w:r>
          </w:p>
        </w:tc>
      </w:tr>
      <w:tr w:rsidR="002E55A6" w:rsidRPr="002E55A6" w14:paraId="38FE8693" w14:textId="77777777" w:rsidTr="0018623B">
        <w:tc>
          <w:tcPr>
            <w:tcW w:w="7088" w:type="dxa"/>
          </w:tcPr>
          <w:p w14:paraId="56D1E597" w14:textId="321C9DF1" w:rsidR="008151E4" w:rsidRPr="002E55A6" w:rsidRDefault="008151E4" w:rsidP="00E66FEB">
            <w:pPr>
              <w:spacing w:before="60" w:after="60"/>
              <w:rPr>
                <w:sz w:val="22"/>
                <w:szCs w:val="22"/>
              </w:rPr>
            </w:pPr>
            <w:r w:rsidRPr="002E55A6">
              <w:rPr>
                <w:sz w:val="22"/>
                <w:szCs w:val="22"/>
              </w:rPr>
              <w:t>Work Health and Safety Commissioner</w:t>
            </w:r>
          </w:p>
        </w:tc>
        <w:tc>
          <w:tcPr>
            <w:tcW w:w="1984" w:type="dxa"/>
            <w:shd w:val="clear" w:color="auto" w:fill="auto"/>
            <w:vAlign w:val="bottom"/>
          </w:tcPr>
          <w:p w14:paraId="4D61B8E2" w14:textId="1261595A" w:rsidR="008151E4" w:rsidRPr="002E55A6" w:rsidRDefault="008151E4" w:rsidP="00F31978">
            <w:pPr>
              <w:rPr>
                <w:bCs/>
                <w:sz w:val="22"/>
                <w:szCs w:val="22"/>
              </w:rPr>
            </w:pPr>
            <w:r w:rsidRPr="002E55A6">
              <w:rPr>
                <w:sz w:val="22"/>
                <w:szCs w:val="22"/>
              </w:rPr>
              <w:t>$245,543</w:t>
            </w:r>
          </w:p>
        </w:tc>
      </w:tr>
    </w:tbl>
    <w:p w14:paraId="762628C4" w14:textId="3D8E8FA4" w:rsidR="00DC6C6D" w:rsidRPr="002E55A6" w:rsidRDefault="00DC6C6D" w:rsidP="00AE2CF2">
      <w:pPr>
        <w:numPr>
          <w:ilvl w:val="1"/>
          <w:numId w:val="4"/>
        </w:numPr>
        <w:tabs>
          <w:tab w:val="clear" w:pos="720"/>
          <w:tab w:val="num" w:pos="0"/>
        </w:tabs>
        <w:spacing w:before="140" w:after="60"/>
        <w:ind w:left="709" w:hanging="709"/>
      </w:pPr>
      <w:r w:rsidRPr="002E55A6">
        <w:lastRenderedPageBreak/>
        <w:t>A person appointed to an office listed in column 1 of Table 2.1 must not receive the salary mentioned in column 2 if the person is paid a higher salary for that office from another source.</w:t>
      </w:r>
    </w:p>
    <w:p w14:paraId="30F6EE86" w14:textId="2BAE5E81" w:rsidR="00DC6C6D" w:rsidRPr="002E55A6" w:rsidRDefault="00DC6C6D" w:rsidP="00AE2CF2">
      <w:pPr>
        <w:numPr>
          <w:ilvl w:val="1"/>
          <w:numId w:val="4"/>
        </w:numPr>
        <w:tabs>
          <w:tab w:val="clear" w:pos="720"/>
          <w:tab w:val="num" w:pos="0"/>
        </w:tabs>
        <w:spacing w:before="80" w:after="60"/>
        <w:ind w:left="709" w:hanging="709"/>
      </w:pPr>
      <w:r w:rsidRPr="002E55A6">
        <w:t>If a person appointed to an office listed in column 1 of Table 2.1</w:t>
      </w:r>
      <w:r w:rsidR="00CA0D6A" w:rsidRPr="002E55A6">
        <w:t xml:space="preserve"> </w:t>
      </w:r>
      <w:r w:rsidRPr="002E55A6">
        <w:t>is also appointed to another office</w:t>
      </w:r>
      <w:r w:rsidR="00852752" w:rsidRPr="002E55A6">
        <w:t xml:space="preserve"> under ACT legislation</w:t>
      </w:r>
      <w:r w:rsidRPr="002E55A6">
        <w:t>, the person must only receive salary for the office that has the highest remuneration.</w:t>
      </w:r>
    </w:p>
    <w:p w14:paraId="0C296652" w14:textId="77777777" w:rsidR="0069220A" w:rsidRPr="002E55A6" w:rsidRDefault="0069220A" w:rsidP="00031CFC">
      <w:pPr>
        <w:pStyle w:val="Heading3"/>
        <w:keepLines w:val="0"/>
        <w:ind w:left="709" w:hanging="709"/>
        <w:rPr>
          <w:rFonts w:cs="Arial"/>
          <w:szCs w:val="26"/>
        </w:rPr>
      </w:pPr>
      <w:r w:rsidRPr="002E55A6">
        <w:rPr>
          <w:rFonts w:cs="Arial"/>
          <w:szCs w:val="26"/>
        </w:rPr>
        <w:t>Salary packaging</w:t>
      </w:r>
    </w:p>
    <w:p w14:paraId="2B4710E3" w14:textId="70A6357C" w:rsidR="0069220A" w:rsidRPr="002E55A6" w:rsidRDefault="0069220A" w:rsidP="0069220A">
      <w:pPr>
        <w:numPr>
          <w:ilvl w:val="1"/>
          <w:numId w:val="4"/>
        </w:numPr>
        <w:tabs>
          <w:tab w:val="clear" w:pos="720"/>
          <w:tab w:val="num" w:pos="0"/>
        </w:tabs>
        <w:spacing w:before="80" w:after="60"/>
        <w:ind w:left="709" w:hanging="709"/>
      </w:pPr>
      <w:r w:rsidRPr="002E55A6">
        <w:t>A person appointed to an office listed in column 1 of Table 2.1</w:t>
      </w:r>
      <w:r w:rsidR="00CA0D6A" w:rsidRPr="002E55A6">
        <w:t xml:space="preserve"> </w:t>
      </w:r>
      <w:r w:rsidRPr="002E55A6">
        <w:t>may elect to take the remuneration mentioned in column 2 of Table 2.1</w:t>
      </w:r>
      <w:r w:rsidR="000E19B1" w:rsidRPr="002E55A6">
        <w:t xml:space="preserve"> </w:t>
      </w:r>
      <w:r w:rsidRPr="002E55A6">
        <w:t>as:</w:t>
      </w:r>
    </w:p>
    <w:p w14:paraId="605F97AD" w14:textId="77777777" w:rsidR="0069220A" w:rsidRPr="002E55A6" w:rsidRDefault="0069220A" w:rsidP="0069220A">
      <w:pPr>
        <w:numPr>
          <w:ilvl w:val="2"/>
          <w:numId w:val="4"/>
        </w:numPr>
        <w:tabs>
          <w:tab w:val="clear" w:pos="720"/>
        </w:tabs>
        <w:spacing w:after="60"/>
        <w:ind w:left="1134" w:hanging="436"/>
      </w:pPr>
      <w:r w:rsidRPr="002E55A6">
        <w:t xml:space="preserve">salary; or </w:t>
      </w:r>
    </w:p>
    <w:p w14:paraId="4E4A9F10" w14:textId="77777777" w:rsidR="0069220A" w:rsidRPr="002E55A6" w:rsidRDefault="0069220A" w:rsidP="0069220A">
      <w:pPr>
        <w:numPr>
          <w:ilvl w:val="2"/>
          <w:numId w:val="4"/>
        </w:numPr>
        <w:tabs>
          <w:tab w:val="clear" w:pos="720"/>
        </w:tabs>
        <w:spacing w:after="60"/>
        <w:ind w:left="1134" w:hanging="436"/>
      </w:pPr>
      <w:r w:rsidRPr="002E55A6">
        <w:t xml:space="preserve">a combination of salary and other benefits (a </w:t>
      </w:r>
      <w:r w:rsidRPr="002E55A6">
        <w:rPr>
          <w:b/>
          <w:i/>
        </w:rPr>
        <w:t>salary package</w:t>
      </w:r>
      <w:r w:rsidRPr="002E55A6">
        <w:t>).</w:t>
      </w:r>
    </w:p>
    <w:p w14:paraId="1FC51323" w14:textId="77777777" w:rsidR="0069220A" w:rsidRPr="002E55A6" w:rsidRDefault="0069220A" w:rsidP="0069220A">
      <w:pPr>
        <w:keepNext/>
        <w:keepLines/>
        <w:numPr>
          <w:ilvl w:val="1"/>
          <w:numId w:val="4"/>
        </w:numPr>
        <w:tabs>
          <w:tab w:val="clear" w:pos="720"/>
          <w:tab w:val="num" w:pos="0"/>
        </w:tabs>
        <w:spacing w:before="80" w:after="60"/>
        <w:ind w:left="709" w:hanging="709"/>
      </w:pPr>
      <w:r w:rsidRPr="002E55A6">
        <w:t>Salary packaging must be consistent with:</w:t>
      </w:r>
    </w:p>
    <w:p w14:paraId="667BF5E3" w14:textId="77777777" w:rsidR="0069220A" w:rsidRPr="002E55A6" w:rsidRDefault="0069220A" w:rsidP="0069220A">
      <w:pPr>
        <w:numPr>
          <w:ilvl w:val="2"/>
          <w:numId w:val="4"/>
        </w:numPr>
        <w:tabs>
          <w:tab w:val="clear" w:pos="720"/>
        </w:tabs>
        <w:spacing w:after="60"/>
        <w:ind w:left="1134" w:hanging="436"/>
      </w:pPr>
      <w:r w:rsidRPr="002E55A6">
        <w:t>taxation laws and guidelines issued by the Australian Taxation Office; and</w:t>
      </w:r>
    </w:p>
    <w:p w14:paraId="3C94ECF1" w14:textId="77777777" w:rsidR="0069220A" w:rsidRPr="002E55A6" w:rsidRDefault="0069220A" w:rsidP="0069220A">
      <w:pPr>
        <w:numPr>
          <w:ilvl w:val="2"/>
          <w:numId w:val="4"/>
        </w:numPr>
        <w:tabs>
          <w:tab w:val="clear" w:pos="720"/>
        </w:tabs>
        <w:spacing w:after="60"/>
        <w:ind w:left="1134" w:hanging="436"/>
      </w:pPr>
      <w:r w:rsidRPr="002E55A6">
        <w:t xml:space="preserve">any salary packaging policy and/or procedures issued for the ACT Public Service, with up to 100% of the remuneration able to be taken as benefits and related costs such as fringe benefits tax. </w:t>
      </w:r>
    </w:p>
    <w:p w14:paraId="3852AD79" w14:textId="77777777" w:rsidR="0069220A" w:rsidRPr="002E55A6" w:rsidRDefault="0069220A" w:rsidP="0069220A">
      <w:pPr>
        <w:numPr>
          <w:ilvl w:val="1"/>
          <w:numId w:val="4"/>
        </w:numPr>
        <w:tabs>
          <w:tab w:val="clear" w:pos="720"/>
          <w:tab w:val="num" w:pos="0"/>
        </w:tabs>
        <w:spacing w:before="80" w:after="60"/>
        <w:ind w:left="709" w:hanging="709"/>
      </w:pPr>
      <w:r w:rsidRPr="002E55A6">
        <w:t>Salary packaging must be administered without additional cost to the employer and any fringe benefits tax associated with the provision of a benefit must be included in the salary package.</w:t>
      </w:r>
    </w:p>
    <w:p w14:paraId="56D5BF37" w14:textId="77777777" w:rsidR="0069220A" w:rsidRPr="002E55A6" w:rsidRDefault="0069220A" w:rsidP="0069220A">
      <w:pPr>
        <w:numPr>
          <w:ilvl w:val="1"/>
          <w:numId w:val="4"/>
        </w:numPr>
        <w:tabs>
          <w:tab w:val="clear" w:pos="720"/>
          <w:tab w:val="num" w:pos="0"/>
        </w:tabs>
        <w:spacing w:before="80" w:after="60"/>
        <w:ind w:left="709" w:hanging="709"/>
      </w:pPr>
      <w:r w:rsidRPr="002E55A6">
        <w:t>Salary for superannuation purposes is not affected by salary packaging.</w:t>
      </w:r>
    </w:p>
    <w:p w14:paraId="61158D06" w14:textId="77777777" w:rsidR="0069220A" w:rsidRPr="002E55A6" w:rsidRDefault="0069220A" w:rsidP="00031CFC">
      <w:pPr>
        <w:pStyle w:val="Heading3"/>
        <w:keepLines w:val="0"/>
        <w:ind w:left="709" w:hanging="709"/>
        <w:rPr>
          <w:rFonts w:cs="Arial"/>
          <w:szCs w:val="26"/>
        </w:rPr>
      </w:pPr>
      <w:r w:rsidRPr="002E55A6">
        <w:rPr>
          <w:rFonts w:cs="Arial"/>
          <w:szCs w:val="26"/>
        </w:rPr>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2E55A6">
        <w:t xml:space="preserve">A </w:t>
      </w:r>
      <w:r w:rsidR="007E0063" w:rsidRPr="002E55A6">
        <w:t>person appointed to an office</w:t>
      </w:r>
      <w:r w:rsidR="00FB06AE" w:rsidRPr="002E55A6">
        <w:t xml:space="preserve"> listed</w:t>
      </w:r>
      <w:r w:rsidR="007E0063" w:rsidRPr="002E55A6">
        <w:t xml:space="preserve"> in clause 2.1 of this Determination </w:t>
      </w:r>
      <w:r w:rsidR="0069220A" w:rsidRPr="002E55A6">
        <w:t xml:space="preserve">is entitled to either the employer provided benefits mentioned </w:t>
      </w:r>
      <w:r w:rsidR="007E0063" w:rsidRPr="002E55A6">
        <w:t>below</w:t>
      </w:r>
      <w:r w:rsidR="0069220A" w:rsidRPr="002E55A6">
        <w:t xml:space="preserve"> or the relevant cash payment in lieu of the benefit mentioned </w:t>
      </w:r>
      <w:r w:rsidR="007E0063" w:rsidRPr="002E55A6">
        <w:t>below</w:t>
      </w:r>
      <w:r w:rsidR="0069220A" w:rsidRPr="002E55A6">
        <w:t>.</w:t>
      </w:r>
    </w:p>
    <w:p w14:paraId="2F6A4054" w14:textId="4A9070CD"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7F88642D" w14:textId="35069BE4"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0415E5C" w14:textId="77777777" w:rsidR="00570E42" w:rsidRPr="002E55A6" w:rsidRDefault="00570E42" w:rsidP="00570E42">
      <w:pPr>
        <w:pStyle w:val="Heading3"/>
        <w:keepLines w:val="0"/>
        <w:ind w:left="709" w:hanging="709"/>
        <w:rPr>
          <w:rFonts w:cs="Arial"/>
          <w:szCs w:val="26"/>
        </w:rPr>
      </w:pPr>
      <w:r w:rsidRPr="002E55A6">
        <w:rPr>
          <w:rFonts w:cs="Arial"/>
          <w:szCs w:val="26"/>
        </w:rPr>
        <w:t>Vehicle</w:t>
      </w:r>
    </w:p>
    <w:p w14:paraId="360D7159" w14:textId="77777777" w:rsidR="00AF6998" w:rsidRPr="002E55A6" w:rsidRDefault="00AF6998" w:rsidP="00AF6998">
      <w:pPr>
        <w:numPr>
          <w:ilvl w:val="1"/>
          <w:numId w:val="4"/>
        </w:numPr>
        <w:spacing w:before="80" w:after="60" w:line="259" w:lineRule="auto"/>
      </w:pPr>
      <w:r w:rsidRPr="002E55A6">
        <w:t xml:space="preserve">A person appointed to an office 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2E55A6">
        <w:rPr>
          <w:i/>
        </w:rPr>
        <w:t xml:space="preserve">Public Sector Management Standards 2016 </w:t>
      </w:r>
      <w:r w:rsidRPr="002E55A6">
        <w:t>and the</w:t>
      </w:r>
      <w:r w:rsidRPr="002E55A6">
        <w:rPr>
          <w:i/>
        </w:rPr>
        <w:t xml:space="preserve"> Guidelines for the Management and Use of Executive Vehicles</w:t>
      </w:r>
      <w:r w:rsidRPr="002E55A6">
        <w:t>.</w:t>
      </w:r>
    </w:p>
    <w:p w14:paraId="7610DE60" w14:textId="77777777" w:rsidR="0069220A" w:rsidRPr="002E55A6" w:rsidRDefault="0069220A" w:rsidP="00031CFC">
      <w:pPr>
        <w:pStyle w:val="Heading3"/>
        <w:keepLines w:val="0"/>
        <w:ind w:left="709" w:hanging="709"/>
        <w:rPr>
          <w:rFonts w:cs="Arial"/>
          <w:szCs w:val="26"/>
        </w:rPr>
      </w:pPr>
      <w:r w:rsidRPr="002E55A6">
        <w:rPr>
          <w:rFonts w:cs="Arial"/>
          <w:szCs w:val="26"/>
        </w:rPr>
        <w:lastRenderedPageBreak/>
        <w:t>Employer’s superannuation contribution</w:t>
      </w:r>
    </w:p>
    <w:p w14:paraId="002FF90C" w14:textId="7516AA80" w:rsidR="0069220A" w:rsidRPr="002E55A6" w:rsidRDefault="0069220A" w:rsidP="0069220A">
      <w:pPr>
        <w:numPr>
          <w:ilvl w:val="1"/>
          <w:numId w:val="4"/>
        </w:numPr>
        <w:tabs>
          <w:tab w:val="clear" w:pos="720"/>
        </w:tabs>
        <w:spacing w:before="80" w:after="60"/>
        <w:ind w:left="709" w:hanging="709"/>
        <w:rPr>
          <w:szCs w:val="24"/>
          <w:lang w:val="en-US"/>
        </w:rPr>
      </w:pPr>
      <w:r w:rsidRPr="002E55A6">
        <w:rPr>
          <w:szCs w:val="24"/>
        </w:rPr>
        <w:t xml:space="preserve">A </w:t>
      </w:r>
      <w:r w:rsidR="00042DBD" w:rsidRPr="002E55A6">
        <w:rPr>
          <w:szCs w:val="24"/>
        </w:rPr>
        <w:t xml:space="preserve">person, appointed to an office in clause 2.1 of this Determination, </w:t>
      </w:r>
      <w:r w:rsidRPr="002E55A6">
        <w:rPr>
          <w:szCs w:val="24"/>
        </w:rPr>
        <w:t xml:space="preserve">is only eligible for the employer’s superannuation contribution </w:t>
      </w:r>
      <w:r w:rsidRPr="002E55A6">
        <w:rPr>
          <w:szCs w:val="24"/>
          <w:lang w:val="en-US"/>
        </w:rPr>
        <w:t xml:space="preserve">if their </w:t>
      </w:r>
      <w:r w:rsidRPr="002E55A6">
        <w:rPr>
          <w:szCs w:val="24"/>
        </w:rPr>
        <w:t>superannuation</w:t>
      </w:r>
      <w:r w:rsidRPr="002E55A6">
        <w:rPr>
          <w:szCs w:val="24"/>
          <w:lang w:val="en-US"/>
        </w:rPr>
        <w:t xml:space="preserve"> entitlements are not provided elsewhere.  </w:t>
      </w:r>
    </w:p>
    <w:p w14:paraId="762C75DF" w14:textId="6276AE69" w:rsidR="0069220A" w:rsidRPr="002E55A6" w:rsidRDefault="001B199D" w:rsidP="0069220A">
      <w:pPr>
        <w:numPr>
          <w:ilvl w:val="1"/>
          <w:numId w:val="4"/>
        </w:numPr>
        <w:tabs>
          <w:tab w:val="clear" w:pos="720"/>
          <w:tab w:val="num" w:pos="0"/>
        </w:tabs>
        <w:spacing w:before="80" w:after="60"/>
        <w:ind w:left="709" w:hanging="709"/>
      </w:pPr>
      <w:r w:rsidRPr="002E55A6">
        <w:t>For a person, appointed to an office</w:t>
      </w:r>
      <w:r w:rsidR="009F7359" w:rsidRPr="002E55A6">
        <w:t xml:space="preserve"> listed</w:t>
      </w:r>
      <w:r w:rsidRPr="002E55A6">
        <w:t xml:space="preserve"> in clause 2.1 of this Determination, </w:t>
      </w:r>
      <w:r w:rsidR="0069220A" w:rsidRPr="002E55A6">
        <w:t xml:space="preserve">who is a member of the </w:t>
      </w:r>
      <w:r w:rsidRPr="002E55A6">
        <w:t>Commonwealth Superannuation Scheme (CSS) or Public Sector Superannuation (PSS) Scheme:</w:t>
      </w:r>
    </w:p>
    <w:p w14:paraId="22B2F283" w14:textId="77777777" w:rsidR="001B199D" w:rsidRPr="002E55A6" w:rsidRDefault="001B199D" w:rsidP="001B199D">
      <w:pPr>
        <w:numPr>
          <w:ilvl w:val="2"/>
          <w:numId w:val="4"/>
        </w:numPr>
        <w:tabs>
          <w:tab w:val="clear" w:pos="720"/>
        </w:tabs>
        <w:spacing w:before="120" w:after="60"/>
        <w:ind w:left="1134" w:hanging="436"/>
      </w:pPr>
      <w:r w:rsidRPr="002E55A6">
        <w:t>the person’s annual rate of remuneration for the purposes of the scheme is the base remuneration as provided in clause 2.1 of this Determination; and</w:t>
      </w:r>
    </w:p>
    <w:p w14:paraId="460E40DD" w14:textId="77777777" w:rsidR="001B199D" w:rsidRPr="002E55A6" w:rsidRDefault="001B199D" w:rsidP="001B199D">
      <w:pPr>
        <w:numPr>
          <w:ilvl w:val="2"/>
          <w:numId w:val="4"/>
        </w:numPr>
        <w:tabs>
          <w:tab w:val="clear" w:pos="720"/>
        </w:tabs>
        <w:spacing w:before="120" w:after="60"/>
        <w:ind w:left="1134" w:hanging="436"/>
      </w:pPr>
      <w:r w:rsidRPr="002E55A6">
        <w:t>the value attributed to the employer’s superannuation contribution is taken to be a notional 16% of the person’s base remuneration.</w:t>
      </w:r>
    </w:p>
    <w:p w14:paraId="6BE443CC" w14:textId="19F864CC" w:rsidR="0069220A" w:rsidRPr="002E55A6" w:rsidRDefault="001B199D" w:rsidP="001B199D">
      <w:pPr>
        <w:keepNext/>
        <w:keepLines/>
        <w:numPr>
          <w:ilvl w:val="1"/>
          <w:numId w:val="4"/>
        </w:numPr>
        <w:tabs>
          <w:tab w:val="clear" w:pos="720"/>
          <w:tab w:val="num" w:pos="0"/>
        </w:tabs>
        <w:spacing w:before="80" w:after="60"/>
        <w:ind w:left="709" w:hanging="709"/>
      </w:pPr>
      <w:r w:rsidRPr="002E55A6">
        <w:t xml:space="preserve">For a person, appointed to an office in clause 2.1 of this Determination, </w:t>
      </w:r>
      <w:r w:rsidR="0069220A" w:rsidRPr="002E55A6">
        <w:t xml:space="preserve">who is not </w:t>
      </w:r>
      <w:r w:rsidRPr="002E55A6">
        <w:t xml:space="preserve">currently </w:t>
      </w:r>
      <w:r w:rsidR="0069220A" w:rsidRPr="002E55A6">
        <w:t xml:space="preserve">a member of the CSS or PSS </w:t>
      </w:r>
      <w:r w:rsidRPr="002E55A6">
        <w:t xml:space="preserve">but </w:t>
      </w:r>
      <w:r w:rsidR="0069220A" w:rsidRPr="002E55A6">
        <w:t xml:space="preserve">was </w:t>
      </w:r>
      <w:r w:rsidRPr="002E55A6">
        <w:t xml:space="preserve">a member of the PSS Accumulation Plan (PSSap) until it closed to </w:t>
      </w:r>
      <w:r w:rsidR="0069220A" w:rsidRPr="002E55A6">
        <w:t xml:space="preserve">the Territory </w:t>
      </w:r>
      <w:r w:rsidRPr="002E55A6">
        <w:t xml:space="preserve">on </w:t>
      </w:r>
      <w:r w:rsidR="0069220A" w:rsidRPr="002E55A6">
        <w:t xml:space="preserve">30 June 2006, and </w:t>
      </w:r>
      <w:r w:rsidRPr="002E55A6">
        <w:t xml:space="preserve">has </w:t>
      </w:r>
      <w:r w:rsidR="0069220A" w:rsidRPr="002E55A6">
        <w:t>maintained continuous employment with the Territory</w:t>
      </w:r>
      <w:r w:rsidRPr="002E55A6">
        <w:rPr>
          <w:rFonts w:eastAsia="Calibri"/>
          <w:szCs w:val="24"/>
        </w:rPr>
        <w:t>:</w:t>
      </w:r>
    </w:p>
    <w:p w14:paraId="2F09D36F" w14:textId="693FAEA3" w:rsidR="0069220A" w:rsidRPr="002E55A6" w:rsidRDefault="0069220A" w:rsidP="0069220A">
      <w:pPr>
        <w:numPr>
          <w:ilvl w:val="2"/>
          <w:numId w:val="4"/>
        </w:numPr>
        <w:tabs>
          <w:tab w:val="clear" w:pos="720"/>
        </w:tabs>
        <w:spacing w:after="60"/>
        <w:ind w:left="1134" w:hanging="436"/>
      </w:pPr>
      <w:r w:rsidRPr="002E55A6">
        <w:t xml:space="preserve">the value of the employer’s superannuation contribution is </w:t>
      </w:r>
      <w:r w:rsidR="001B199D" w:rsidRPr="002E55A6">
        <w:t xml:space="preserve">a notional </w:t>
      </w:r>
      <w:r w:rsidRPr="002E55A6">
        <w:t xml:space="preserve">16% of the </w:t>
      </w:r>
      <w:r w:rsidR="001B199D" w:rsidRPr="002E55A6">
        <w:t xml:space="preserve">base </w:t>
      </w:r>
      <w:r w:rsidRPr="002E55A6">
        <w:t xml:space="preserve">remuneration </w:t>
      </w:r>
      <w:r w:rsidR="001B199D" w:rsidRPr="002E55A6">
        <w:t>as provided in clause 2.1 of this Determination</w:t>
      </w:r>
      <w:r w:rsidRPr="002E55A6">
        <w:t>; and</w:t>
      </w:r>
    </w:p>
    <w:p w14:paraId="27011993" w14:textId="785872EB" w:rsidR="0069220A" w:rsidRPr="002E55A6" w:rsidRDefault="0069220A" w:rsidP="0069220A">
      <w:pPr>
        <w:numPr>
          <w:ilvl w:val="2"/>
          <w:numId w:val="4"/>
        </w:numPr>
        <w:tabs>
          <w:tab w:val="clear" w:pos="720"/>
        </w:tabs>
        <w:spacing w:after="60"/>
        <w:ind w:left="1134" w:hanging="436"/>
      </w:pPr>
      <w:r w:rsidRPr="002E55A6">
        <w:t xml:space="preserve">the employer will contribute </w:t>
      </w:r>
      <w:r w:rsidR="001B199D" w:rsidRPr="002E55A6">
        <w:t xml:space="preserve">that </w:t>
      </w:r>
      <w:r w:rsidRPr="002E55A6">
        <w:t xml:space="preserve">amount to </w:t>
      </w:r>
      <w:r w:rsidR="001B199D" w:rsidRPr="002E55A6">
        <w:t>an agreed superannuation fund nominated by the person appointed to an office in clause 2.1 of this Determination</w:t>
      </w:r>
      <w:r w:rsidRPr="002E55A6">
        <w:t>.</w:t>
      </w:r>
    </w:p>
    <w:p w14:paraId="703EE47B" w14:textId="700853C7" w:rsidR="001B199D" w:rsidRPr="002E55A6" w:rsidRDefault="001B199D" w:rsidP="001B199D">
      <w:pPr>
        <w:numPr>
          <w:ilvl w:val="1"/>
          <w:numId w:val="4"/>
        </w:numPr>
        <w:tabs>
          <w:tab w:val="clear" w:pos="720"/>
          <w:tab w:val="num" w:pos="0"/>
        </w:tabs>
        <w:spacing w:before="120" w:after="60"/>
        <w:ind w:left="709" w:hanging="709"/>
      </w:pPr>
      <w:r w:rsidRPr="002E55A6">
        <w:t xml:space="preserve">For a person, appointed to an office in clause 2.1 of this Determination, who is a member of any other superannuation fund, the employer’s superannuation contribution is to be made at a rate </w:t>
      </w:r>
      <w:r w:rsidR="003D404C">
        <w:t xml:space="preserve">equivalent to </w:t>
      </w:r>
      <w:r w:rsidRPr="002E55A6">
        <w:t xml:space="preserve"> the Employer Superannuation Guarantee Charge Percentage as provided by the </w:t>
      </w:r>
      <w:r w:rsidRPr="002E55A6">
        <w:rPr>
          <w:i/>
        </w:rPr>
        <w:t>Superannuation Guarantee (Administration) Act 1992</w:t>
      </w:r>
      <w:r w:rsidR="003A57A2" w:rsidRPr="002E55A6">
        <w:t xml:space="preserve"> (which at the commencement of this Determination is 9.5%)</w:t>
      </w:r>
      <w:r w:rsidRPr="002E55A6">
        <w:t>.</w:t>
      </w:r>
    </w:p>
    <w:p w14:paraId="37D038D9" w14:textId="77777777" w:rsidR="001B199D" w:rsidRPr="002E55A6" w:rsidRDefault="001B199D" w:rsidP="001B199D">
      <w:pPr>
        <w:numPr>
          <w:ilvl w:val="1"/>
          <w:numId w:val="4"/>
        </w:numPr>
        <w:tabs>
          <w:tab w:val="clear" w:pos="720"/>
          <w:tab w:val="num" w:pos="0"/>
        </w:tabs>
        <w:spacing w:before="80" w:after="60"/>
        <w:ind w:left="709" w:hanging="709"/>
      </w:pPr>
      <w:r w:rsidRPr="002E55A6">
        <w:rPr>
          <w:szCs w:val="24"/>
        </w:rPr>
        <w:t>A person, appointed to an office in clause 2.1 of this Determination</w:t>
      </w:r>
      <w:r w:rsidRPr="002E55A6">
        <w:t>, is entitled to the enhanced employer contribution superannuation arrangements that apply to an SES member in the ACT public sector under associated arrangements.</w:t>
      </w:r>
    </w:p>
    <w:p w14:paraId="3FC9FDFD" w14:textId="725009F2" w:rsidR="009F7359" w:rsidRPr="002E55A6" w:rsidRDefault="003A57A2" w:rsidP="009F7359">
      <w:pPr>
        <w:numPr>
          <w:ilvl w:val="1"/>
          <w:numId w:val="4"/>
        </w:numPr>
        <w:tabs>
          <w:tab w:val="clear" w:pos="720"/>
          <w:tab w:val="num" w:pos="0"/>
        </w:tabs>
        <w:spacing w:before="120" w:after="60"/>
        <w:ind w:left="709" w:hanging="709"/>
      </w:pPr>
      <w:r w:rsidRPr="002E55A6">
        <w:t>The employer provides an additional employer superannuation contribution.</w:t>
      </w:r>
      <w:r w:rsidR="009F7359" w:rsidRPr="002E55A6">
        <w:t xml:space="preserve"> The </w:t>
      </w:r>
      <w:r w:rsidR="00844AC8" w:rsidRPr="002E55A6">
        <w:t xml:space="preserve">additional </w:t>
      </w:r>
      <w:r w:rsidR="009F7359" w:rsidRPr="002E55A6">
        <w:t xml:space="preserve">employer superannuation contribution </w:t>
      </w:r>
      <w:r w:rsidRPr="002E55A6">
        <w:t xml:space="preserve">is the same rate provided under </w:t>
      </w:r>
      <w:r w:rsidR="00657808">
        <w:t>clause</w:t>
      </w:r>
      <w:r w:rsidR="00657808" w:rsidRPr="002E55A6">
        <w:t xml:space="preserve"> </w:t>
      </w:r>
      <w:r w:rsidRPr="002E55A6">
        <w:t>D7</w:t>
      </w:r>
      <w:r w:rsidR="009F7359" w:rsidRPr="002E55A6">
        <w:t xml:space="preserve"> </w:t>
      </w:r>
      <w:r w:rsidRPr="002E55A6">
        <w:t>of</w:t>
      </w:r>
      <w:r w:rsidR="009F7359" w:rsidRPr="002E55A6">
        <w:t xml:space="preserve"> the ACT Public Sector Administrative and Related Classifications Enterprise Agreement 2018-2021</w:t>
      </w:r>
      <w:r w:rsidRPr="002E55A6">
        <w:t>, as follows:</w:t>
      </w:r>
    </w:p>
    <w:p w14:paraId="36492DE3" w14:textId="4CF9BBF8" w:rsidR="003A57A2" w:rsidRPr="002E55A6" w:rsidRDefault="003A57A2" w:rsidP="00D24ABC">
      <w:pPr>
        <w:tabs>
          <w:tab w:val="num" w:pos="0"/>
          <w:tab w:val="left" w:pos="1134"/>
        </w:tabs>
        <w:spacing w:before="120" w:after="60"/>
        <w:ind w:left="709"/>
      </w:pPr>
      <w:r w:rsidRPr="002E55A6">
        <w:t>(a)</w:t>
      </w:r>
      <w:r w:rsidRPr="002E55A6">
        <w:tab/>
        <w:t>From 1 July 2019: 1.50%.</w:t>
      </w:r>
    </w:p>
    <w:p w14:paraId="5872B628" w14:textId="78742B57" w:rsidR="003A57A2" w:rsidRPr="002E55A6" w:rsidRDefault="003A57A2" w:rsidP="003A57A2">
      <w:pPr>
        <w:tabs>
          <w:tab w:val="left" w:pos="1134"/>
        </w:tabs>
        <w:spacing w:before="120" w:after="60"/>
        <w:ind w:left="709"/>
      </w:pPr>
      <w:r w:rsidRPr="002E55A6">
        <w:t>(b)</w:t>
      </w:r>
      <w:r w:rsidRPr="002E55A6">
        <w:tab/>
        <w:t>From 1 July 2020: 2%.</w:t>
      </w:r>
    </w:p>
    <w:p w14:paraId="073F1AA1" w14:textId="5C56649E" w:rsidR="001B199D" w:rsidRPr="002E55A6" w:rsidRDefault="001B199D" w:rsidP="001B199D">
      <w:pPr>
        <w:numPr>
          <w:ilvl w:val="1"/>
          <w:numId w:val="4"/>
        </w:numPr>
        <w:spacing w:before="80" w:after="60"/>
      </w:pPr>
      <w:r w:rsidRPr="002E55A6">
        <w:rPr>
          <w:szCs w:val="24"/>
        </w:rPr>
        <w:t>A person, appointed to an office</w:t>
      </w:r>
      <w:r w:rsidR="009F7359" w:rsidRPr="002E55A6">
        <w:rPr>
          <w:szCs w:val="24"/>
        </w:rPr>
        <w:t xml:space="preserve"> listed</w:t>
      </w:r>
      <w:r w:rsidRPr="002E55A6">
        <w:rPr>
          <w:szCs w:val="24"/>
        </w:rPr>
        <w:t xml:space="preserve"> in clause 2.1 of this Determination, </w:t>
      </w:r>
      <w:r w:rsidRPr="002E55A6">
        <w:t xml:space="preserve">is entitled to the same superannuation entitlements as an SES member under the </w:t>
      </w:r>
      <w:r w:rsidRPr="002E55A6">
        <w:rPr>
          <w:i/>
        </w:rPr>
        <w:t>Public Sector Management Standards</w:t>
      </w:r>
      <w:r w:rsidRPr="002E55A6">
        <w:t xml:space="preserve">. </w:t>
      </w:r>
    </w:p>
    <w:p w14:paraId="1AED50C2" w14:textId="086AAE00" w:rsidR="0069220A" w:rsidRPr="002E55A6" w:rsidRDefault="0069220A" w:rsidP="0069220A">
      <w:pPr>
        <w:numPr>
          <w:ilvl w:val="1"/>
          <w:numId w:val="4"/>
        </w:numPr>
        <w:tabs>
          <w:tab w:val="clear" w:pos="720"/>
          <w:tab w:val="num" w:pos="0"/>
        </w:tabs>
        <w:spacing w:before="80" w:after="60"/>
        <w:ind w:left="709" w:hanging="709"/>
      </w:pPr>
      <w:r w:rsidRPr="002E55A6">
        <w:t>The</w:t>
      </w:r>
      <w:r w:rsidRPr="002E55A6">
        <w:rPr>
          <w:lang w:val="en-US"/>
        </w:rPr>
        <w:t xml:space="preserve"> </w:t>
      </w:r>
      <w:r w:rsidRPr="002E55A6">
        <w:t xml:space="preserve">value of the employer’s superannuation contribution must not be paid in cash to a </w:t>
      </w:r>
      <w:r w:rsidR="001B199D" w:rsidRPr="002E55A6">
        <w:t>person appointed to an office</w:t>
      </w:r>
      <w:r w:rsidR="009F7359" w:rsidRPr="002E55A6">
        <w:t xml:space="preserve"> listed</w:t>
      </w:r>
      <w:r w:rsidR="001B199D" w:rsidRPr="002E55A6">
        <w:t xml:space="preserve"> in clause 2.1 of this Determination</w:t>
      </w:r>
      <w:r w:rsidRPr="002E55A6">
        <w:t>.</w:t>
      </w:r>
    </w:p>
    <w:p w14:paraId="7C90EE64" w14:textId="77777777" w:rsidR="004B3191" w:rsidRPr="002E55A6" w:rsidRDefault="004B3191" w:rsidP="00362495">
      <w:pPr>
        <w:pStyle w:val="Heading3"/>
        <w:keepLines w:val="0"/>
        <w:ind w:left="709" w:hanging="709"/>
      </w:pPr>
      <w:r w:rsidRPr="002E55A6">
        <w:rPr>
          <w:rFonts w:cs="Arial"/>
          <w:szCs w:val="26"/>
        </w:rPr>
        <w:lastRenderedPageBreak/>
        <w:t>Fringe</w:t>
      </w:r>
      <w:r w:rsidRPr="002E55A6">
        <w:t xml:space="preserve"> benefit tax – vehicle </w:t>
      </w:r>
    </w:p>
    <w:p w14:paraId="5F166CC2" w14:textId="36F1C1AB" w:rsidR="004B3191" w:rsidRPr="002E55A6" w:rsidRDefault="004B3191" w:rsidP="004B3191">
      <w:pPr>
        <w:numPr>
          <w:ilvl w:val="1"/>
          <w:numId w:val="25"/>
        </w:numPr>
        <w:spacing w:before="80" w:after="60"/>
      </w:pPr>
      <w:r w:rsidRPr="002E55A6">
        <w:t xml:space="preserve">The employer incurs fringe benefits tax liabilities for vehicles provided to their employees.  Fringe benefits tax is determined and calculated under the Fringe Benefits Tax Assessment Act 1986.  For the purposes of this section, the fringe benefits tax year commences 1 April </w:t>
      </w:r>
      <w:r w:rsidR="003A57A2" w:rsidRPr="002E55A6">
        <w:t>of a year to</w:t>
      </w:r>
      <w:r w:rsidRPr="002E55A6">
        <w:t xml:space="preserve"> 31 March</w:t>
      </w:r>
      <w:r w:rsidR="003A57A2" w:rsidRPr="002E55A6">
        <w:t xml:space="preserve"> of the following year</w:t>
      </w:r>
      <w:r w:rsidRPr="002E55A6">
        <w:t xml:space="preserve">.             </w:t>
      </w:r>
    </w:p>
    <w:p w14:paraId="7A57472F" w14:textId="231ECFB4" w:rsidR="004B3191" w:rsidRPr="002E55A6" w:rsidRDefault="004B3191" w:rsidP="004B3191">
      <w:pPr>
        <w:numPr>
          <w:ilvl w:val="1"/>
          <w:numId w:val="25"/>
        </w:numPr>
        <w:spacing w:before="80" w:after="60"/>
      </w:pPr>
      <w:r w:rsidRPr="002E55A6">
        <w:t xml:space="preserve">During the fringe benefits tax year, where the </w:t>
      </w:r>
      <w:r w:rsidR="00C053A5" w:rsidRPr="002E55A6">
        <w:t xml:space="preserve">office holder </w:t>
      </w:r>
      <w:r w:rsidRPr="002E55A6">
        <w:t xml:space="preserve">elects to receive an employer-provided vehicle instead of a payment, if the employer’s liability in relation </w:t>
      </w:r>
      <w:r w:rsidR="00C053A5" w:rsidRPr="002E55A6">
        <w:t>to the office holder</w:t>
      </w:r>
      <w:r w:rsidRPr="002E55A6">
        <w:t xml:space="preserve">’s vehicle provided by the employer for the fringe benefits tax year is less than $7,500, the difference is payable to the </w:t>
      </w:r>
      <w:r w:rsidR="00C053A5" w:rsidRPr="002E55A6">
        <w:t>office holder</w:t>
      </w:r>
      <w:r w:rsidRPr="002E55A6">
        <w:t xml:space="preserve"> as an allowance at the end of the fringe benefits tax year. </w:t>
      </w:r>
    </w:p>
    <w:p w14:paraId="0152C7D2" w14:textId="769EEE22" w:rsidR="004B3191" w:rsidRPr="002E55A6" w:rsidRDefault="004B3191" w:rsidP="004B3191">
      <w:pPr>
        <w:numPr>
          <w:ilvl w:val="1"/>
          <w:numId w:val="25"/>
        </w:numPr>
        <w:spacing w:before="80" w:after="60"/>
      </w:pPr>
      <w:r w:rsidRPr="002E55A6">
        <w:t xml:space="preserve">To avoid doubt, if the assessed liability for fringe benefits tax exceeds the $7,500 threshold, the </w:t>
      </w:r>
      <w:r w:rsidR="00C053A5" w:rsidRPr="002E55A6">
        <w:t>office holder</w:t>
      </w:r>
      <w:r w:rsidRPr="002E55A6">
        <w:t xml:space="preserve"> will not be required to pay any component in excess of the $7,500.  </w:t>
      </w:r>
    </w:p>
    <w:p w14:paraId="23DBB8CF" w14:textId="2ED1CE03" w:rsidR="00F07BE6" w:rsidRPr="002E55A6" w:rsidRDefault="00F07BE6" w:rsidP="00F07BE6">
      <w:pPr>
        <w:numPr>
          <w:ilvl w:val="1"/>
          <w:numId w:val="25"/>
        </w:numPr>
        <w:spacing w:before="80" w:after="60"/>
      </w:pPr>
      <w:r w:rsidRPr="002E55A6">
        <w:t xml:space="preserve">During the fringe benefits tax year, where the </w:t>
      </w:r>
      <w:r w:rsidR="00C053A5" w:rsidRPr="002E55A6">
        <w:t>office holder</w:t>
      </w:r>
      <w:r w:rsidRPr="002E55A6">
        <w:t xml:space="preserve"> elects to receive a payment instead of an employer provided vehicle, the amount of $7,500 per annum is paid as an allowance to the </w:t>
      </w:r>
      <w:r w:rsidR="00C053A5" w:rsidRPr="002E55A6">
        <w:t>office holder</w:t>
      </w:r>
      <w:r w:rsidRPr="002E55A6">
        <w:t xml:space="preserve"> on a fortnightly basis. </w:t>
      </w:r>
    </w:p>
    <w:p w14:paraId="7CC16F67" w14:textId="7A88A9FE" w:rsidR="00F07BE6" w:rsidRPr="002E55A6" w:rsidRDefault="00F07BE6" w:rsidP="00F07BE6">
      <w:pPr>
        <w:numPr>
          <w:ilvl w:val="1"/>
          <w:numId w:val="25"/>
        </w:numPr>
        <w:spacing w:before="80" w:after="60"/>
      </w:pPr>
      <w:r w:rsidRPr="002E55A6">
        <w:t xml:space="preserve">The fringe benefits tax allowance of $7,500 under clause 7.4 is reduced proportionally where the </w:t>
      </w:r>
      <w:r w:rsidR="00C053A5" w:rsidRPr="002E55A6">
        <w:t>officer holder</w:t>
      </w:r>
      <w:r w:rsidRPr="002E55A6">
        <w:t xml:space="preserve"> is engaged for less than a full fringe benefits tax year.</w:t>
      </w:r>
    </w:p>
    <w:p w14:paraId="0B4F6899" w14:textId="6D0D1FFF" w:rsidR="0069220A" w:rsidRPr="002E55A6" w:rsidRDefault="0069220A" w:rsidP="00031CFC">
      <w:pPr>
        <w:pStyle w:val="Heading3"/>
        <w:keepLines w:val="0"/>
        <w:ind w:left="709" w:hanging="709"/>
        <w:rPr>
          <w:rFonts w:cs="Arial"/>
          <w:szCs w:val="26"/>
        </w:rPr>
      </w:pPr>
      <w:r w:rsidRPr="002E55A6">
        <w:rPr>
          <w:rFonts w:cs="Arial"/>
          <w:szCs w:val="26"/>
        </w:rPr>
        <w:t>Relocation allowance</w:t>
      </w:r>
      <w:r w:rsidR="008B31E7" w:rsidRPr="002E55A6">
        <w:rPr>
          <w:rFonts w:cs="Arial"/>
          <w:szCs w:val="26"/>
        </w:rPr>
        <w:t xml:space="preserve"> </w:t>
      </w:r>
    </w:p>
    <w:p w14:paraId="229EABF2" w14:textId="77777777" w:rsidR="0018623B" w:rsidRPr="002E55A6" w:rsidRDefault="0018623B" w:rsidP="0018623B">
      <w:pPr>
        <w:keepNext/>
        <w:keepLines/>
        <w:numPr>
          <w:ilvl w:val="1"/>
          <w:numId w:val="4"/>
        </w:numPr>
        <w:tabs>
          <w:tab w:val="clear" w:pos="720"/>
          <w:tab w:val="num" w:pos="0"/>
        </w:tabs>
        <w:spacing w:before="80" w:after="60"/>
        <w:ind w:left="709" w:hanging="709"/>
        <w:jc w:val="both"/>
        <w:rPr>
          <w:szCs w:val="24"/>
        </w:rPr>
      </w:pPr>
      <w:r w:rsidRPr="002E55A6">
        <w:rPr>
          <w:szCs w:val="24"/>
        </w:rPr>
        <w:t xml:space="preserve">In this clause, </w:t>
      </w:r>
      <w:r w:rsidRPr="002E55A6">
        <w:rPr>
          <w:b/>
          <w:i/>
          <w:szCs w:val="24"/>
        </w:rPr>
        <w:t>ACT</w:t>
      </w:r>
      <w:r w:rsidRPr="002E55A6">
        <w:rPr>
          <w:szCs w:val="24"/>
        </w:rPr>
        <w:t xml:space="preserve"> means the Australian Capital Territory and its surrounding district, including Queanbeyan.</w:t>
      </w:r>
    </w:p>
    <w:p w14:paraId="3C371DBC" w14:textId="5ADE71D2"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 xml:space="preserve">Relocation allowance is provided to assist an individual with the costs to relocate from their home location to the ACT in order to take up </w:t>
      </w:r>
      <w:r w:rsidR="002E55A6">
        <w:rPr>
          <w:szCs w:val="24"/>
        </w:rPr>
        <w:t>an</w:t>
      </w:r>
      <w:r w:rsidR="002E55A6" w:rsidRPr="002E55A6">
        <w:rPr>
          <w:szCs w:val="24"/>
        </w:rPr>
        <w:t xml:space="preserve"> </w:t>
      </w:r>
      <w:r w:rsidR="002E55A6">
        <w:rPr>
          <w:szCs w:val="24"/>
        </w:rPr>
        <w:t>appointment as a statutory officer holder</w:t>
      </w:r>
      <w:r w:rsidRPr="002E55A6">
        <w:rPr>
          <w:szCs w:val="24"/>
        </w:rPr>
        <w:t xml:space="preserve">.  </w:t>
      </w:r>
    </w:p>
    <w:p w14:paraId="297C7F54" w14:textId="3C639764"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person appointed to an office</w:t>
      </w:r>
      <w:r w:rsidR="00FE1DDA" w:rsidRPr="002E55A6">
        <w:rPr>
          <w:szCs w:val="24"/>
        </w:rPr>
        <w:t xml:space="preserve"> listed</w:t>
      </w:r>
      <w:r w:rsidRPr="002E55A6">
        <w:rPr>
          <w:szCs w:val="24"/>
        </w:rPr>
        <w:t xml:space="preserve"> in clause 2.1 may be reimbursed an amount of up to $55,000, for receipted, reasonable costs of the following:</w:t>
      </w:r>
    </w:p>
    <w:p w14:paraId="282D7EA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packing personal effects and furniture belonging to the person and their family;</w:t>
      </w:r>
    </w:p>
    <w:p w14:paraId="74617F6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necessary storage of personal effects and furniture;</w:t>
      </w:r>
    </w:p>
    <w:p w14:paraId="5B624480"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removal costs and associated insurance of personal effects and furniture;</w:t>
      </w:r>
    </w:p>
    <w:p w14:paraId="63EABC7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unpacking of personal effects and furniture;</w:t>
      </w:r>
    </w:p>
    <w:p w14:paraId="3F4DE70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travel, accommodation and meals between the former location and the ACT;</w:t>
      </w:r>
    </w:p>
    <w:p w14:paraId="2AA47BF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disconnection and reconnection of utilities;</w:t>
      </w:r>
    </w:p>
    <w:p w14:paraId="1060C17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subject to the specific approval of the Tribunal, any other reasonable expenses necessarily incurred in relocating to the ACT.</w:t>
      </w:r>
    </w:p>
    <w:p w14:paraId="4A22B40E" w14:textId="7777777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Tribunal may decide to reimburse a higher amount of allowance if the Tribunal agrees</w:t>
      </w:r>
      <w:r w:rsidRPr="002E55A6">
        <w:rPr>
          <w:rFonts w:eastAsia="Calibri"/>
          <w:szCs w:val="24"/>
        </w:rPr>
        <w:t>—</w:t>
      </w:r>
    </w:p>
    <w:p w14:paraId="30624BD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there are unusual or exceptional circumstances; and</w:t>
      </w:r>
    </w:p>
    <w:p w14:paraId="460426E9"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unusual or exceptional circumstances were unforeseen or unable to be dealt with without exceeding $55,000.</w:t>
      </w:r>
    </w:p>
    <w:p w14:paraId="28558E24" w14:textId="5799024D"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a person appointed to an office</w:t>
      </w:r>
      <w:r w:rsidR="009F7359" w:rsidRPr="002E55A6">
        <w:rPr>
          <w:szCs w:val="24"/>
        </w:rPr>
        <w:t xml:space="preserve"> listed</w:t>
      </w:r>
      <w:r w:rsidRPr="002E55A6">
        <w:rPr>
          <w:szCs w:val="24"/>
        </w:rPr>
        <w:t xml:space="preserve"> in clause 2.1 thinks that unusual and exceptional circumstances exist, they may ask the Tribunal to consider the matter and determine whether the maximum relocation allowance can be exceeded.  A request must be in writing and must include</w:t>
      </w:r>
      <w:r w:rsidRPr="002E55A6">
        <w:rPr>
          <w:rFonts w:eastAsia="Calibri"/>
          <w:szCs w:val="24"/>
        </w:rPr>
        <w:t>—</w:t>
      </w:r>
    </w:p>
    <w:p w14:paraId="753AB83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unusual or exceptional circumstances; and</w:t>
      </w:r>
    </w:p>
    <w:p w14:paraId="68BA1E93"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relocation; and</w:t>
      </w:r>
    </w:p>
    <w:p w14:paraId="4733CC5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expenses incurred by the executive; and</w:t>
      </w:r>
    </w:p>
    <w:p w14:paraId="2932DE6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expected total relocation expenses of the executive; and</w:t>
      </w:r>
    </w:p>
    <w:p w14:paraId="1F8AE31F"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level of assistance the executive considers should be provided; and</w:t>
      </w:r>
    </w:p>
    <w:p w14:paraId="2E37DD9A"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any other relevant information.</w:t>
      </w:r>
    </w:p>
    <w:p w14:paraId="303D1F68" w14:textId="37C7E10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the person appointed to an office</w:t>
      </w:r>
      <w:r w:rsidR="009F7359" w:rsidRPr="002E55A6">
        <w:rPr>
          <w:szCs w:val="24"/>
        </w:rPr>
        <w:t xml:space="preserve"> listed</w:t>
      </w:r>
      <w:r w:rsidRPr="002E55A6">
        <w:rPr>
          <w:szCs w:val="24"/>
        </w:rPr>
        <w:t xml:space="preserve"> in clause 2.1 terminates their employment with the Territory within twelve months of the date of their engagement, the person </w:t>
      </w:r>
      <w:r w:rsidR="00A53B73" w:rsidRPr="002E55A6">
        <w:rPr>
          <w:szCs w:val="24"/>
        </w:rPr>
        <w:t>may</w:t>
      </w:r>
      <w:r w:rsidRPr="002E55A6">
        <w:rPr>
          <w:szCs w:val="24"/>
        </w:rPr>
        <w:t xml:space="preserve">  be required to repay the following amount:</w:t>
      </w:r>
    </w:p>
    <w:p w14:paraId="33EAB70B" w14:textId="3A2AE5DA"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within six months from the date of their appointment—100% of the amount reimbursed under section </w:t>
      </w:r>
      <w:r w:rsidR="009F7359" w:rsidRPr="002E55A6">
        <w:rPr>
          <w:szCs w:val="24"/>
        </w:rPr>
        <w:t>8</w:t>
      </w:r>
      <w:r w:rsidRPr="002E55A6">
        <w:rPr>
          <w:szCs w:val="24"/>
        </w:rPr>
        <w:t xml:space="preserve">.3; </w:t>
      </w:r>
    </w:p>
    <w:p w14:paraId="4E7CE7CE" w14:textId="6F9E1739"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more than six months and less than twelve months from the date of their appointment—50% of the amount reimbursed under section </w:t>
      </w:r>
      <w:r w:rsidR="009F7359" w:rsidRPr="002E55A6">
        <w:rPr>
          <w:szCs w:val="24"/>
        </w:rPr>
        <w:t>8</w:t>
      </w:r>
      <w:r w:rsidRPr="002E55A6">
        <w:rPr>
          <w:szCs w:val="24"/>
        </w:rPr>
        <w:t>.3.</w:t>
      </w:r>
    </w:p>
    <w:p w14:paraId="77654E42" w14:textId="1EEDC9F7" w:rsidR="009458C6" w:rsidRPr="002E55A6" w:rsidRDefault="0018623B" w:rsidP="0018623B">
      <w:pPr>
        <w:spacing w:before="80" w:after="60"/>
        <w:ind w:left="709"/>
        <w:rPr>
          <w:szCs w:val="24"/>
        </w:rPr>
      </w:pPr>
      <w:r w:rsidRPr="002E55A6">
        <w:rPr>
          <w:szCs w:val="24"/>
        </w:rPr>
        <w:t>Note: Relocation allowance does not apply to any expenses incurred at the conclusion of employment with the Territory.</w:t>
      </w:r>
    </w:p>
    <w:p w14:paraId="2A4D3012" w14:textId="77777777" w:rsidR="001B199D" w:rsidRPr="002E55A6" w:rsidRDefault="001B199D" w:rsidP="001B199D">
      <w:pPr>
        <w:pStyle w:val="Heading3"/>
        <w:keepLines w:val="0"/>
        <w:ind w:left="709" w:hanging="709"/>
        <w:rPr>
          <w:rFonts w:cs="Arial"/>
          <w:szCs w:val="26"/>
        </w:rPr>
      </w:pPr>
      <w:r w:rsidRPr="002E55A6">
        <w:rPr>
          <w:rFonts w:cs="Arial"/>
          <w:szCs w:val="26"/>
        </w:rPr>
        <w:t>Other entitlements</w:t>
      </w:r>
    </w:p>
    <w:p w14:paraId="6E39EAB1" w14:textId="01902E9D" w:rsidR="001B199D" w:rsidRPr="002E55A6" w:rsidRDefault="001B199D" w:rsidP="001B199D">
      <w:pPr>
        <w:numPr>
          <w:ilvl w:val="1"/>
          <w:numId w:val="4"/>
        </w:numPr>
        <w:tabs>
          <w:tab w:val="clear" w:pos="720"/>
        </w:tabs>
        <w:spacing w:before="80" w:after="60"/>
        <w:ind w:left="709" w:hanging="709"/>
        <w:rPr>
          <w:szCs w:val="24"/>
          <w:lang w:val="en-US"/>
        </w:rPr>
      </w:pPr>
      <w:r w:rsidRPr="002E55A6">
        <w:rPr>
          <w:szCs w:val="24"/>
        </w:rPr>
        <w:t xml:space="preserve">For the avoidance of doubt, under section 115 of the </w:t>
      </w:r>
      <w:r w:rsidRPr="002E55A6">
        <w:rPr>
          <w:i/>
          <w:szCs w:val="24"/>
        </w:rPr>
        <w:t>Public Sector Management Standards 2016</w:t>
      </w:r>
      <w:r w:rsidRPr="002E55A6">
        <w:rPr>
          <w:szCs w:val="24"/>
        </w:rPr>
        <w:t xml:space="preserve">, the following provisions of the </w:t>
      </w:r>
      <w:r w:rsidRPr="002E55A6">
        <w:rPr>
          <w:i/>
          <w:szCs w:val="24"/>
        </w:rPr>
        <w:t>Public Sector Management Standards 2006 (repealed)</w:t>
      </w:r>
      <w:r w:rsidRPr="002E55A6">
        <w:rPr>
          <w:szCs w:val="24"/>
        </w:rPr>
        <w:t xml:space="preserve"> continue to apply in relation to a person appointed to an </w:t>
      </w:r>
      <w:r w:rsidR="009F7359" w:rsidRPr="002E55A6">
        <w:rPr>
          <w:szCs w:val="24"/>
        </w:rPr>
        <w:t xml:space="preserve">office listed </w:t>
      </w:r>
      <w:r w:rsidRPr="002E55A6">
        <w:rPr>
          <w:szCs w:val="24"/>
        </w:rPr>
        <w:t>in clause 2.1 of this Determination:</w:t>
      </w:r>
    </w:p>
    <w:p w14:paraId="3EED856E" w14:textId="77777777" w:rsidR="001B199D" w:rsidRPr="002E55A6" w:rsidRDefault="001B199D" w:rsidP="001B199D">
      <w:pPr>
        <w:numPr>
          <w:ilvl w:val="2"/>
          <w:numId w:val="4"/>
        </w:numPr>
        <w:tabs>
          <w:tab w:val="clear" w:pos="720"/>
        </w:tabs>
        <w:spacing w:after="60"/>
        <w:ind w:left="1134" w:hanging="436"/>
      </w:pPr>
      <w:r w:rsidRPr="002E55A6">
        <w:t>part 3.6 (recognition of prior service on appointment or engagement);</w:t>
      </w:r>
    </w:p>
    <w:p w14:paraId="3924B3FD" w14:textId="77777777" w:rsidR="001B199D" w:rsidRPr="002E55A6" w:rsidRDefault="001B199D" w:rsidP="001B199D">
      <w:pPr>
        <w:numPr>
          <w:ilvl w:val="2"/>
          <w:numId w:val="4"/>
        </w:numPr>
        <w:tabs>
          <w:tab w:val="clear" w:pos="720"/>
        </w:tabs>
        <w:spacing w:after="60"/>
        <w:ind w:left="1134" w:hanging="436"/>
      </w:pPr>
      <w:r w:rsidRPr="002E55A6">
        <w:t>part 4.1 (continuity of service);</w:t>
      </w:r>
    </w:p>
    <w:p w14:paraId="5019C162" w14:textId="77777777" w:rsidR="001B199D" w:rsidRPr="002E55A6" w:rsidRDefault="001B199D" w:rsidP="001B199D">
      <w:pPr>
        <w:numPr>
          <w:ilvl w:val="2"/>
          <w:numId w:val="4"/>
        </w:numPr>
        <w:tabs>
          <w:tab w:val="clear" w:pos="720"/>
        </w:tabs>
        <w:spacing w:after="60"/>
        <w:ind w:left="1134" w:hanging="436"/>
      </w:pPr>
      <w:r w:rsidRPr="002E55A6">
        <w:t>part 5.5 (payment in lieu of entitlements on cessation of employment or death);</w:t>
      </w:r>
    </w:p>
    <w:p w14:paraId="71A2C94A" w14:textId="039E6FBD" w:rsidR="001B199D" w:rsidRPr="002E55A6" w:rsidRDefault="001B199D" w:rsidP="001B199D">
      <w:pPr>
        <w:numPr>
          <w:ilvl w:val="2"/>
          <w:numId w:val="4"/>
        </w:numPr>
        <w:tabs>
          <w:tab w:val="clear" w:pos="720"/>
        </w:tabs>
        <w:spacing w:after="60"/>
        <w:ind w:left="1134" w:hanging="436"/>
      </w:pPr>
      <w:r w:rsidRPr="002E55A6">
        <w:t>part 9.4 (statutory office-holder financial entitlements); and</w:t>
      </w:r>
    </w:p>
    <w:p w14:paraId="0D110802" w14:textId="77777777" w:rsidR="001B199D" w:rsidRPr="002E55A6" w:rsidRDefault="001B199D" w:rsidP="001B199D">
      <w:pPr>
        <w:numPr>
          <w:ilvl w:val="2"/>
          <w:numId w:val="4"/>
        </w:numPr>
        <w:tabs>
          <w:tab w:val="clear" w:pos="720"/>
        </w:tabs>
        <w:spacing w:after="60"/>
        <w:ind w:left="1134" w:hanging="436"/>
      </w:pPr>
      <w:r w:rsidRPr="002E55A6">
        <w:t>part 9.6 (executive employee and statutory office-holder leave and other entitlements).</w:t>
      </w:r>
    </w:p>
    <w:p w14:paraId="6DDC9CCB" w14:textId="6C199B62" w:rsidR="00867F9A" w:rsidRPr="002E55A6" w:rsidRDefault="00867F9A" w:rsidP="00867F9A">
      <w:pPr>
        <w:numPr>
          <w:ilvl w:val="1"/>
          <w:numId w:val="4"/>
        </w:numPr>
        <w:tabs>
          <w:tab w:val="clear" w:pos="720"/>
        </w:tabs>
        <w:spacing w:before="80" w:after="60"/>
        <w:ind w:left="709" w:hanging="709"/>
      </w:pPr>
      <w:r w:rsidRPr="002E55A6">
        <w:t>Leave entitlements, salary sacrifice arrangements and vacation childcare subsidy are provided to executives under Division 5.6 of the Public Sector Management Standards 2016, as amended from time to time.</w:t>
      </w:r>
    </w:p>
    <w:p w14:paraId="2AB5DD52" w14:textId="703150F7" w:rsidR="0069220A" w:rsidRPr="002E55A6" w:rsidRDefault="0069220A" w:rsidP="00031CFC">
      <w:pPr>
        <w:pStyle w:val="Heading3"/>
        <w:keepLines w:val="0"/>
        <w:ind w:left="709" w:hanging="709"/>
        <w:rPr>
          <w:rFonts w:cs="Arial"/>
          <w:szCs w:val="26"/>
        </w:rPr>
      </w:pPr>
      <w:r w:rsidRPr="002E55A6">
        <w:rPr>
          <w:rFonts w:cs="Arial"/>
          <w:szCs w:val="26"/>
        </w:rPr>
        <w:t xml:space="preserve">Travelling </w:t>
      </w:r>
      <w:r w:rsidR="00DB27EE" w:rsidRPr="002E55A6">
        <w:rPr>
          <w:rFonts w:cs="Arial"/>
          <w:szCs w:val="26"/>
        </w:rPr>
        <w:t>arrangements</w:t>
      </w:r>
    </w:p>
    <w:p w14:paraId="1DF86B95" w14:textId="77777777" w:rsidR="0069220A" w:rsidRPr="002E55A6" w:rsidRDefault="0069220A" w:rsidP="0069220A">
      <w:pPr>
        <w:numPr>
          <w:ilvl w:val="1"/>
          <w:numId w:val="4"/>
        </w:numPr>
        <w:tabs>
          <w:tab w:val="clear" w:pos="720"/>
          <w:tab w:val="num" w:pos="0"/>
        </w:tabs>
        <w:spacing w:before="80" w:after="60"/>
        <w:ind w:left="709" w:hanging="709"/>
      </w:pPr>
      <w:r w:rsidRPr="002E55A6">
        <w:t>In this clause:</w:t>
      </w:r>
    </w:p>
    <w:p w14:paraId="7377BE00" w14:textId="77777777" w:rsidR="00B4120B" w:rsidRPr="002E55A6" w:rsidRDefault="00B4120B" w:rsidP="009F419B">
      <w:pPr>
        <w:pStyle w:val="Heading3"/>
        <w:numPr>
          <w:ilvl w:val="0"/>
          <w:numId w:val="0"/>
        </w:numPr>
        <w:ind w:left="720"/>
      </w:pPr>
      <w:r w:rsidRPr="002E55A6">
        <w:rPr>
          <w:i/>
        </w:rPr>
        <w:t>home base</w:t>
      </w:r>
      <w:r w:rsidRPr="002E55A6">
        <w:t xml:space="preserve"> </w:t>
      </w:r>
      <w:r w:rsidRPr="002E55A6">
        <w:rPr>
          <w:b w:val="0"/>
        </w:rPr>
        <w:t>means the town or city in which the traveller’s principal place of residence is located.</w:t>
      </w:r>
    </w:p>
    <w:p w14:paraId="5E43EFF8" w14:textId="77777777" w:rsidR="0069220A" w:rsidRPr="002E55A6" w:rsidRDefault="0069220A" w:rsidP="009F419B">
      <w:pPr>
        <w:spacing w:before="80"/>
        <w:ind w:left="709"/>
      </w:pPr>
      <w:r w:rsidRPr="002E55A6">
        <w:rPr>
          <w:b/>
          <w:i/>
        </w:rPr>
        <w:t>domestic travel</w:t>
      </w:r>
      <w:r w:rsidRPr="002E55A6">
        <w:t xml:space="preserve"> means official travel to a destination within Australia.</w:t>
      </w:r>
    </w:p>
    <w:p w14:paraId="6F59E9D0" w14:textId="77777777" w:rsidR="0069220A" w:rsidRPr="002E55A6" w:rsidRDefault="0069220A" w:rsidP="009F419B">
      <w:pPr>
        <w:spacing w:before="80"/>
        <w:ind w:left="709"/>
      </w:pPr>
      <w:r w:rsidRPr="002E55A6">
        <w:rPr>
          <w:b/>
          <w:i/>
        </w:rPr>
        <w:t>international travel</w:t>
      </w:r>
      <w:r w:rsidRPr="002E55A6">
        <w:t xml:space="preserve"> means official travel to a destination outside Australia.</w:t>
      </w:r>
    </w:p>
    <w:p w14:paraId="676BBFE7" w14:textId="77777777" w:rsidR="0069220A" w:rsidRPr="002E55A6" w:rsidRDefault="0069220A" w:rsidP="009F419B">
      <w:pPr>
        <w:spacing w:before="80" w:after="60"/>
        <w:ind w:left="709"/>
      </w:pPr>
      <w:r w:rsidRPr="002E55A6">
        <w:rPr>
          <w:b/>
          <w:i/>
        </w:rPr>
        <w:t xml:space="preserve">reasonable expenses </w:t>
      </w:r>
      <w:r w:rsidRPr="002E55A6">
        <w:t>means legitimate work-related expenses incurred while conducting official business efficiently and effectively.</w:t>
      </w:r>
    </w:p>
    <w:p w14:paraId="2BADFE20" w14:textId="4A590F1D" w:rsidR="00DB27EE" w:rsidRPr="002E55A6" w:rsidRDefault="00DB27EE" w:rsidP="009F419B">
      <w:pPr>
        <w:spacing w:before="80" w:after="60"/>
        <w:ind w:left="709"/>
      </w:pPr>
      <w:r w:rsidRPr="002E55A6">
        <w:rPr>
          <w:b/>
          <w:i/>
        </w:rPr>
        <w:t xml:space="preserve">traveller </w:t>
      </w:r>
      <w:r w:rsidRPr="002E55A6">
        <w:t xml:space="preserve">means a person, appointed </w:t>
      </w:r>
      <w:r w:rsidR="009F7359" w:rsidRPr="002E55A6">
        <w:t>to an office listed in</w:t>
      </w:r>
      <w:r w:rsidRPr="002E55A6">
        <w:t xml:space="preserve"> clause 2.1 of this Determination, who is travelling away from their normal place of work for official purposes.</w:t>
      </w:r>
    </w:p>
    <w:p w14:paraId="33604030" w14:textId="77777777" w:rsidR="00B4120B" w:rsidRPr="002E55A6" w:rsidRDefault="00B4120B" w:rsidP="00B4120B">
      <w:pPr>
        <w:numPr>
          <w:ilvl w:val="1"/>
          <w:numId w:val="4"/>
        </w:numPr>
        <w:tabs>
          <w:tab w:val="clear" w:pos="720"/>
          <w:tab w:val="num" w:pos="0"/>
        </w:tabs>
        <w:spacing w:before="80" w:after="60"/>
        <w:ind w:left="709" w:hanging="709"/>
      </w:pPr>
      <w:r w:rsidRPr="002E55A6">
        <w:t>If a traveller is required to travel for official purposes, the employer must pay the cost of the transport and accommodation expenses outlined below. The reasonable amounts set out in the relevant Australian Taxation Office Determination</w:t>
      </w:r>
      <w:r w:rsidRPr="002E55A6">
        <w:rPr>
          <w:rStyle w:val="FootnoteReference"/>
          <w:rFonts w:asciiTheme="minorHAnsi" w:hAnsiTheme="minorHAnsi"/>
        </w:rPr>
        <w:footnoteReference w:id="1"/>
      </w:r>
      <w:r w:rsidRPr="002E55A6">
        <w:rPr>
          <w:rFonts w:asciiTheme="minorHAnsi" w:hAnsiTheme="minorHAnsi"/>
        </w:rPr>
        <w:t xml:space="preserve"> </w:t>
      </w:r>
      <w:r w:rsidRPr="002E55A6">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2E55A6" w:rsidRDefault="00DB27EE" w:rsidP="00835A36">
      <w:pPr>
        <w:numPr>
          <w:ilvl w:val="1"/>
          <w:numId w:val="4"/>
        </w:numPr>
        <w:tabs>
          <w:tab w:val="clear" w:pos="720"/>
          <w:tab w:val="num" w:pos="0"/>
        </w:tabs>
        <w:spacing w:before="80" w:after="60"/>
        <w:ind w:left="709" w:hanging="709"/>
      </w:pPr>
      <w:r w:rsidRPr="002E55A6">
        <w:t>All reasonable expenses incurred by a traveller can be reimbursed. It is the intention of these travel arrangements</w:t>
      </w:r>
      <w:r w:rsidRPr="002E55A6">
        <w:rPr>
          <w:rFonts w:eastAsia="Calibri"/>
          <w:szCs w:val="24"/>
        </w:rPr>
        <w:t xml:space="preserve"> that no traveller who travels for official purposes should be out of pocket, however they must be reasonable expenses. </w:t>
      </w:r>
    </w:p>
    <w:p w14:paraId="10FB0937" w14:textId="77777777" w:rsidR="0069220A" w:rsidRPr="002E55A6" w:rsidRDefault="0069220A" w:rsidP="00031CFC">
      <w:pPr>
        <w:pStyle w:val="Heading3"/>
        <w:keepLines w:val="0"/>
        <w:ind w:left="709" w:hanging="709"/>
        <w:rPr>
          <w:rFonts w:cs="Arial"/>
          <w:szCs w:val="26"/>
        </w:rPr>
      </w:pPr>
      <w:r w:rsidRPr="002E55A6">
        <w:rPr>
          <w:rFonts w:cs="Arial"/>
          <w:szCs w:val="26"/>
        </w:rPr>
        <w:t>Travel</w:t>
      </w:r>
    </w:p>
    <w:p w14:paraId="099D2D2B" w14:textId="77777777" w:rsidR="00DB27EE" w:rsidRPr="002E55A6" w:rsidRDefault="00DB27EE" w:rsidP="00DB27EE">
      <w:pPr>
        <w:numPr>
          <w:ilvl w:val="1"/>
          <w:numId w:val="4"/>
        </w:numPr>
        <w:tabs>
          <w:tab w:val="clear" w:pos="720"/>
          <w:tab w:val="num" w:pos="0"/>
        </w:tabs>
        <w:spacing w:before="80" w:after="60"/>
        <w:ind w:left="709" w:hanging="709"/>
      </w:pPr>
      <w:r w:rsidRPr="002E55A6">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Pr="002E55A6" w:rsidRDefault="0069220A" w:rsidP="0069220A">
      <w:pPr>
        <w:numPr>
          <w:ilvl w:val="1"/>
          <w:numId w:val="4"/>
        </w:numPr>
        <w:tabs>
          <w:tab w:val="clear" w:pos="720"/>
          <w:tab w:val="num" w:pos="0"/>
        </w:tabs>
        <w:spacing w:before="80" w:after="60"/>
        <w:ind w:left="709" w:hanging="709"/>
      </w:pPr>
      <w:r w:rsidRPr="002E55A6">
        <w:t xml:space="preserve">A </w:t>
      </w:r>
      <w:r w:rsidR="00DB27EE" w:rsidRPr="002E55A6">
        <w:t>traveller</w:t>
      </w:r>
      <w:r w:rsidRPr="002E55A6">
        <w:t xml:space="preserve"> may travel by one or more of the following:</w:t>
      </w:r>
    </w:p>
    <w:p w14:paraId="73A8654B" w14:textId="77777777" w:rsidR="0069220A" w:rsidRPr="002E55A6" w:rsidRDefault="0069220A" w:rsidP="0069220A">
      <w:pPr>
        <w:numPr>
          <w:ilvl w:val="2"/>
          <w:numId w:val="4"/>
        </w:numPr>
        <w:tabs>
          <w:tab w:val="clear" w:pos="720"/>
        </w:tabs>
        <w:spacing w:after="60"/>
        <w:ind w:left="1134" w:hanging="436"/>
      </w:pPr>
      <w:r w:rsidRPr="002E55A6">
        <w:t xml:space="preserve">commercially provided road or rail transport; </w:t>
      </w:r>
    </w:p>
    <w:p w14:paraId="1E42DAD2" w14:textId="77777777" w:rsidR="0069220A" w:rsidRPr="002E55A6" w:rsidRDefault="0069220A" w:rsidP="0069220A">
      <w:pPr>
        <w:numPr>
          <w:ilvl w:val="2"/>
          <w:numId w:val="4"/>
        </w:numPr>
        <w:tabs>
          <w:tab w:val="clear" w:pos="720"/>
        </w:tabs>
        <w:spacing w:after="60"/>
        <w:ind w:left="1134" w:hanging="436"/>
      </w:pPr>
      <w:r w:rsidRPr="002E55A6">
        <w:t>commercially provided flights;</w:t>
      </w:r>
    </w:p>
    <w:p w14:paraId="05D16569" w14:textId="77777777" w:rsidR="0069220A" w:rsidRPr="002E55A6" w:rsidRDefault="0069220A" w:rsidP="0069220A">
      <w:pPr>
        <w:numPr>
          <w:ilvl w:val="2"/>
          <w:numId w:val="4"/>
        </w:numPr>
        <w:tabs>
          <w:tab w:val="clear" w:pos="720"/>
        </w:tabs>
        <w:spacing w:after="60"/>
        <w:ind w:left="1134" w:hanging="436"/>
      </w:pPr>
      <w:r w:rsidRPr="002E55A6">
        <w:t>private motor vehicle.</w:t>
      </w:r>
    </w:p>
    <w:p w14:paraId="4D2C2CAF" w14:textId="77777777" w:rsidR="0069220A" w:rsidRPr="002E55A6" w:rsidRDefault="0069220A" w:rsidP="0069220A">
      <w:pPr>
        <w:numPr>
          <w:ilvl w:val="1"/>
          <w:numId w:val="4"/>
        </w:numPr>
        <w:tabs>
          <w:tab w:val="clear" w:pos="720"/>
          <w:tab w:val="num" w:pos="0"/>
        </w:tabs>
        <w:spacing w:before="80" w:after="60"/>
        <w:ind w:left="709" w:hanging="709"/>
      </w:pPr>
      <w:r w:rsidRPr="002E55A6">
        <w:t>Commercially provided travel should be selected on the basis of</w:t>
      </w:r>
      <w:r w:rsidRPr="002E55A6">
        <w:rPr>
          <w:rFonts w:eastAsia="Calibri"/>
          <w:szCs w:val="24"/>
        </w:rPr>
        <w:t>—</w:t>
      </w:r>
    </w:p>
    <w:p w14:paraId="32BB109D" w14:textId="3CC0FD34" w:rsidR="0069220A" w:rsidRPr="002E55A6" w:rsidRDefault="0069220A" w:rsidP="0069220A">
      <w:pPr>
        <w:numPr>
          <w:ilvl w:val="2"/>
          <w:numId w:val="4"/>
        </w:numPr>
        <w:tabs>
          <w:tab w:val="clear" w:pos="720"/>
        </w:tabs>
        <w:spacing w:after="60"/>
        <w:ind w:left="1134" w:hanging="436"/>
      </w:pPr>
      <w:r w:rsidRPr="002E55A6">
        <w:t xml:space="preserve">what is most convenient to the </w:t>
      </w:r>
      <w:r w:rsidR="00DB27EE" w:rsidRPr="002E55A6">
        <w:t>person</w:t>
      </w:r>
      <w:r w:rsidRPr="002E55A6">
        <w:t>; and</w:t>
      </w:r>
    </w:p>
    <w:p w14:paraId="4D79251C" w14:textId="77777777" w:rsidR="0069220A" w:rsidRPr="002E55A6" w:rsidRDefault="0069220A" w:rsidP="0069220A">
      <w:pPr>
        <w:numPr>
          <w:ilvl w:val="2"/>
          <w:numId w:val="4"/>
        </w:numPr>
        <w:tabs>
          <w:tab w:val="clear" w:pos="720"/>
        </w:tabs>
        <w:spacing w:after="60"/>
        <w:ind w:left="1134" w:hanging="436"/>
      </w:pPr>
      <w:r w:rsidRPr="002E55A6">
        <w:t>seeking the most reasonable costs.</w:t>
      </w:r>
    </w:p>
    <w:p w14:paraId="3B91875A" w14:textId="52BE9B8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road or rail transport the employer will pay the fares for that travel.</w:t>
      </w:r>
    </w:p>
    <w:p w14:paraId="59025BEA" w14:textId="7560F8CE" w:rsidR="00DB27EE" w:rsidRPr="002E55A6" w:rsidRDefault="00DB27EE" w:rsidP="00DB27EE">
      <w:pPr>
        <w:numPr>
          <w:ilvl w:val="1"/>
          <w:numId w:val="4"/>
        </w:numPr>
        <w:tabs>
          <w:tab w:val="clear" w:pos="720"/>
          <w:tab w:val="num" w:pos="0"/>
        </w:tabs>
        <w:spacing w:before="80" w:after="60"/>
        <w:ind w:left="709" w:hanging="709"/>
      </w:pPr>
      <w:r w:rsidRPr="002E55A6">
        <w:t>A traveller must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Pr="002E55A6" w:rsidRDefault="0069220A" w:rsidP="0069220A">
      <w:pPr>
        <w:keepNext/>
        <w:keepLines/>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flights the employer will pay the fares to the following standard:</w:t>
      </w:r>
    </w:p>
    <w:p w14:paraId="47FBAC11"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less than 4 hours</w:t>
      </w:r>
      <w:r w:rsidRPr="002E55A6">
        <w:rPr>
          <w:rFonts w:eastAsia="Calibri"/>
          <w:szCs w:val="24"/>
        </w:rPr>
        <w:t>—economy class;</w:t>
      </w:r>
    </w:p>
    <w:p w14:paraId="1D04F5E0"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of 4 hours or more</w:t>
      </w:r>
      <w:r w:rsidRPr="002E55A6">
        <w:rPr>
          <w:rFonts w:eastAsia="Calibri"/>
          <w:szCs w:val="24"/>
        </w:rPr>
        <w:t>—business class;</w:t>
      </w:r>
    </w:p>
    <w:p w14:paraId="625942DA" w14:textId="77777777" w:rsidR="0069220A" w:rsidRPr="002E55A6" w:rsidRDefault="0069220A" w:rsidP="0069220A">
      <w:pPr>
        <w:keepNext/>
        <w:keepLines/>
        <w:numPr>
          <w:ilvl w:val="2"/>
          <w:numId w:val="4"/>
        </w:numPr>
        <w:tabs>
          <w:tab w:val="clear" w:pos="720"/>
        </w:tabs>
        <w:spacing w:after="60"/>
        <w:ind w:left="1134" w:hanging="436"/>
      </w:pPr>
      <w:r w:rsidRPr="002E55A6">
        <w:rPr>
          <w:rFonts w:eastAsia="Calibri"/>
          <w:szCs w:val="24"/>
        </w:rPr>
        <w:t>for international flights—business class.</w:t>
      </w:r>
    </w:p>
    <w:p w14:paraId="1566930B" w14:textId="2148E52F"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has approval to travel by private motor vehicle, the employer will pay the owner of the vehicle an allowance calculated in accordance with the Motor Vehicle Allowance set out in the </w:t>
      </w:r>
      <w:bookmarkStart w:id="4" w:name="_Hlk23240194"/>
      <w:r w:rsidR="009F7359" w:rsidRPr="002E55A6">
        <w:rPr>
          <w:rFonts w:cs="Calibri"/>
          <w:bCs/>
          <w:i/>
        </w:rPr>
        <w:t>ACT Public Sector Administrative and Related Classifications Enterprise Agreement 2018 – 2021</w:t>
      </w:r>
      <w:bookmarkEnd w:id="4"/>
      <w:r w:rsidR="00DB27EE" w:rsidRPr="002E55A6">
        <w:t>, or its replacement</w:t>
      </w:r>
      <w:r w:rsidRPr="002E55A6">
        <w:t>.</w:t>
      </w:r>
    </w:p>
    <w:p w14:paraId="1B23CB6A" w14:textId="77777777" w:rsidR="0069220A" w:rsidRPr="002E55A6" w:rsidRDefault="0069220A" w:rsidP="00031CFC">
      <w:pPr>
        <w:pStyle w:val="Heading3"/>
        <w:keepLines w:val="0"/>
        <w:ind w:left="709" w:hanging="709"/>
        <w:rPr>
          <w:rFonts w:cs="Arial"/>
          <w:szCs w:val="26"/>
        </w:rPr>
      </w:pPr>
      <w:r w:rsidRPr="002E55A6">
        <w:rPr>
          <w:rFonts w:cs="Arial"/>
          <w:szCs w:val="26"/>
        </w:rPr>
        <w:t>Accommodation</w:t>
      </w:r>
    </w:p>
    <w:p w14:paraId="473F60BF" w14:textId="2FBAFFCE" w:rsidR="0069220A" w:rsidRPr="002E55A6" w:rsidRDefault="00DB27EE" w:rsidP="0069220A">
      <w:pPr>
        <w:numPr>
          <w:ilvl w:val="1"/>
          <w:numId w:val="4"/>
        </w:numPr>
        <w:tabs>
          <w:tab w:val="clear" w:pos="720"/>
          <w:tab w:val="num" w:pos="0"/>
        </w:tabs>
        <w:spacing w:before="80" w:after="60"/>
        <w:ind w:left="709" w:hanging="709"/>
      </w:pPr>
      <w:r w:rsidRPr="002E55A6">
        <w:t xml:space="preserve">It is standard practice that where an executive traveller </w:t>
      </w:r>
      <w:r w:rsidR="0069220A" w:rsidRPr="002E55A6">
        <w:t>must stay overnight while on official travel, the employer will pay for commercial accommodation to the following standard:</w:t>
      </w:r>
    </w:p>
    <w:p w14:paraId="656F64EA" w14:textId="77777777" w:rsidR="0069220A" w:rsidRPr="002E55A6" w:rsidRDefault="0069220A" w:rsidP="0069220A">
      <w:pPr>
        <w:numPr>
          <w:ilvl w:val="2"/>
          <w:numId w:val="4"/>
        </w:numPr>
        <w:tabs>
          <w:tab w:val="clear" w:pos="720"/>
        </w:tabs>
        <w:spacing w:after="60"/>
        <w:ind w:left="1134" w:hanging="436"/>
      </w:pPr>
      <w:r w:rsidRPr="002E55A6">
        <w:t>for domestic accommodation</w:t>
      </w:r>
      <w:r w:rsidRPr="002E55A6">
        <w:rPr>
          <w:rFonts w:eastAsia="Calibri"/>
          <w:szCs w:val="24"/>
        </w:rPr>
        <w:t>—4.5 stars;</w:t>
      </w:r>
    </w:p>
    <w:p w14:paraId="7D7F4390" w14:textId="0DD2C6EF" w:rsidR="0069220A" w:rsidRPr="002E55A6" w:rsidRDefault="0069220A" w:rsidP="0069220A">
      <w:pPr>
        <w:numPr>
          <w:ilvl w:val="2"/>
          <w:numId w:val="4"/>
        </w:numPr>
        <w:tabs>
          <w:tab w:val="clear" w:pos="720"/>
        </w:tabs>
        <w:spacing w:after="60"/>
        <w:ind w:left="1134" w:hanging="436"/>
      </w:pPr>
      <w:r w:rsidRPr="002E55A6">
        <w:t>for international accom</w:t>
      </w:r>
      <w:r w:rsidR="00A2357D" w:rsidRPr="002E55A6">
        <w:t>mo</w:t>
      </w:r>
      <w:r w:rsidRPr="002E55A6">
        <w:t>dation</w:t>
      </w:r>
      <w:r w:rsidRPr="002E55A6">
        <w:rPr>
          <w:rFonts w:eastAsia="Calibri"/>
          <w:szCs w:val="24"/>
        </w:rPr>
        <w:t>—4.5 stars.</w:t>
      </w:r>
    </w:p>
    <w:p w14:paraId="164FF45C" w14:textId="75A61CBC"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pay for a </w:t>
      </w:r>
      <w:r w:rsidR="00DB27EE" w:rsidRPr="002E55A6">
        <w:t>traveller</w:t>
      </w:r>
      <w:r w:rsidRPr="002E55A6">
        <w:t xml:space="preserve"> to stay in commercial accommodation above the 4.5 star standard </w:t>
      </w:r>
      <w:r w:rsidR="00DB27EE" w:rsidRPr="002E55A6">
        <w:t>and the amounts set out in the relevant Australian Taxation Office Determinations,</w:t>
      </w:r>
      <w:r w:rsidR="00DB27EE" w:rsidRPr="002E55A6">
        <w:rPr>
          <w:rFonts w:eastAsia="Calibri"/>
          <w:szCs w:val="24"/>
        </w:rPr>
        <w:t xml:space="preserve"> </w:t>
      </w:r>
      <w:r w:rsidR="00DB27EE" w:rsidRPr="002E55A6">
        <w:t>if</w:t>
      </w:r>
      <w:r w:rsidR="00DB27EE" w:rsidRPr="002E55A6">
        <w:rPr>
          <w:rFonts w:eastAsia="Calibri"/>
          <w:szCs w:val="24"/>
        </w:rPr>
        <w:t xml:space="preserve"> </w:t>
      </w:r>
      <w:r w:rsidRPr="002E55A6">
        <w:rPr>
          <w:rFonts w:eastAsia="Calibri"/>
          <w:szCs w:val="24"/>
        </w:rPr>
        <w:t>—</w:t>
      </w:r>
    </w:p>
    <w:p w14:paraId="145E2971" w14:textId="77777777" w:rsidR="0069220A" w:rsidRPr="002E55A6" w:rsidRDefault="0069220A" w:rsidP="0069220A">
      <w:pPr>
        <w:numPr>
          <w:ilvl w:val="2"/>
          <w:numId w:val="4"/>
        </w:numPr>
        <w:tabs>
          <w:tab w:val="clear" w:pos="720"/>
        </w:tabs>
        <w:spacing w:after="60"/>
        <w:ind w:left="1134" w:hanging="436"/>
      </w:pPr>
      <w:r w:rsidRPr="002E55A6">
        <w:t>the cost is reasonable; and</w:t>
      </w:r>
    </w:p>
    <w:p w14:paraId="7B689A7B" w14:textId="77777777" w:rsidR="0069220A" w:rsidRPr="002E55A6" w:rsidRDefault="0069220A" w:rsidP="0069220A">
      <w:pPr>
        <w:numPr>
          <w:ilvl w:val="2"/>
          <w:numId w:val="4"/>
        </w:numPr>
        <w:tabs>
          <w:tab w:val="clear" w:pos="720"/>
        </w:tabs>
        <w:spacing w:after="60"/>
        <w:ind w:left="1134" w:hanging="436"/>
      </w:pPr>
      <w:r w:rsidRPr="002E55A6">
        <w:t>to do so would better enable business objectives to be met.</w:t>
      </w:r>
    </w:p>
    <w:p w14:paraId="76FB56FE" w14:textId="77777777" w:rsidR="0069220A" w:rsidRPr="002E55A6" w:rsidRDefault="0069220A" w:rsidP="0069220A">
      <w:pPr>
        <w:keepNext/>
        <w:autoSpaceDE w:val="0"/>
        <w:autoSpaceDN w:val="0"/>
        <w:adjustRightInd w:val="0"/>
        <w:spacing w:before="80"/>
        <w:ind w:left="1276" w:hanging="567"/>
        <w:rPr>
          <w:sz w:val="20"/>
          <w:lang w:val="en-US"/>
        </w:rPr>
      </w:pPr>
      <w:r w:rsidRPr="002E55A6">
        <w:rPr>
          <w:sz w:val="20"/>
          <w:lang w:val="en-US"/>
        </w:rPr>
        <w:t>Examples where business objectives may be better met:</w:t>
      </w:r>
    </w:p>
    <w:p w14:paraId="23454749" w14:textId="1654B86E" w:rsidR="0069220A" w:rsidRPr="002E55A6"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to stay in the commercial accommodation where a meeting, conference or seminar they are attending is being held</w:t>
      </w:r>
    </w:p>
    <w:p w14:paraId="33CC7C7C" w14:textId="4B34008B" w:rsidR="0069220A" w:rsidRPr="002E55A6"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who is traveling with a Minister to stay in the same commercial accommodation as that Minister if they are entitled to a higher standard of accommodation.</w:t>
      </w:r>
    </w:p>
    <w:p w14:paraId="46D06708" w14:textId="77777777" w:rsidR="0069220A" w:rsidRPr="002E55A6" w:rsidRDefault="0069220A" w:rsidP="00031CFC">
      <w:pPr>
        <w:pStyle w:val="Heading3"/>
        <w:keepLines w:val="0"/>
        <w:ind w:left="709" w:hanging="709"/>
        <w:rPr>
          <w:rFonts w:cs="Arial"/>
          <w:szCs w:val="26"/>
        </w:rPr>
      </w:pPr>
      <w:r w:rsidRPr="002E55A6">
        <w:rPr>
          <w:rFonts w:cs="Arial"/>
          <w:szCs w:val="26"/>
        </w:rPr>
        <w:t>Meals</w:t>
      </w:r>
    </w:p>
    <w:p w14:paraId="440D6A68" w14:textId="44AB0F52"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is absent from </w:t>
      </w:r>
      <w:r w:rsidR="00B4120B" w:rsidRPr="002E55A6">
        <w:t xml:space="preserve">their home base </w:t>
      </w:r>
      <w:r w:rsidRPr="002E55A6">
        <w:t>for more than ten hours while on official travel, the employer will reimburse actual, reasonable expenses for meals</w:t>
      </w:r>
      <w:r w:rsidR="00DB27EE" w:rsidRPr="002E55A6">
        <w:t xml:space="preserve"> up to the amounts set out in the relevant Australian Taxation Office Determinations</w:t>
      </w:r>
      <w:r w:rsidRPr="002E55A6">
        <w:t>.</w:t>
      </w:r>
    </w:p>
    <w:p w14:paraId="51B80314" w14:textId="77777777" w:rsidR="0069220A" w:rsidRPr="002E55A6" w:rsidRDefault="0069220A" w:rsidP="00031CFC">
      <w:pPr>
        <w:pStyle w:val="Heading3"/>
        <w:keepLines w:val="0"/>
        <w:ind w:left="709" w:hanging="709"/>
        <w:rPr>
          <w:rFonts w:cs="Arial"/>
          <w:szCs w:val="26"/>
        </w:rPr>
      </w:pPr>
      <w:r w:rsidRPr="002E55A6">
        <w:rPr>
          <w:rFonts w:cs="Arial"/>
          <w:szCs w:val="26"/>
        </w:rPr>
        <w:t>Incidental expenses</w:t>
      </w:r>
    </w:p>
    <w:p w14:paraId="1B5AF44E"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reimburse reasonable </w:t>
      </w:r>
      <w:r w:rsidR="00DB27EE" w:rsidRPr="002E55A6">
        <w:t xml:space="preserve">and legitimate </w:t>
      </w:r>
      <w:r w:rsidRPr="002E55A6">
        <w:t>expenses directly related to official travel</w:t>
      </w:r>
      <w:r w:rsidR="00DB27EE" w:rsidRPr="002E55A6">
        <w:t xml:space="preserve"> up to the amounts set out in the relevant Australian Taxation Office Determinations</w:t>
      </w:r>
      <w:r w:rsidRPr="002E55A6">
        <w:t>, including</w:t>
      </w:r>
      <w:r w:rsidRPr="002E55A6">
        <w:rPr>
          <w:rFonts w:eastAsia="Calibri"/>
          <w:szCs w:val="24"/>
        </w:rPr>
        <w:t>—</w:t>
      </w:r>
    </w:p>
    <w:p w14:paraId="0B5B063E"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or bus fares to or from an airport; and</w:t>
      </w:r>
    </w:p>
    <w:p w14:paraId="3E0B2AF3"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and public transport costs at a temporary location; and </w:t>
      </w:r>
    </w:p>
    <w:p w14:paraId="4D7B8F7B" w14:textId="77777777" w:rsidR="0069220A" w:rsidRPr="002E55A6" w:rsidRDefault="0069220A" w:rsidP="0069220A">
      <w:pPr>
        <w:numPr>
          <w:ilvl w:val="2"/>
          <w:numId w:val="4"/>
        </w:numPr>
        <w:tabs>
          <w:tab w:val="clear" w:pos="720"/>
        </w:tabs>
        <w:spacing w:after="60"/>
        <w:ind w:left="1134" w:hanging="436"/>
      </w:pPr>
      <w:r w:rsidRPr="002E55A6">
        <w:t>airport taxes or charges.</w:t>
      </w:r>
    </w:p>
    <w:p w14:paraId="183C4E68" w14:textId="77777777" w:rsidR="0069220A" w:rsidRPr="002E55A6" w:rsidRDefault="0069220A" w:rsidP="00031CFC">
      <w:pPr>
        <w:pStyle w:val="Heading3"/>
        <w:keepLines w:val="0"/>
        <w:ind w:left="709" w:hanging="709"/>
        <w:rPr>
          <w:rFonts w:cs="Arial"/>
          <w:szCs w:val="26"/>
        </w:rPr>
      </w:pPr>
      <w:r w:rsidRPr="002E55A6">
        <w:rPr>
          <w:rFonts w:cs="Arial"/>
          <w:szCs w:val="26"/>
        </w:rPr>
        <w:t>Frequent Flyer Program</w:t>
      </w:r>
    </w:p>
    <w:p w14:paraId="5C98B4C3" w14:textId="15D45967" w:rsidR="00DB27EE" w:rsidRPr="002E55A6" w:rsidRDefault="00DB27EE" w:rsidP="00403576">
      <w:pPr>
        <w:numPr>
          <w:ilvl w:val="1"/>
          <w:numId w:val="4"/>
        </w:numPr>
        <w:tabs>
          <w:tab w:val="clear" w:pos="720"/>
          <w:tab w:val="num" w:pos="0"/>
        </w:tabs>
        <w:spacing w:before="80" w:after="60"/>
        <w:ind w:left="709" w:hanging="709"/>
        <w:rPr>
          <w:szCs w:val="24"/>
        </w:rPr>
      </w:pPr>
      <w:r w:rsidRPr="002E55A6">
        <w:rPr>
          <w:szCs w:val="24"/>
        </w:rPr>
        <w:t>Frequent flyer points can</w:t>
      </w:r>
      <w:r w:rsidR="00B4120B" w:rsidRPr="002E55A6">
        <w:rPr>
          <w:szCs w:val="24"/>
        </w:rPr>
        <w:t>not</w:t>
      </w:r>
      <w:r w:rsidRPr="002E55A6">
        <w:rPr>
          <w:szCs w:val="24"/>
        </w:rPr>
        <w:t xml:space="preserve"> be accrued or used by a traveller as a result of travel and accommodation paid for by the employer for official travel.  </w:t>
      </w:r>
    </w:p>
    <w:p w14:paraId="695B7388" w14:textId="77777777" w:rsidR="00DB27EE" w:rsidRPr="002E55A6" w:rsidRDefault="00DB27EE" w:rsidP="00DB27EE">
      <w:pPr>
        <w:pStyle w:val="Heading3"/>
        <w:keepLines w:val="0"/>
        <w:ind w:left="709" w:hanging="709"/>
        <w:rPr>
          <w:rFonts w:cs="Arial"/>
          <w:szCs w:val="26"/>
        </w:rPr>
      </w:pPr>
      <w:r w:rsidRPr="002E55A6">
        <w:rPr>
          <w:rFonts w:cs="Arial"/>
          <w:szCs w:val="26"/>
        </w:rPr>
        <w:t>Incidental travel in conjunction with official travel</w:t>
      </w:r>
    </w:p>
    <w:p w14:paraId="746C0850" w14:textId="42E1AF96" w:rsidR="00DB27EE" w:rsidRPr="002E55A6" w:rsidRDefault="00DB27EE" w:rsidP="00DB27EE">
      <w:pPr>
        <w:numPr>
          <w:ilvl w:val="1"/>
          <w:numId w:val="4"/>
        </w:numPr>
        <w:spacing w:before="80" w:after="60"/>
      </w:pPr>
      <w:r w:rsidRPr="002E55A6">
        <w:t>Authorised travellers wishing to take personal leave during, or at the conclusion of official travel should obtain the appropriate</w:t>
      </w:r>
      <w:r w:rsidR="00657808">
        <w:t xml:space="preserve"> prior</w:t>
      </w:r>
      <w:r w:rsidRPr="002E55A6">
        <w:t xml:space="preserve"> approval consistent with the agreed travel arrangements.</w:t>
      </w:r>
    </w:p>
    <w:p w14:paraId="6F87D215" w14:textId="77777777" w:rsidR="00DB27EE" w:rsidRPr="002E55A6" w:rsidRDefault="00DB27EE" w:rsidP="00DB27EE">
      <w:pPr>
        <w:numPr>
          <w:ilvl w:val="1"/>
          <w:numId w:val="4"/>
        </w:numPr>
        <w:spacing w:before="80" w:after="60"/>
      </w:pPr>
      <w:r w:rsidRPr="002E55A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1D6261B5" w:rsidR="00DB27EE" w:rsidRPr="002E55A6" w:rsidRDefault="00DB27EE" w:rsidP="00DB27EE">
      <w:pPr>
        <w:numPr>
          <w:ilvl w:val="1"/>
          <w:numId w:val="4"/>
        </w:numPr>
        <w:spacing w:before="80" w:after="60"/>
      </w:pPr>
      <w:r w:rsidRPr="002E55A6">
        <w:t>If insurance has been obtained for official travel</w:t>
      </w:r>
      <w:r w:rsidR="002E55A6">
        <w:t xml:space="preserve"> at official expense</w:t>
      </w:r>
      <w:r w:rsidRPr="002E55A6">
        <w:t xml:space="preserve">, </w:t>
      </w:r>
      <w:r w:rsidR="002E55A6">
        <w:t xml:space="preserve">such insurance must </w:t>
      </w:r>
      <w:r w:rsidRPr="002E55A6">
        <w:t>not cover the traveller for the duration of the personal leave.</w:t>
      </w:r>
    </w:p>
    <w:p w14:paraId="571FBF33" w14:textId="77777777" w:rsidR="00DB27EE" w:rsidRPr="002E55A6" w:rsidRDefault="00DB27EE" w:rsidP="00DB27EE">
      <w:pPr>
        <w:pStyle w:val="Heading3"/>
        <w:keepLines w:val="0"/>
        <w:ind w:left="709" w:hanging="709"/>
        <w:rPr>
          <w:rFonts w:cs="Arial"/>
          <w:szCs w:val="26"/>
        </w:rPr>
      </w:pPr>
      <w:r w:rsidRPr="002E55A6">
        <w:rPr>
          <w:rFonts w:cs="Arial"/>
          <w:szCs w:val="26"/>
        </w:rPr>
        <w:t>Travel insurance</w:t>
      </w:r>
    </w:p>
    <w:p w14:paraId="77F6EBC7" w14:textId="77777777" w:rsidR="00DB27EE" w:rsidRPr="002E55A6" w:rsidRDefault="00DB27EE" w:rsidP="00DB27EE">
      <w:pPr>
        <w:numPr>
          <w:ilvl w:val="1"/>
          <w:numId w:val="4"/>
        </w:numPr>
        <w:spacing w:before="80" w:after="60"/>
      </w:pPr>
      <w:r w:rsidRPr="002E55A6">
        <w:t>Travel insurance decisions should be based on risk management principles and include factors such as the nature and destination of the trip.</w:t>
      </w:r>
    </w:p>
    <w:p w14:paraId="56C032D8" w14:textId="77777777" w:rsidR="00DB27EE" w:rsidRPr="002E55A6" w:rsidRDefault="00DB27EE" w:rsidP="00DB27EE">
      <w:pPr>
        <w:numPr>
          <w:ilvl w:val="1"/>
          <w:numId w:val="4"/>
        </w:numPr>
        <w:spacing w:before="80" w:after="60"/>
      </w:pPr>
      <w:r w:rsidRPr="002E55A6">
        <w:t>International travel will normally require travel insurance.</w:t>
      </w:r>
    </w:p>
    <w:p w14:paraId="266B648F" w14:textId="77777777" w:rsidR="00DB27EE" w:rsidRPr="002E55A6" w:rsidRDefault="00DB27EE" w:rsidP="00DB27EE">
      <w:pPr>
        <w:numPr>
          <w:ilvl w:val="1"/>
          <w:numId w:val="4"/>
        </w:numPr>
        <w:spacing w:before="80" w:after="60"/>
      </w:pPr>
      <w:r w:rsidRPr="002E55A6">
        <w:t>If necessary, the cost of travel insurance will be met as a reasonable work related expense by the Territory.</w:t>
      </w:r>
    </w:p>
    <w:p w14:paraId="00FD7E7F" w14:textId="77777777" w:rsidR="00DB27EE" w:rsidRPr="002E55A6" w:rsidRDefault="00DB27EE" w:rsidP="00DB27EE">
      <w:pPr>
        <w:numPr>
          <w:ilvl w:val="1"/>
          <w:numId w:val="4"/>
        </w:numPr>
        <w:spacing w:before="80" w:after="60"/>
      </w:pPr>
      <w:r w:rsidRPr="002E55A6">
        <w:t>All legitimate and reasonable work related claims will be covered by the Territory.</w:t>
      </w:r>
    </w:p>
    <w:p w14:paraId="17EA78A0" w14:textId="77777777" w:rsidR="0069220A" w:rsidRPr="002E55A6" w:rsidRDefault="0069220A" w:rsidP="00031CFC">
      <w:pPr>
        <w:pStyle w:val="Heading3"/>
        <w:keepLines w:val="0"/>
        <w:ind w:left="709" w:hanging="709"/>
        <w:rPr>
          <w:rFonts w:cs="Arial"/>
          <w:szCs w:val="26"/>
        </w:rPr>
      </w:pPr>
      <w:r w:rsidRPr="002E55A6">
        <w:rPr>
          <w:rFonts w:cs="Arial"/>
          <w:szCs w:val="26"/>
        </w:rPr>
        <w:t>Definitions</w:t>
      </w:r>
    </w:p>
    <w:p w14:paraId="1922453B" w14:textId="77777777" w:rsidR="0069220A" w:rsidRPr="002E55A6" w:rsidRDefault="0069220A" w:rsidP="0069220A">
      <w:pPr>
        <w:numPr>
          <w:ilvl w:val="1"/>
          <w:numId w:val="4"/>
        </w:numPr>
        <w:tabs>
          <w:tab w:val="clear" w:pos="720"/>
          <w:tab w:val="num" w:pos="0"/>
        </w:tabs>
        <w:spacing w:before="80" w:after="60"/>
        <w:ind w:left="709" w:hanging="709"/>
      </w:pPr>
      <w:r w:rsidRPr="002E55A6">
        <w:t>In this Determination:</w:t>
      </w:r>
    </w:p>
    <w:p w14:paraId="52C6A2C4" w14:textId="77777777" w:rsidR="0069220A" w:rsidRPr="002E55A6" w:rsidRDefault="0069220A" w:rsidP="0069220A">
      <w:pPr>
        <w:spacing w:before="80"/>
        <w:ind w:left="709"/>
        <w:jc w:val="both"/>
      </w:pPr>
      <w:r w:rsidRPr="002E55A6">
        <w:rPr>
          <w:b/>
          <w:bCs/>
          <w:i/>
          <w:iCs/>
        </w:rPr>
        <w:t>agreed superannuation fund</w:t>
      </w:r>
      <w:r w:rsidRPr="002E55A6">
        <w:t xml:space="preserve"> means a fund complying with the requirements of:</w:t>
      </w:r>
    </w:p>
    <w:p w14:paraId="295F0F7C" w14:textId="77777777" w:rsidR="0069220A" w:rsidRPr="002E55A6" w:rsidRDefault="0069220A" w:rsidP="0069220A">
      <w:pPr>
        <w:pStyle w:val="ColorfulShading-Accent31"/>
        <w:numPr>
          <w:ilvl w:val="0"/>
          <w:numId w:val="17"/>
        </w:numPr>
        <w:spacing w:after="60"/>
        <w:jc w:val="both"/>
      </w:pPr>
      <w:r w:rsidRPr="002E55A6">
        <w:t xml:space="preserve">the </w:t>
      </w:r>
      <w:r w:rsidRPr="002E55A6">
        <w:rPr>
          <w:i/>
        </w:rPr>
        <w:t>Income Tax Assessment Act 1936</w:t>
      </w:r>
      <w:r w:rsidRPr="002E55A6">
        <w:t xml:space="preserve"> (Cth); and</w:t>
      </w:r>
    </w:p>
    <w:p w14:paraId="3EE1D4C6" w14:textId="77777777" w:rsidR="0069220A" w:rsidRPr="002E55A6" w:rsidRDefault="0069220A" w:rsidP="0069220A">
      <w:pPr>
        <w:pStyle w:val="ColorfulShading-Accent31"/>
        <w:numPr>
          <w:ilvl w:val="0"/>
          <w:numId w:val="17"/>
        </w:numPr>
        <w:spacing w:before="80"/>
        <w:jc w:val="both"/>
      </w:pPr>
      <w:r w:rsidRPr="002E55A6">
        <w:t xml:space="preserve">the </w:t>
      </w:r>
      <w:r w:rsidRPr="002E55A6">
        <w:rPr>
          <w:i/>
        </w:rPr>
        <w:t>Superannuation Industry (Supervision) Act 1993</w:t>
      </w:r>
      <w:r w:rsidRPr="002E55A6">
        <w:t xml:space="preserve"> (Cth).</w:t>
      </w:r>
    </w:p>
    <w:p w14:paraId="78AC89C4" w14:textId="77777777" w:rsidR="0069220A" w:rsidRPr="002E55A6" w:rsidRDefault="0069220A" w:rsidP="0069220A">
      <w:pPr>
        <w:spacing w:before="80"/>
        <w:ind w:left="709"/>
        <w:jc w:val="both"/>
      </w:pPr>
      <w:r w:rsidRPr="002E55A6">
        <w:rPr>
          <w:b/>
          <w:i/>
        </w:rPr>
        <w:t xml:space="preserve">CSS </w:t>
      </w:r>
      <w:r w:rsidRPr="002E55A6">
        <w:t>means the Commonwealth Superannuation Scheme.</w:t>
      </w:r>
    </w:p>
    <w:p w14:paraId="1A046F03" w14:textId="77777777" w:rsidR="00B4120B" w:rsidRPr="002E55A6" w:rsidRDefault="00B4120B" w:rsidP="00B4120B">
      <w:pPr>
        <w:spacing w:before="80"/>
        <w:ind w:left="709"/>
        <w:jc w:val="both"/>
      </w:pPr>
      <w:r w:rsidRPr="002E55A6">
        <w:rPr>
          <w:b/>
          <w:i/>
        </w:rPr>
        <w:t>domestic travel</w:t>
      </w:r>
      <w:r w:rsidRPr="002E55A6">
        <w:t xml:space="preserve"> means official travel to a destination within Australia.</w:t>
      </w:r>
    </w:p>
    <w:p w14:paraId="0E2E1C3E" w14:textId="77777777" w:rsidR="0069220A" w:rsidRPr="002E55A6" w:rsidRDefault="0069220A" w:rsidP="0069220A">
      <w:pPr>
        <w:spacing w:before="80"/>
        <w:ind w:left="709"/>
        <w:jc w:val="both"/>
      </w:pPr>
      <w:r w:rsidRPr="002E55A6">
        <w:rPr>
          <w:b/>
          <w:bCs/>
          <w:i/>
        </w:rPr>
        <w:t>employer</w:t>
      </w:r>
      <w:r w:rsidRPr="002E55A6">
        <w:t xml:space="preserve"> means the Australian Capital Territory and includes any person authorised to act on behalf of the Australian Capital Territory.</w:t>
      </w:r>
    </w:p>
    <w:p w14:paraId="19FE29B4" w14:textId="77777777" w:rsidR="0069220A" w:rsidRPr="002E55A6" w:rsidRDefault="0069220A" w:rsidP="0069220A">
      <w:pPr>
        <w:spacing w:before="80"/>
        <w:ind w:left="709"/>
        <w:jc w:val="both"/>
      </w:pPr>
      <w:r w:rsidRPr="002E55A6">
        <w:rPr>
          <w:b/>
          <w:bCs/>
          <w:i/>
          <w:iCs/>
        </w:rPr>
        <w:t>fringe</w:t>
      </w:r>
      <w:r w:rsidRPr="002E55A6">
        <w:rPr>
          <w:b/>
          <w:bCs/>
          <w:i/>
        </w:rPr>
        <w:t xml:space="preserve"> benefits tax</w:t>
      </w:r>
      <w:r w:rsidRPr="002E55A6">
        <w:t xml:space="preserve"> means the tax assessed under the </w:t>
      </w:r>
      <w:r w:rsidRPr="002E55A6">
        <w:rPr>
          <w:i/>
        </w:rPr>
        <w:t>Fringe Benefits Tax Assessment Act 1986</w:t>
      </w:r>
      <w:r w:rsidRPr="002E55A6">
        <w:t>.</w:t>
      </w:r>
    </w:p>
    <w:p w14:paraId="6640A9C0" w14:textId="77777777" w:rsidR="00B4120B" w:rsidRPr="002E55A6" w:rsidRDefault="00B4120B" w:rsidP="00B4120B">
      <w:pPr>
        <w:spacing w:before="80"/>
        <w:ind w:left="709"/>
        <w:jc w:val="both"/>
      </w:pPr>
      <w:r w:rsidRPr="002E55A6">
        <w:rPr>
          <w:b/>
          <w:i/>
        </w:rPr>
        <w:t>home base</w:t>
      </w:r>
      <w:r w:rsidRPr="002E55A6">
        <w:t xml:space="preserve"> means the town or city in which the traveller’s principal place of residence is located.</w:t>
      </w:r>
    </w:p>
    <w:p w14:paraId="004BDF51" w14:textId="77777777" w:rsidR="0069220A" w:rsidRPr="002E55A6" w:rsidRDefault="0069220A" w:rsidP="0069220A">
      <w:pPr>
        <w:spacing w:before="80"/>
        <w:ind w:left="709"/>
        <w:jc w:val="both"/>
      </w:pPr>
      <w:r w:rsidRPr="002E55A6">
        <w:rPr>
          <w:b/>
          <w:i/>
        </w:rPr>
        <w:t xml:space="preserve">PSS </w:t>
      </w:r>
      <w:r w:rsidRPr="002E55A6">
        <w:t>means the Public Sector Superannuation Scheme.</w:t>
      </w:r>
    </w:p>
    <w:p w14:paraId="79C2CCC9" w14:textId="4AD94E36" w:rsidR="0069220A" w:rsidRPr="00A8018D" w:rsidRDefault="00B4120B" w:rsidP="003D404C">
      <w:pPr>
        <w:spacing w:before="80"/>
        <w:ind w:left="709"/>
        <w:jc w:val="both"/>
        <w:rPr>
          <w:strike/>
          <w:color w:val="FF0000"/>
        </w:rPr>
      </w:pPr>
      <w:r w:rsidRPr="002E55A6">
        <w:rPr>
          <w:b/>
          <w:i/>
        </w:rPr>
        <w:t xml:space="preserve">PSSap </w:t>
      </w:r>
      <w:r w:rsidRPr="002E55A6">
        <w:t>means the PSS Accumulation Plan.</w:t>
      </w:r>
    </w:p>
    <w:p w14:paraId="41373B39" w14:textId="6F0C6642" w:rsidR="00DB27EE" w:rsidRPr="002E55A6" w:rsidRDefault="00DB27EE" w:rsidP="00DB27EE">
      <w:pPr>
        <w:spacing w:before="80" w:after="60"/>
        <w:ind w:left="709"/>
      </w:pPr>
      <w:r w:rsidRPr="002E55A6">
        <w:rPr>
          <w:b/>
          <w:i/>
        </w:rPr>
        <w:t>Senior Executive Service (SES) Member</w:t>
      </w:r>
      <w:r w:rsidRPr="002E55A6">
        <w:t xml:space="preserve"> </w:t>
      </w:r>
      <w:r w:rsidR="001F44E1" w:rsidRPr="002E55A6">
        <w:t xml:space="preserve">means </w:t>
      </w:r>
      <w:r w:rsidRPr="002E55A6">
        <w:t xml:space="preserve">a member of the service in the senior executive service under the </w:t>
      </w:r>
      <w:r w:rsidRPr="002E55A6">
        <w:rPr>
          <w:i/>
        </w:rPr>
        <w:t>Public Sector Management Act 1994</w:t>
      </w:r>
      <w:r w:rsidRPr="002E55A6">
        <w:t xml:space="preserve">. A person, appointed to an office </w:t>
      </w:r>
      <w:r w:rsidR="00FE1DDA" w:rsidRPr="002E55A6">
        <w:t xml:space="preserve">listed </w:t>
      </w:r>
      <w:r w:rsidRPr="002E55A6">
        <w:t>in clause 2.1 of this Determination, has a number of the same entitlements as an SES Member.</w:t>
      </w:r>
    </w:p>
    <w:p w14:paraId="1F9CE8AC" w14:textId="77777777" w:rsidR="00DC6C6D" w:rsidRPr="002E55A6" w:rsidRDefault="00DC6C6D" w:rsidP="00031CFC">
      <w:pPr>
        <w:pStyle w:val="Heading3"/>
        <w:keepLines w:val="0"/>
        <w:ind w:left="709" w:hanging="709"/>
        <w:rPr>
          <w:rFonts w:cs="Arial"/>
          <w:szCs w:val="26"/>
        </w:rPr>
      </w:pPr>
      <w:r w:rsidRPr="002E55A6">
        <w:rPr>
          <w:rFonts w:cs="Arial"/>
          <w:szCs w:val="26"/>
        </w:rPr>
        <w:t>Revocation of previous Determination</w:t>
      </w:r>
    </w:p>
    <w:p w14:paraId="6196C0C2" w14:textId="7456F50D" w:rsidR="007612FA" w:rsidRPr="002E55A6" w:rsidRDefault="00DC6C6D" w:rsidP="00AE2CF2">
      <w:pPr>
        <w:numPr>
          <w:ilvl w:val="1"/>
          <w:numId w:val="4"/>
        </w:numPr>
        <w:tabs>
          <w:tab w:val="clear" w:pos="720"/>
        </w:tabs>
        <w:spacing w:before="80" w:after="60"/>
        <w:ind w:left="709" w:hanging="709"/>
      </w:pPr>
      <w:r w:rsidRPr="002E55A6">
        <w:t>Determination</w:t>
      </w:r>
      <w:r w:rsidR="00CB4279" w:rsidRPr="002E55A6">
        <w:t xml:space="preserve"> </w:t>
      </w:r>
      <w:r w:rsidR="00A04923">
        <w:t>15</w:t>
      </w:r>
      <w:r w:rsidR="008B31E7" w:rsidRPr="002E55A6">
        <w:t xml:space="preserve"> of 201</w:t>
      </w:r>
      <w:r w:rsidR="00710ECE" w:rsidRPr="002E55A6">
        <w:t>9</w:t>
      </w:r>
      <w:r w:rsidR="008B31E7" w:rsidRPr="002E55A6">
        <w:t xml:space="preserve"> is</w:t>
      </w:r>
      <w:r w:rsidR="00676255" w:rsidRPr="002E55A6">
        <w:t xml:space="preserve"> </w:t>
      </w:r>
      <w:r w:rsidR="00CB4279" w:rsidRPr="002E55A6">
        <w:t>revoked</w:t>
      </w:r>
      <w:r w:rsidR="00007899" w:rsidRPr="002E55A6">
        <w:rPr>
          <w:b/>
        </w:rPr>
        <w:t>.</w:t>
      </w:r>
    </w:p>
    <w:bookmarkEnd w:id="0"/>
    <w:tbl>
      <w:tblPr>
        <w:tblW w:w="0" w:type="auto"/>
        <w:tblLook w:val="04A0" w:firstRow="1" w:lastRow="0" w:firstColumn="1" w:lastColumn="0" w:noHBand="0" w:noVBand="1"/>
      </w:tblPr>
      <w:tblGrid>
        <w:gridCol w:w="4529"/>
        <w:gridCol w:w="4488"/>
      </w:tblGrid>
      <w:tr w:rsidR="00326E4B" w:rsidRPr="006A51E8" w14:paraId="30E210B4" w14:textId="77777777" w:rsidTr="002046EC">
        <w:tc>
          <w:tcPr>
            <w:tcW w:w="4529" w:type="dxa"/>
          </w:tcPr>
          <w:p w14:paraId="4A5E3B0E" w14:textId="77777777" w:rsidR="00326E4B" w:rsidRPr="000F41B0" w:rsidRDefault="00326E4B" w:rsidP="002046EC">
            <w:pPr>
              <w:tabs>
                <w:tab w:val="left" w:pos="4253"/>
                <w:tab w:val="left" w:leader="dot" w:pos="8222"/>
              </w:tabs>
              <w:rPr>
                <w:szCs w:val="24"/>
              </w:rPr>
            </w:pPr>
          </w:p>
          <w:p w14:paraId="1C0C757C" w14:textId="77777777" w:rsidR="00326E4B" w:rsidRPr="000F41B0" w:rsidRDefault="00326E4B" w:rsidP="002046EC">
            <w:pPr>
              <w:tabs>
                <w:tab w:val="left" w:pos="4253"/>
                <w:tab w:val="left" w:pos="7230"/>
                <w:tab w:val="left" w:leader="dot" w:pos="8222"/>
              </w:tabs>
              <w:rPr>
                <w:szCs w:val="24"/>
              </w:rPr>
            </w:pPr>
            <w:r>
              <w:rPr>
                <w:szCs w:val="24"/>
              </w:rPr>
              <w:t>Ms Sandra Lambert AM</w:t>
            </w:r>
            <w:r w:rsidRPr="000F41B0">
              <w:rPr>
                <w:szCs w:val="24"/>
              </w:rPr>
              <w:tab/>
            </w:r>
          </w:p>
          <w:p w14:paraId="2503D104" w14:textId="77777777" w:rsidR="00326E4B" w:rsidRPr="000F41B0" w:rsidRDefault="00326E4B" w:rsidP="002046EC">
            <w:pPr>
              <w:tabs>
                <w:tab w:val="left" w:pos="7230"/>
              </w:tabs>
              <w:rPr>
                <w:szCs w:val="24"/>
              </w:rPr>
            </w:pPr>
            <w:r w:rsidRPr="000F41B0">
              <w:rPr>
                <w:szCs w:val="24"/>
              </w:rPr>
              <w:t>Chair</w:t>
            </w:r>
          </w:p>
          <w:p w14:paraId="1E765E6C" w14:textId="77777777" w:rsidR="00326E4B" w:rsidRDefault="00326E4B" w:rsidP="002046EC">
            <w:pPr>
              <w:tabs>
                <w:tab w:val="left" w:pos="4253"/>
                <w:tab w:val="left" w:leader="dot" w:pos="8222"/>
              </w:tabs>
              <w:rPr>
                <w:szCs w:val="24"/>
              </w:rPr>
            </w:pPr>
          </w:p>
          <w:p w14:paraId="3E111227" w14:textId="77777777" w:rsidR="00326E4B" w:rsidRPr="000F41B0" w:rsidRDefault="00326E4B" w:rsidP="002046EC">
            <w:pPr>
              <w:tabs>
                <w:tab w:val="left" w:pos="4253"/>
                <w:tab w:val="left" w:leader="dot" w:pos="8222"/>
              </w:tabs>
              <w:spacing w:after="120"/>
              <w:rPr>
                <w:szCs w:val="24"/>
              </w:rPr>
            </w:pPr>
          </w:p>
        </w:tc>
        <w:tc>
          <w:tcPr>
            <w:tcW w:w="4488" w:type="dxa"/>
          </w:tcPr>
          <w:p w14:paraId="2FF22F7F" w14:textId="77777777" w:rsidR="00326E4B" w:rsidRDefault="00326E4B" w:rsidP="002046EC">
            <w:pPr>
              <w:tabs>
                <w:tab w:val="left" w:pos="3059"/>
                <w:tab w:val="left" w:pos="7230"/>
              </w:tabs>
            </w:pPr>
          </w:p>
          <w:p w14:paraId="7914DFFE" w14:textId="77777777" w:rsidR="00326E4B" w:rsidRPr="006A51E8" w:rsidRDefault="00326E4B" w:rsidP="002046EC">
            <w:pPr>
              <w:tabs>
                <w:tab w:val="left" w:pos="3059"/>
                <w:tab w:val="left" w:pos="7230"/>
              </w:tabs>
              <w:spacing w:before="120"/>
            </w:pPr>
            <w:r>
              <w:t xml:space="preserve"> </w:t>
            </w:r>
            <w:r>
              <w:br/>
              <w:t xml:space="preserve"> </w:t>
            </w:r>
            <w:r w:rsidRPr="00A9481F">
              <w:t>...............................</w:t>
            </w:r>
            <w:r>
              <w:t>.................</w:t>
            </w:r>
          </w:p>
        </w:tc>
      </w:tr>
      <w:tr w:rsidR="00326E4B" w:rsidRPr="006A51E8" w14:paraId="11A59D4F" w14:textId="77777777" w:rsidTr="002046EC">
        <w:tc>
          <w:tcPr>
            <w:tcW w:w="4529" w:type="dxa"/>
          </w:tcPr>
          <w:p w14:paraId="6BA7A5ED" w14:textId="77777777" w:rsidR="00326E4B" w:rsidRPr="000F41B0" w:rsidRDefault="00326E4B" w:rsidP="002046EC">
            <w:pPr>
              <w:tabs>
                <w:tab w:val="left" w:pos="4253"/>
                <w:tab w:val="left" w:leader="dot" w:pos="8222"/>
              </w:tabs>
              <w:rPr>
                <w:szCs w:val="24"/>
              </w:rPr>
            </w:pPr>
            <w:r>
              <w:rPr>
                <w:szCs w:val="24"/>
              </w:rPr>
              <w:t>Dr James Popple</w:t>
            </w:r>
            <w:r w:rsidRPr="000F41B0">
              <w:rPr>
                <w:szCs w:val="24"/>
              </w:rPr>
              <w:tab/>
            </w:r>
          </w:p>
          <w:p w14:paraId="19955B74" w14:textId="77777777" w:rsidR="00326E4B" w:rsidRPr="000F41B0" w:rsidRDefault="00326E4B" w:rsidP="002046EC">
            <w:pPr>
              <w:tabs>
                <w:tab w:val="left" w:pos="4253"/>
                <w:tab w:val="left" w:leader="dot" w:pos="8222"/>
              </w:tabs>
              <w:rPr>
                <w:szCs w:val="24"/>
              </w:rPr>
            </w:pPr>
            <w:r w:rsidRPr="000F41B0">
              <w:rPr>
                <w:szCs w:val="24"/>
              </w:rPr>
              <w:t>Member</w:t>
            </w:r>
          </w:p>
        </w:tc>
        <w:tc>
          <w:tcPr>
            <w:tcW w:w="4488" w:type="dxa"/>
          </w:tcPr>
          <w:p w14:paraId="11E2296A" w14:textId="77777777" w:rsidR="00326E4B" w:rsidRDefault="00326E4B" w:rsidP="002046EC">
            <w:pPr>
              <w:tabs>
                <w:tab w:val="left" w:pos="3059"/>
                <w:tab w:val="left" w:pos="7230"/>
              </w:tabs>
            </w:pPr>
            <w:r w:rsidRPr="006A51E8">
              <w:t xml:space="preserve"> </w:t>
            </w:r>
          </w:p>
          <w:p w14:paraId="2C5B8ACC" w14:textId="77777777" w:rsidR="00326E4B" w:rsidRDefault="00326E4B" w:rsidP="002046EC">
            <w:pPr>
              <w:tabs>
                <w:tab w:val="left" w:pos="3059"/>
                <w:tab w:val="left" w:pos="7230"/>
              </w:tabs>
            </w:pPr>
          </w:p>
          <w:p w14:paraId="4EE86BEE" w14:textId="77777777" w:rsidR="00326E4B" w:rsidRDefault="00326E4B" w:rsidP="002046EC">
            <w:pPr>
              <w:tabs>
                <w:tab w:val="left" w:pos="3059"/>
                <w:tab w:val="left" w:pos="7230"/>
              </w:tabs>
            </w:pPr>
            <w:r>
              <w:t xml:space="preserve">  </w:t>
            </w:r>
            <w:r w:rsidRPr="00A9481F">
              <w:t>..............................</w:t>
            </w:r>
            <w:r>
              <w:t>.................</w:t>
            </w:r>
          </w:p>
          <w:p w14:paraId="45816FAA" w14:textId="77777777" w:rsidR="00326E4B" w:rsidRDefault="00326E4B" w:rsidP="002046EC">
            <w:pPr>
              <w:tabs>
                <w:tab w:val="left" w:pos="3059"/>
                <w:tab w:val="left" w:pos="7230"/>
              </w:tabs>
            </w:pPr>
          </w:p>
        </w:tc>
      </w:tr>
      <w:tr w:rsidR="00326E4B" w:rsidRPr="006A51E8" w14:paraId="72B7D81A" w14:textId="77777777" w:rsidTr="002046EC">
        <w:tc>
          <w:tcPr>
            <w:tcW w:w="4529" w:type="dxa"/>
          </w:tcPr>
          <w:p w14:paraId="19909D4B" w14:textId="77777777" w:rsidR="00326E4B" w:rsidRPr="000F41B0" w:rsidRDefault="00326E4B" w:rsidP="002046EC">
            <w:pPr>
              <w:tabs>
                <w:tab w:val="left" w:pos="4253"/>
                <w:tab w:val="left" w:pos="7230"/>
                <w:tab w:val="left" w:leader="dot" w:pos="8222"/>
              </w:tabs>
              <w:rPr>
                <w:szCs w:val="24"/>
              </w:rPr>
            </w:pPr>
          </w:p>
          <w:p w14:paraId="5BEF058F" w14:textId="77777777" w:rsidR="00326E4B" w:rsidRDefault="00326E4B" w:rsidP="002046EC">
            <w:pPr>
              <w:tabs>
                <w:tab w:val="left" w:pos="4253"/>
                <w:tab w:val="left" w:pos="7230"/>
                <w:tab w:val="left" w:leader="dot" w:pos="8222"/>
              </w:tabs>
              <w:rPr>
                <w:szCs w:val="24"/>
              </w:rPr>
            </w:pPr>
          </w:p>
          <w:p w14:paraId="7BB52B71" w14:textId="77777777" w:rsidR="00326E4B" w:rsidRPr="000F41B0" w:rsidRDefault="00326E4B" w:rsidP="002046EC">
            <w:pPr>
              <w:tabs>
                <w:tab w:val="left" w:pos="4253"/>
                <w:tab w:val="left" w:leader="dot" w:pos="8222"/>
              </w:tabs>
              <w:rPr>
                <w:szCs w:val="24"/>
              </w:rPr>
            </w:pPr>
            <w:r>
              <w:rPr>
                <w:szCs w:val="24"/>
              </w:rPr>
              <w:t>Mr Dale Boucher PSM</w:t>
            </w:r>
            <w:r w:rsidRPr="000F41B0">
              <w:rPr>
                <w:szCs w:val="24"/>
              </w:rPr>
              <w:tab/>
            </w:r>
          </w:p>
          <w:p w14:paraId="70508EDA" w14:textId="77777777" w:rsidR="00326E4B" w:rsidRPr="000F41B0" w:rsidRDefault="00326E4B" w:rsidP="002046EC">
            <w:pPr>
              <w:tabs>
                <w:tab w:val="left" w:pos="4253"/>
                <w:tab w:val="left" w:leader="dot" w:pos="8222"/>
              </w:tabs>
              <w:rPr>
                <w:szCs w:val="24"/>
              </w:rPr>
            </w:pPr>
            <w:r w:rsidRPr="000F41B0">
              <w:rPr>
                <w:szCs w:val="24"/>
              </w:rPr>
              <w:t xml:space="preserve">Member </w:t>
            </w:r>
          </w:p>
        </w:tc>
        <w:tc>
          <w:tcPr>
            <w:tcW w:w="4488" w:type="dxa"/>
          </w:tcPr>
          <w:p w14:paraId="5D852453" w14:textId="77777777" w:rsidR="00326E4B" w:rsidRDefault="00326E4B" w:rsidP="002046EC">
            <w:pPr>
              <w:tabs>
                <w:tab w:val="left" w:pos="4026"/>
                <w:tab w:val="left" w:pos="7230"/>
              </w:tabs>
            </w:pPr>
          </w:p>
          <w:p w14:paraId="57CF69FB" w14:textId="77777777" w:rsidR="00326E4B" w:rsidRDefault="00326E4B" w:rsidP="002046EC">
            <w:pPr>
              <w:tabs>
                <w:tab w:val="left" w:pos="4026"/>
                <w:tab w:val="left" w:pos="7230"/>
              </w:tabs>
            </w:pPr>
          </w:p>
          <w:p w14:paraId="4B219641" w14:textId="77777777" w:rsidR="00326E4B" w:rsidRDefault="00326E4B" w:rsidP="002046EC">
            <w:pPr>
              <w:tabs>
                <w:tab w:val="left" w:pos="4026"/>
                <w:tab w:val="left" w:pos="7230"/>
              </w:tabs>
            </w:pPr>
          </w:p>
          <w:p w14:paraId="628E0DCF" w14:textId="77777777" w:rsidR="00326E4B" w:rsidRDefault="00326E4B" w:rsidP="002046EC">
            <w:pPr>
              <w:tabs>
                <w:tab w:val="left" w:pos="3059"/>
                <w:tab w:val="left" w:pos="7230"/>
              </w:tabs>
            </w:pPr>
            <w:r>
              <w:t xml:space="preserve">  </w:t>
            </w:r>
            <w:r w:rsidRPr="00A9481F">
              <w:t>...............................</w:t>
            </w:r>
            <w:r>
              <w:t>................</w:t>
            </w:r>
          </w:p>
          <w:p w14:paraId="7EB4A200" w14:textId="77777777" w:rsidR="00326E4B" w:rsidRPr="006A51E8" w:rsidRDefault="00326E4B" w:rsidP="002046EC">
            <w:pPr>
              <w:tabs>
                <w:tab w:val="left" w:pos="3059"/>
                <w:tab w:val="left" w:pos="7230"/>
              </w:tabs>
            </w:pPr>
          </w:p>
        </w:tc>
      </w:tr>
    </w:tbl>
    <w:p w14:paraId="11EA5243" w14:textId="77777777" w:rsidR="00326E4B" w:rsidRDefault="00326E4B" w:rsidP="00326E4B">
      <w:pPr>
        <w:tabs>
          <w:tab w:val="left" w:pos="4320"/>
        </w:tabs>
        <w:jc w:val="right"/>
      </w:pPr>
      <w:r>
        <w:t>September 2020</w:t>
      </w:r>
    </w:p>
    <w:p w14:paraId="61897F83" w14:textId="77777777" w:rsidR="00326E4B" w:rsidRDefault="00326E4B"/>
    <w:sectPr w:rsidR="00326E4B"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8EB2B" w16cid:durableId="22FBA4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1DFA3" w14:textId="77777777" w:rsidR="00360526" w:rsidRDefault="00360526">
      <w:r>
        <w:separator/>
      </w:r>
    </w:p>
  </w:endnote>
  <w:endnote w:type="continuationSeparator" w:id="0">
    <w:p w14:paraId="305761F8" w14:textId="77777777" w:rsidR="00360526" w:rsidRDefault="0036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328A" w14:textId="77777777" w:rsidR="002A755E" w:rsidRDefault="002A7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1AB2" w14:textId="77777777" w:rsidR="008B31E7" w:rsidRPr="000424F9" w:rsidRDefault="008B31E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8516DF">
      <w:rPr>
        <w:rFonts w:ascii="Calibri" w:hAnsi="Calibri"/>
        <w:noProof/>
      </w:rPr>
      <w:t>2</w:t>
    </w:r>
    <w:r w:rsidRPr="000424F9">
      <w:rPr>
        <w:rFonts w:ascii="Calibri" w:hAnsi="Calibri"/>
        <w:noProof/>
      </w:rPr>
      <w:fldChar w:fldCharType="end"/>
    </w:r>
  </w:p>
  <w:p w14:paraId="3981253C" w14:textId="77777777" w:rsidR="008B31E7" w:rsidRDefault="008B31E7"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1FAEC" w14:textId="77777777" w:rsidR="002A755E" w:rsidRDefault="002A75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8516DF">
      <w:rPr>
        <w:rFonts w:ascii="Calibri" w:hAnsi="Calibri"/>
        <w:noProof/>
      </w:rPr>
      <w:t>6</w:t>
    </w:r>
    <w:r w:rsidRPr="000424F9">
      <w:rPr>
        <w:rFonts w:ascii="Calibri" w:hAnsi="Calibri"/>
        <w:noProof/>
      </w:rPr>
      <w:fldChar w:fldCharType="end"/>
    </w:r>
  </w:p>
  <w:p w14:paraId="3C83327D" w14:textId="77777777" w:rsidR="008B31E7" w:rsidRDefault="008B31E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B8A1" w14:textId="77777777" w:rsidR="008B31E7" w:rsidRDefault="008B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F50C5" w14:textId="77777777" w:rsidR="00360526" w:rsidRDefault="00360526">
      <w:r>
        <w:separator/>
      </w:r>
    </w:p>
  </w:footnote>
  <w:footnote w:type="continuationSeparator" w:id="0">
    <w:p w14:paraId="53F5E902" w14:textId="77777777" w:rsidR="00360526" w:rsidRDefault="00360526">
      <w:r>
        <w:continuationSeparator/>
      </w:r>
    </w:p>
  </w:footnote>
  <w:footnote w:id="1">
    <w:p w14:paraId="0E8B3DA5" w14:textId="416EE73C" w:rsidR="00B4120B" w:rsidRPr="00656529" w:rsidRDefault="00B4120B" w:rsidP="00656529">
      <w:r w:rsidRPr="002E55A6">
        <w:rPr>
          <w:rStyle w:val="FootnoteReference"/>
          <w:sz w:val="16"/>
          <w:szCs w:val="16"/>
        </w:rPr>
        <w:footnoteRef/>
      </w:r>
      <w:r w:rsidRPr="002E55A6">
        <w:rPr>
          <w:sz w:val="16"/>
          <w:szCs w:val="16"/>
        </w:rPr>
        <w:t xml:space="preserve"> </w:t>
      </w:r>
      <w:r w:rsidR="00656529" w:rsidRPr="008F2F7B">
        <w:rPr>
          <w:sz w:val="16"/>
          <w:szCs w:val="16"/>
          <w:lang w:val="en-GB"/>
        </w:rPr>
        <w:t>Australian Taxation Office – Taxation Determination 20</w:t>
      </w:r>
      <w:r w:rsidR="003D404C">
        <w:rPr>
          <w:sz w:val="16"/>
          <w:szCs w:val="16"/>
          <w:lang w:val="en-GB"/>
        </w:rPr>
        <w:t>20</w:t>
      </w:r>
      <w:r w:rsidR="00656529" w:rsidRPr="008F2F7B">
        <w:rPr>
          <w:sz w:val="16"/>
          <w:szCs w:val="16"/>
          <w:lang w:val="en-GB"/>
        </w:rPr>
        <w:t>/5 Income tax: what are the reasonable travel and overtime meal allowance expense amounts for the 2020-21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C097" w14:textId="77777777" w:rsidR="002A755E" w:rsidRDefault="002A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1D7A" w14:textId="349584B9" w:rsidR="002A755E" w:rsidRDefault="002A7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6DFC" w14:textId="77777777" w:rsidR="002A755E" w:rsidRDefault="002A75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D7E2" w14:textId="77777777" w:rsidR="008B31E7" w:rsidRDefault="008B31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564E" w14:textId="77777777" w:rsidR="008B31E7" w:rsidRDefault="008B31E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1FD6" w14:textId="77777777" w:rsidR="008B31E7" w:rsidRDefault="008B3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44F6"/>
    <w:multiLevelType w:val="hybridMultilevel"/>
    <w:tmpl w:val="9FA0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1"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8"/>
  </w:num>
  <w:num w:numId="3">
    <w:abstractNumId w:val="2"/>
  </w:num>
  <w:num w:numId="4">
    <w:abstractNumId w:val="21"/>
  </w:num>
  <w:num w:numId="5">
    <w:abstractNumId w:val="14"/>
  </w:num>
  <w:num w:numId="6">
    <w:abstractNumId w:val="17"/>
  </w:num>
  <w:num w:numId="7">
    <w:abstractNumId w:val="10"/>
  </w:num>
  <w:num w:numId="8">
    <w:abstractNumId w:val="19"/>
  </w:num>
  <w:num w:numId="9">
    <w:abstractNumId w:val="21"/>
  </w:num>
  <w:num w:numId="10">
    <w:abstractNumId w:val="21"/>
  </w:num>
  <w:num w:numId="11">
    <w:abstractNumId w:val="20"/>
  </w:num>
  <w:num w:numId="12">
    <w:abstractNumId w:val="15"/>
  </w:num>
  <w:num w:numId="13">
    <w:abstractNumId w:val="16"/>
  </w:num>
  <w:num w:numId="14">
    <w:abstractNumId w:val="11"/>
  </w:num>
  <w:num w:numId="15">
    <w:abstractNumId w:val="22"/>
  </w:num>
  <w:num w:numId="16">
    <w:abstractNumId w:val="13"/>
  </w:num>
  <w:num w:numId="17">
    <w:abstractNumId w:val="4"/>
  </w:num>
  <w:num w:numId="18">
    <w:abstractNumId w:val="7"/>
  </w:num>
  <w:num w:numId="19">
    <w:abstractNumId w:val="0"/>
  </w:num>
  <w:num w:numId="20">
    <w:abstractNumId w:val="9"/>
  </w:num>
  <w:num w:numId="21">
    <w:abstractNumId w:val="18"/>
  </w:num>
  <w:num w:numId="22">
    <w:abstractNumId w:val="5"/>
  </w:num>
  <w:num w:numId="23">
    <w:abstractNumId w:val="12"/>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5042"/>
    <w:rsid w:val="000235E0"/>
    <w:rsid w:val="00026E8D"/>
    <w:rsid w:val="00031CFC"/>
    <w:rsid w:val="000424F9"/>
    <w:rsid w:val="00042DBD"/>
    <w:rsid w:val="0005314A"/>
    <w:rsid w:val="00056206"/>
    <w:rsid w:val="00056F1E"/>
    <w:rsid w:val="0006177A"/>
    <w:rsid w:val="000656D9"/>
    <w:rsid w:val="00071534"/>
    <w:rsid w:val="000739D1"/>
    <w:rsid w:val="00073FA6"/>
    <w:rsid w:val="00090A4E"/>
    <w:rsid w:val="000945B5"/>
    <w:rsid w:val="00094C9A"/>
    <w:rsid w:val="00097FB9"/>
    <w:rsid w:val="000C05D0"/>
    <w:rsid w:val="000C0FBA"/>
    <w:rsid w:val="000D063D"/>
    <w:rsid w:val="000D2E7C"/>
    <w:rsid w:val="000D3858"/>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4510"/>
    <w:rsid w:val="00134E9D"/>
    <w:rsid w:val="0013640A"/>
    <w:rsid w:val="00145B13"/>
    <w:rsid w:val="00151E69"/>
    <w:rsid w:val="0015430B"/>
    <w:rsid w:val="0016506F"/>
    <w:rsid w:val="0018623B"/>
    <w:rsid w:val="001877F5"/>
    <w:rsid w:val="001A333D"/>
    <w:rsid w:val="001B199D"/>
    <w:rsid w:val="001B4DE2"/>
    <w:rsid w:val="001D03AE"/>
    <w:rsid w:val="001D1882"/>
    <w:rsid w:val="001E7230"/>
    <w:rsid w:val="001F44E1"/>
    <w:rsid w:val="001F6DFA"/>
    <w:rsid w:val="0021099D"/>
    <w:rsid w:val="00220C1E"/>
    <w:rsid w:val="0024270A"/>
    <w:rsid w:val="00247608"/>
    <w:rsid w:val="00260189"/>
    <w:rsid w:val="002740B6"/>
    <w:rsid w:val="002A134C"/>
    <w:rsid w:val="002A4ADA"/>
    <w:rsid w:val="002A755E"/>
    <w:rsid w:val="002B391E"/>
    <w:rsid w:val="002C0635"/>
    <w:rsid w:val="002C2521"/>
    <w:rsid w:val="002C2963"/>
    <w:rsid w:val="002C3B13"/>
    <w:rsid w:val="002C5A60"/>
    <w:rsid w:val="002C785E"/>
    <w:rsid w:val="002D40AF"/>
    <w:rsid w:val="002E23E7"/>
    <w:rsid w:val="002E4735"/>
    <w:rsid w:val="002E55A6"/>
    <w:rsid w:val="003019CD"/>
    <w:rsid w:val="003114FB"/>
    <w:rsid w:val="00326E4B"/>
    <w:rsid w:val="0033335A"/>
    <w:rsid w:val="003336A8"/>
    <w:rsid w:val="00347A7E"/>
    <w:rsid w:val="00360526"/>
    <w:rsid w:val="00362495"/>
    <w:rsid w:val="0036438B"/>
    <w:rsid w:val="003661F9"/>
    <w:rsid w:val="003715E6"/>
    <w:rsid w:val="00372DD3"/>
    <w:rsid w:val="00373E37"/>
    <w:rsid w:val="00381CF4"/>
    <w:rsid w:val="00383A02"/>
    <w:rsid w:val="00391B63"/>
    <w:rsid w:val="003A57A2"/>
    <w:rsid w:val="003A7730"/>
    <w:rsid w:val="003B0300"/>
    <w:rsid w:val="003B1A08"/>
    <w:rsid w:val="003D2768"/>
    <w:rsid w:val="003D2D25"/>
    <w:rsid w:val="003D404C"/>
    <w:rsid w:val="003D4E8A"/>
    <w:rsid w:val="003D59CB"/>
    <w:rsid w:val="003E79F7"/>
    <w:rsid w:val="003F5154"/>
    <w:rsid w:val="003F6933"/>
    <w:rsid w:val="003F7A76"/>
    <w:rsid w:val="004004FA"/>
    <w:rsid w:val="00403576"/>
    <w:rsid w:val="00437715"/>
    <w:rsid w:val="00441444"/>
    <w:rsid w:val="00444337"/>
    <w:rsid w:val="004455DD"/>
    <w:rsid w:val="00451281"/>
    <w:rsid w:val="00456209"/>
    <w:rsid w:val="00466A6D"/>
    <w:rsid w:val="00470F0C"/>
    <w:rsid w:val="00475411"/>
    <w:rsid w:val="0047670B"/>
    <w:rsid w:val="004A2467"/>
    <w:rsid w:val="004A3DC1"/>
    <w:rsid w:val="004B3191"/>
    <w:rsid w:val="004B4A80"/>
    <w:rsid w:val="004B66BB"/>
    <w:rsid w:val="004B688C"/>
    <w:rsid w:val="004B71C5"/>
    <w:rsid w:val="004C2A9A"/>
    <w:rsid w:val="004C42DA"/>
    <w:rsid w:val="004C4847"/>
    <w:rsid w:val="004C603F"/>
    <w:rsid w:val="004C6DE2"/>
    <w:rsid w:val="004D35A7"/>
    <w:rsid w:val="004D44E5"/>
    <w:rsid w:val="004F66D7"/>
    <w:rsid w:val="004F77CB"/>
    <w:rsid w:val="00501D7C"/>
    <w:rsid w:val="00510BDD"/>
    <w:rsid w:val="00513C42"/>
    <w:rsid w:val="005152BC"/>
    <w:rsid w:val="005158B0"/>
    <w:rsid w:val="00516063"/>
    <w:rsid w:val="005210C7"/>
    <w:rsid w:val="00521DCD"/>
    <w:rsid w:val="00524C8A"/>
    <w:rsid w:val="00531C63"/>
    <w:rsid w:val="005515EE"/>
    <w:rsid w:val="00557E3B"/>
    <w:rsid w:val="005708C7"/>
    <w:rsid w:val="00570E42"/>
    <w:rsid w:val="0059383C"/>
    <w:rsid w:val="005A7C99"/>
    <w:rsid w:val="005B0ACC"/>
    <w:rsid w:val="005B397F"/>
    <w:rsid w:val="005B596D"/>
    <w:rsid w:val="005C08FE"/>
    <w:rsid w:val="005D23A4"/>
    <w:rsid w:val="005D7B83"/>
    <w:rsid w:val="005E0200"/>
    <w:rsid w:val="005E0686"/>
    <w:rsid w:val="005E66E2"/>
    <w:rsid w:val="005E7A3E"/>
    <w:rsid w:val="005F35AD"/>
    <w:rsid w:val="00604F0B"/>
    <w:rsid w:val="00616924"/>
    <w:rsid w:val="0061777D"/>
    <w:rsid w:val="00621F10"/>
    <w:rsid w:val="006332BC"/>
    <w:rsid w:val="00647F0A"/>
    <w:rsid w:val="00656529"/>
    <w:rsid w:val="00657808"/>
    <w:rsid w:val="00667D31"/>
    <w:rsid w:val="00671B76"/>
    <w:rsid w:val="00671C75"/>
    <w:rsid w:val="00674580"/>
    <w:rsid w:val="00674BD0"/>
    <w:rsid w:val="00675113"/>
    <w:rsid w:val="00676255"/>
    <w:rsid w:val="00677B60"/>
    <w:rsid w:val="00681507"/>
    <w:rsid w:val="0069220A"/>
    <w:rsid w:val="00697229"/>
    <w:rsid w:val="006A4265"/>
    <w:rsid w:val="006A5149"/>
    <w:rsid w:val="006A6A44"/>
    <w:rsid w:val="006B1541"/>
    <w:rsid w:val="006B231A"/>
    <w:rsid w:val="006B2E82"/>
    <w:rsid w:val="006C7757"/>
    <w:rsid w:val="006D6312"/>
    <w:rsid w:val="006E1141"/>
    <w:rsid w:val="006E53A9"/>
    <w:rsid w:val="006E6165"/>
    <w:rsid w:val="006F1565"/>
    <w:rsid w:val="00710ECE"/>
    <w:rsid w:val="00714AD4"/>
    <w:rsid w:val="00714C87"/>
    <w:rsid w:val="0071674A"/>
    <w:rsid w:val="00730C82"/>
    <w:rsid w:val="00732D04"/>
    <w:rsid w:val="00743DEB"/>
    <w:rsid w:val="00747932"/>
    <w:rsid w:val="007534BC"/>
    <w:rsid w:val="007612FA"/>
    <w:rsid w:val="007653BC"/>
    <w:rsid w:val="00774F91"/>
    <w:rsid w:val="0078119F"/>
    <w:rsid w:val="00791C85"/>
    <w:rsid w:val="007A0CEA"/>
    <w:rsid w:val="007A11BD"/>
    <w:rsid w:val="007B25A5"/>
    <w:rsid w:val="007B2F07"/>
    <w:rsid w:val="007B3033"/>
    <w:rsid w:val="007B444B"/>
    <w:rsid w:val="007B5A4D"/>
    <w:rsid w:val="007B6EFD"/>
    <w:rsid w:val="007B7D04"/>
    <w:rsid w:val="007C5913"/>
    <w:rsid w:val="007E0063"/>
    <w:rsid w:val="007E11E5"/>
    <w:rsid w:val="007E3378"/>
    <w:rsid w:val="007E6AB7"/>
    <w:rsid w:val="00802958"/>
    <w:rsid w:val="00802ACA"/>
    <w:rsid w:val="0080694B"/>
    <w:rsid w:val="008151E4"/>
    <w:rsid w:val="0081580E"/>
    <w:rsid w:val="00816BA9"/>
    <w:rsid w:val="008236B1"/>
    <w:rsid w:val="008316A3"/>
    <w:rsid w:val="00832CA7"/>
    <w:rsid w:val="00835A36"/>
    <w:rsid w:val="00842A40"/>
    <w:rsid w:val="00842AA2"/>
    <w:rsid w:val="00843E1B"/>
    <w:rsid w:val="00844AC8"/>
    <w:rsid w:val="008516DF"/>
    <w:rsid w:val="00852752"/>
    <w:rsid w:val="00864B6A"/>
    <w:rsid w:val="00865598"/>
    <w:rsid w:val="00867A92"/>
    <w:rsid w:val="00867F9A"/>
    <w:rsid w:val="00870068"/>
    <w:rsid w:val="0087377E"/>
    <w:rsid w:val="00877EB0"/>
    <w:rsid w:val="00882C73"/>
    <w:rsid w:val="00883CEC"/>
    <w:rsid w:val="00891859"/>
    <w:rsid w:val="0089656C"/>
    <w:rsid w:val="008B31E7"/>
    <w:rsid w:val="008B6DDC"/>
    <w:rsid w:val="008C43AB"/>
    <w:rsid w:val="008C5BE2"/>
    <w:rsid w:val="008D0A3D"/>
    <w:rsid w:val="008D5909"/>
    <w:rsid w:val="008E5FD7"/>
    <w:rsid w:val="008E7762"/>
    <w:rsid w:val="008F53E6"/>
    <w:rsid w:val="009031DC"/>
    <w:rsid w:val="0091032A"/>
    <w:rsid w:val="009118FF"/>
    <w:rsid w:val="00913DC0"/>
    <w:rsid w:val="0091771F"/>
    <w:rsid w:val="0092035A"/>
    <w:rsid w:val="00926988"/>
    <w:rsid w:val="009277F6"/>
    <w:rsid w:val="00935862"/>
    <w:rsid w:val="009458C6"/>
    <w:rsid w:val="009468BC"/>
    <w:rsid w:val="00946CD2"/>
    <w:rsid w:val="00960FDB"/>
    <w:rsid w:val="00964233"/>
    <w:rsid w:val="009649E8"/>
    <w:rsid w:val="0097023D"/>
    <w:rsid w:val="00977C4D"/>
    <w:rsid w:val="009859F7"/>
    <w:rsid w:val="00986FF6"/>
    <w:rsid w:val="00992018"/>
    <w:rsid w:val="0099547F"/>
    <w:rsid w:val="009A108C"/>
    <w:rsid w:val="009A441F"/>
    <w:rsid w:val="009D1A1F"/>
    <w:rsid w:val="009D5A09"/>
    <w:rsid w:val="009E34DA"/>
    <w:rsid w:val="009E4C67"/>
    <w:rsid w:val="009E735F"/>
    <w:rsid w:val="009F419B"/>
    <w:rsid w:val="009F7359"/>
    <w:rsid w:val="00A04923"/>
    <w:rsid w:val="00A10D88"/>
    <w:rsid w:val="00A2357D"/>
    <w:rsid w:val="00A272F8"/>
    <w:rsid w:val="00A403CA"/>
    <w:rsid w:val="00A42F30"/>
    <w:rsid w:val="00A53B73"/>
    <w:rsid w:val="00A7057A"/>
    <w:rsid w:val="00A72561"/>
    <w:rsid w:val="00A760A2"/>
    <w:rsid w:val="00A77538"/>
    <w:rsid w:val="00A8018D"/>
    <w:rsid w:val="00A90AB7"/>
    <w:rsid w:val="00AA388B"/>
    <w:rsid w:val="00AB0311"/>
    <w:rsid w:val="00AC1C71"/>
    <w:rsid w:val="00AC729A"/>
    <w:rsid w:val="00AD06CC"/>
    <w:rsid w:val="00AD5324"/>
    <w:rsid w:val="00AD58CE"/>
    <w:rsid w:val="00AD5E24"/>
    <w:rsid w:val="00AE2CF2"/>
    <w:rsid w:val="00AE3615"/>
    <w:rsid w:val="00AE689E"/>
    <w:rsid w:val="00AE77C3"/>
    <w:rsid w:val="00AF6998"/>
    <w:rsid w:val="00B34D90"/>
    <w:rsid w:val="00B40DE4"/>
    <w:rsid w:val="00B41011"/>
    <w:rsid w:val="00B4120B"/>
    <w:rsid w:val="00B42918"/>
    <w:rsid w:val="00B44433"/>
    <w:rsid w:val="00B50DAA"/>
    <w:rsid w:val="00B543C2"/>
    <w:rsid w:val="00B602B7"/>
    <w:rsid w:val="00B61E76"/>
    <w:rsid w:val="00B634A3"/>
    <w:rsid w:val="00B7359A"/>
    <w:rsid w:val="00B75CD8"/>
    <w:rsid w:val="00B76438"/>
    <w:rsid w:val="00B80964"/>
    <w:rsid w:val="00B826F0"/>
    <w:rsid w:val="00B94E3B"/>
    <w:rsid w:val="00B960E0"/>
    <w:rsid w:val="00B96194"/>
    <w:rsid w:val="00B97BF2"/>
    <w:rsid w:val="00BB3562"/>
    <w:rsid w:val="00BB4A62"/>
    <w:rsid w:val="00BB7044"/>
    <w:rsid w:val="00BC2ABD"/>
    <w:rsid w:val="00BD1474"/>
    <w:rsid w:val="00BE3052"/>
    <w:rsid w:val="00BE4B52"/>
    <w:rsid w:val="00C03DBD"/>
    <w:rsid w:val="00C05120"/>
    <w:rsid w:val="00C053A5"/>
    <w:rsid w:val="00C10C16"/>
    <w:rsid w:val="00C15AC6"/>
    <w:rsid w:val="00C22742"/>
    <w:rsid w:val="00C23982"/>
    <w:rsid w:val="00C241CD"/>
    <w:rsid w:val="00C2538E"/>
    <w:rsid w:val="00C27763"/>
    <w:rsid w:val="00C5322A"/>
    <w:rsid w:val="00C561B4"/>
    <w:rsid w:val="00C616D7"/>
    <w:rsid w:val="00C61F9D"/>
    <w:rsid w:val="00C71242"/>
    <w:rsid w:val="00C76A53"/>
    <w:rsid w:val="00C810A6"/>
    <w:rsid w:val="00C90DE3"/>
    <w:rsid w:val="00C91627"/>
    <w:rsid w:val="00C95977"/>
    <w:rsid w:val="00CA01A6"/>
    <w:rsid w:val="00CA0D6A"/>
    <w:rsid w:val="00CA0E47"/>
    <w:rsid w:val="00CA4D79"/>
    <w:rsid w:val="00CA59D1"/>
    <w:rsid w:val="00CA682D"/>
    <w:rsid w:val="00CB1C7E"/>
    <w:rsid w:val="00CB4279"/>
    <w:rsid w:val="00CB7D64"/>
    <w:rsid w:val="00CB7ED3"/>
    <w:rsid w:val="00CC57FE"/>
    <w:rsid w:val="00CD1EAD"/>
    <w:rsid w:val="00CF2E46"/>
    <w:rsid w:val="00D003B9"/>
    <w:rsid w:val="00D04F1B"/>
    <w:rsid w:val="00D2178F"/>
    <w:rsid w:val="00D24A6F"/>
    <w:rsid w:val="00D24ABC"/>
    <w:rsid w:val="00D31E04"/>
    <w:rsid w:val="00D364F2"/>
    <w:rsid w:val="00D42DD5"/>
    <w:rsid w:val="00D452F4"/>
    <w:rsid w:val="00D47FC9"/>
    <w:rsid w:val="00D5308B"/>
    <w:rsid w:val="00D6128B"/>
    <w:rsid w:val="00D61781"/>
    <w:rsid w:val="00D6184E"/>
    <w:rsid w:val="00D66012"/>
    <w:rsid w:val="00D833FF"/>
    <w:rsid w:val="00D850CE"/>
    <w:rsid w:val="00DA3D0F"/>
    <w:rsid w:val="00DB27EE"/>
    <w:rsid w:val="00DC011D"/>
    <w:rsid w:val="00DC337A"/>
    <w:rsid w:val="00DC35CF"/>
    <w:rsid w:val="00DC40FD"/>
    <w:rsid w:val="00DC5108"/>
    <w:rsid w:val="00DC6C6D"/>
    <w:rsid w:val="00DD73BE"/>
    <w:rsid w:val="00DE6EB1"/>
    <w:rsid w:val="00DF0D48"/>
    <w:rsid w:val="00DF10B8"/>
    <w:rsid w:val="00DF140E"/>
    <w:rsid w:val="00DF3859"/>
    <w:rsid w:val="00DF4AC6"/>
    <w:rsid w:val="00E012BE"/>
    <w:rsid w:val="00E01547"/>
    <w:rsid w:val="00E14F84"/>
    <w:rsid w:val="00E16907"/>
    <w:rsid w:val="00E24700"/>
    <w:rsid w:val="00E32058"/>
    <w:rsid w:val="00E33098"/>
    <w:rsid w:val="00E356CE"/>
    <w:rsid w:val="00E35B41"/>
    <w:rsid w:val="00E43087"/>
    <w:rsid w:val="00E52548"/>
    <w:rsid w:val="00E546CC"/>
    <w:rsid w:val="00E55F9B"/>
    <w:rsid w:val="00E61D6D"/>
    <w:rsid w:val="00E66FEB"/>
    <w:rsid w:val="00E846BF"/>
    <w:rsid w:val="00EA1A9E"/>
    <w:rsid w:val="00EE2454"/>
    <w:rsid w:val="00EF040C"/>
    <w:rsid w:val="00F07BE6"/>
    <w:rsid w:val="00F20117"/>
    <w:rsid w:val="00F215BD"/>
    <w:rsid w:val="00F23FF5"/>
    <w:rsid w:val="00F31978"/>
    <w:rsid w:val="00F3297E"/>
    <w:rsid w:val="00F35025"/>
    <w:rsid w:val="00F412B1"/>
    <w:rsid w:val="00F54DBA"/>
    <w:rsid w:val="00F5535C"/>
    <w:rsid w:val="00F55699"/>
    <w:rsid w:val="00F572EC"/>
    <w:rsid w:val="00F64856"/>
    <w:rsid w:val="00F67DFE"/>
    <w:rsid w:val="00F74957"/>
    <w:rsid w:val="00F74E7D"/>
    <w:rsid w:val="00F74FF0"/>
    <w:rsid w:val="00F84806"/>
    <w:rsid w:val="00F875AC"/>
    <w:rsid w:val="00F87E50"/>
    <w:rsid w:val="00F975B7"/>
    <w:rsid w:val="00FA3A75"/>
    <w:rsid w:val="00FB06AE"/>
    <w:rsid w:val="00FB4530"/>
    <w:rsid w:val="00FB7E3C"/>
    <w:rsid w:val="00FC1A46"/>
    <w:rsid w:val="00FC1AD2"/>
    <w:rsid w:val="00FC4D82"/>
    <w:rsid w:val="00FC5C65"/>
    <w:rsid w:val="00FD77B8"/>
    <w:rsid w:val="00FE11B6"/>
    <w:rsid w:val="00FE1DDA"/>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2D77BE19-8259-4378-96C7-69623947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3551</Words>
  <Characters>19125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22631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Andrew2</cp:lastModifiedBy>
  <cp:revision>7</cp:revision>
  <cp:lastPrinted>2018-03-18T23:32:00Z</cp:lastPrinted>
  <dcterms:created xsi:type="dcterms:W3CDTF">2020-09-03T07:28:00Z</dcterms:created>
  <dcterms:modified xsi:type="dcterms:W3CDTF">2020-09-04T07:55:00Z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