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86E7A" w14:textId="77777777" w:rsidR="00F11BCC" w:rsidRPr="003B1A08" w:rsidRDefault="000C1670" w:rsidP="00F11BCC">
      <w:pPr>
        <w:spacing w:before="120"/>
        <w:rPr>
          <w:rFonts w:cs="Arial"/>
          <w:sz w:val="28"/>
          <w:szCs w:val="28"/>
        </w:rPr>
      </w:pPr>
      <w:bookmarkStart w:id="0" w:name="_Toc44738651"/>
      <w:r>
        <w:rPr>
          <w:rFonts w:cs="Arial"/>
          <w:noProof/>
          <w:lang w:eastAsia="en-AU"/>
        </w:rPr>
        <w:drawing>
          <wp:inline distT="0" distB="0" distL="0" distR="0" wp14:anchorId="3E2325F0" wp14:editId="65733104">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sidRPr="003B1A08">
        <w:rPr>
          <w:rFonts w:cs="Arial"/>
          <w:sz w:val="28"/>
          <w:szCs w:val="28"/>
        </w:rPr>
        <w:t>Australian Capital Territory Remuneration Tribunal</w:t>
      </w:r>
    </w:p>
    <w:p w14:paraId="23132AD2" w14:textId="5097E556" w:rsidR="004B34E6" w:rsidRPr="00366D86" w:rsidRDefault="004B34E6" w:rsidP="004B34E6">
      <w:pPr>
        <w:pStyle w:val="Heading1"/>
        <w:rPr>
          <w:color w:val="000000" w:themeColor="text1"/>
        </w:rPr>
      </w:pPr>
      <w:r w:rsidRPr="006E7416">
        <w:rPr>
          <w:color w:val="000000" w:themeColor="text1"/>
        </w:rPr>
        <w:t xml:space="preserve">Determination </w:t>
      </w:r>
      <w:r w:rsidR="0054199E" w:rsidRPr="006E7416">
        <w:rPr>
          <w:color w:val="000000" w:themeColor="text1"/>
        </w:rPr>
        <w:t xml:space="preserve">1 </w:t>
      </w:r>
      <w:r w:rsidRPr="006E7416">
        <w:rPr>
          <w:color w:val="000000" w:themeColor="text1"/>
        </w:rPr>
        <w:t xml:space="preserve">of </w:t>
      </w:r>
      <w:r w:rsidR="006442AA">
        <w:rPr>
          <w:color w:val="000000" w:themeColor="text1"/>
        </w:rPr>
        <w:t>20</w:t>
      </w:r>
      <w:r w:rsidR="00B06BD8">
        <w:rPr>
          <w:color w:val="000000" w:themeColor="text1"/>
        </w:rPr>
        <w:t>2</w:t>
      </w:r>
      <w:r w:rsidR="0054199E">
        <w:rPr>
          <w:color w:val="000000" w:themeColor="text1"/>
        </w:rPr>
        <w:t>2</w:t>
      </w:r>
      <w:r w:rsidR="006442AA" w:rsidRPr="00366D86">
        <w:rPr>
          <w:color w:val="000000" w:themeColor="text1"/>
        </w:rPr>
        <w:t xml:space="preserve"> </w:t>
      </w:r>
    </w:p>
    <w:p w14:paraId="315E6E5E" w14:textId="77777777" w:rsidR="00F11BCC" w:rsidRPr="003B1A08" w:rsidRDefault="00F11BCC" w:rsidP="00F11BCC">
      <w:pPr>
        <w:pStyle w:val="Heading1"/>
      </w:pPr>
      <w:r>
        <w:t xml:space="preserve">Head of Service, </w:t>
      </w:r>
      <w:proofErr w:type="gramStart"/>
      <w:r>
        <w:t>Directors-General</w:t>
      </w:r>
      <w:proofErr w:type="gramEnd"/>
      <w:r>
        <w:t xml:space="preserve"> and Executives</w:t>
      </w:r>
    </w:p>
    <w:p w14:paraId="0EBCC8D8" w14:textId="77777777" w:rsidR="00F11BCC" w:rsidRPr="003B1A08" w:rsidRDefault="00F11BCC" w:rsidP="00F11BCC">
      <w:pPr>
        <w:pStyle w:val="madeunder"/>
        <w:spacing w:before="240" w:after="120"/>
      </w:pPr>
      <w:r w:rsidRPr="003B1A08">
        <w:t xml:space="preserve">made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55B5020D" w14:textId="209C97B2" w:rsidR="00F11BCC" w:rsidRPr="003B1A08" w:rsidRDefault="00F11BCC" w:rsidP="00F11BCC">
      <w:pPr>
        <w:pStyle w:val="Heading1"/>
      </w:pPr>
      <w:r w:rsidRPr="003B1A08">
        <w:t>AC</w:t>
      </w:r>
      <w:r>
        <w:t>C</w:t>
      </w:r>
      <w:r w:rsidRPr="003B1A08">
        <w:t>OMPANYING STATEMENT</w:t>
      </w:r>
      <w:r w:rsidR="007A78A8">
        <w:t xml:space="preserve">  </w:t>
      </w:r>
    </w:p>
    <w:p w14:paraId="1C1C82AB" w14:textId="77777777" w:rsidR="00F11BCC" w:rsidRPr="004D3741" w:rsidRDefault="00F11BCC" w:rsidP="004D3741">
      <w:pPr>
        <w:pStyle w:val="N-line3"/>
        <w:pBdr>
          <w:bottom w:val="none" w:sz="0" w:space="0" w:color="auto"/>
        </w:pBdr>
        <w:rPr>
          <w:sz w:val="16"/>
          <w:szCs w:val="16"/>
        </w:rPr>
      </w:pPr>
    </w:p>
    <w:p w14:paraId="0CCD9AB6" w14:textId="77777777" w:rsidR="00F11BCC" w:rsidRPr="004D3741" w:rsidRDefault="00F11BCC" w:rsidP="004D3741">
      <w:pPr>
        <w:pStyle w:val="N-line3"/>
        <w:pBdr>
          <w:top w:val="single" w:sz="12" w:space="1" w:color="auto"/>
          <w:bottom w:val="none" w:sz="0" w:space="0" w:color="auto"/>
        </w:pBdr>
        <w:rPr>
          <w:sz w:val="16"/>
          <w:szCs w:val="16"/>
        </w:rPr>
      </w:pPr>
    </w:p>
    <w:p w14:paraId="46B5019F" w14:textId="77777777" w:rsidR="007C66D9" w:rsidRPr="007C66D9" w:rsidRDefault="007C66D9" w:rsidP="00EA1D9F">
      <w:pPr>
        <w:spacing w:after="60"/>
        <w:rPr>
          <w:b/>
        </w:rPr>
      </w:pPr>
      <w:r>
        <w:rPr>
          <w:b/>
        </w:rPr>
        <w:t>Background</w:t>
      </w:r>
    </w:p>
    <w:p w14:paraId="290C11DF" w14:textId="1EFB6056" w:rsidR="00F11BCC" w:rsidRPr="009D2938" w:rsidRDefault="00F11BCC" w:rsidP="004D3741">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rsidR="00E102AE">
        <w:t xml:space="preserve">(the Act), </w:t>
      </w:r>
      <w:r w:rsidRPr="00E83359">
        <w:t xml:space="preserve">the Remuneration </w:t>
      </w:r>
      <w:r w:rsidRPr="009D2938">
        <w:rPr>
          <w:color w:val="000000" w:themeColor="text1"/>
        </w:rPr>
        <w:t>Tribunal (</w:t>
      </w:r>
      <w:r w:rsidR="00E102AE" w:rsidRPr="009D2938">
        <w:rPr>
          <w:color w:val="000000" w:themeColor="text1"/>
        </w:rPr>
        <w:t xml:space="preserve">the </w:t>
      </w:r>
      <w:r w:rsidRPr="009D2938">
        <w:rPr>
          <w:color w:val="000000" w:themeColor="text1"/>
        </w:rPr>
        <w:t xml:space="preserve">Tribunal) </w:t>
      </w:r>
      <w:r w:rsidR="00E102AE" w:rsidRPr="009D2938">
        <w:rPr>
          <w:color w:val="000000" w:themeColor="text1"/>
        </w:rPr>
        <w:t xml:space="preserve">is required to </w:t>
      </w:r>
      <w:r w:rsidRPr="009D2938">
        <w:rPr>
          <w:color w:val="000000" w:themeColor="text1"/>
        </w:rPr>
        <w:t xml:space="preserve">inquire into, and determine, the </w:t>
      </w:r>
      <w:r w:rsidR="00E102AE" w:rsidRPr="009D2938">
        <w:rPr>
          <w:color w:val="000000" w:themeColor="text1"/>
        </w:rPr>
        <w:t>remuneration</w:t>
      </w:r>
      <w:r w:rsidRPr="009D2938">
        <w:rPr>
          <w:color w:val="000000" w:themeColor="text1"/>
        </w:rPr>
        <w:t xml:space="preserve">, </w:t>
      </w:r>
      <w:proofErr w:type="gramStart"/>
      <w:r w:rsidRPr="009D2938">
        <w:rPr>
          <w:color w:val="000000" w:themeColor="text1"/>
        </w:rPr>
        <w:t>allowances</w:t>
      </w:r>
      <w:proofErr w:type="gramEnd"/>
      <w:r w:rsidRPr="009D2938">
        <w:rPr>
          <w:color w:val="000000" w:themeColor="text1"/>
        </w:rPr>
        <w:t xml:space="preserve"> and other entitlements for holders </w:t>
      </w:r>
      <w:r w:rsidR="00306A45" w:rsidRPr="009D2938">
        <w:rPr>
          <w:color w:val="000000" w:themeColor="text1"/>
        </w:rPr>
        <w:t>of</w:t>
      </w:r>
      <w:r w:rsidRPr="009D2938">
        <w:rPr>
          <w:color w:val="000000" w:themeColor="text1"/>
        </w:rPr>
        <w:t xml:space="preserve"> certain public offices.  This includes the </w:t>
      </w:r>
      <w:r w:rsidR="00C86137" w:rsidRPr="009D2938">
        <w:rPr>
          <w:color w:val="000000" w:themeColor="text1"/>
        </w:rPr>
        <w:t>H</w:t>
      </w:r>
      <w:r w:rsidRPr="009D2938">
        <w:rPr>
          <w:color w:val="000000" w:themeColor="text1"/>
        </w:rPr>
        <w:t xml:space="preserve">ead of </w:t>
      </w:r>
      <w:r w:rsidR="00C86137" w:rsidRPr="009D2938">
        <w:rPr>
          <w:color w:val="000000" w:themeColor="text1"/>
        </w:rPr>
        <w:t>S</w:t>
      </w:r>
      <w:r w:rsidRPr="009D2938">
        <w:rPr>
          <w:color w:val="000000" w:themeColor="text1"/>
        </w:rPr>
        <w:t xml:space="preserve">ervice, directors-general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5B7FF0DF" w14:textId="77777777" w:rsidR="00EA1D9F" w:rsidRPr="009D2938" w:rsidRDefault="00EA1D9F" w:rsidP="00EA1D9F">
      <w:pPr>
        <w:spacing w:before="120" w:after="60"/>
        <w:rPr>
          <w:color w:val="000000" w:themeColor="text1"/>
        </w:rPr>
      </w:pPr>
      <w:r w:rsidRPr="009D2938">
        <w:rPr>
          <w:b/>
          <w:color w:val="000000" w:themeColor="text1"/>
        </w:rPr>
        <w:t>Considerations</w:t>
      </w:r>
    </w:p>
    <w:p w14:paraId="4483B8E0" w14:textId="563251BC" w:rsidR="00834E66" w:rsidRPr="006E7416" w:rsidRDefault="00834E66" w:rsidP="00834E66">
      <w:pPr>
        <w:spacing w:before="120" w:after="60"/>
        <w:rPr>
          <w:color w:val="000000" w:themeColor="text1"/>
        </w:rPr>
      </w:pPr>
      <w:r w:rsidRPr="006E7416">
        <w:rPr>
          <w:color w:val="000000" w:themeColor="text1"/>
        </w:rPr>
        <w:t xml:space="preserve">During 2017, the Tribunal initiated a </w:t>
      </w:r>
      <w:r w:rsidRPr="006E7416">
        <w:rPr>
          <w:i/>
          <w:color w:val="000000" w:themeColor="text1"/>
        </w:rPr>
        <w:t>Major Review: ACT Public Service Executive Remuneration, Allowances and Other Entitlements</w:t>
      </w:r>
      <w:r w:rsidRPr="006E7416">
        <w:rPr>
          <w:color w:val="000000" w:themeColor="text1"/>
        </w:rPr>
        <w:t>, with a discussion paper released in September 2017.  The final report into the major review was released in March 2019.</w:t>
      </w:r>
    </w:p>
    <w:p w14:paraId="37E63C63" w14:textId="4CE8BD8A" w:rsidR="00834E66" w:rsidRPr="006E7416" w:rsidRDefault="00C5735B" w:rsidP="00C5735B">
      <w:pPr>
        <w:spacing w:before="120" w:after="60"/>
        <w:rPr>
          <w:color w:val="000000" w:themeColor="text1"/>
          <w:szCs w:val="24"/>
        </w:rPr>
      </w:pPr>
      <w:r w:rsidRPr="006E7416">
        <w:rPr>
          <w:color w:val="000000" w:themeColor="text1"/>
        </w:rPr>
        <w:t xml:space="preserve">Decision 13 of the Tribunal </w:t>
      </w:r>
      <w:r w:rsidR="00834E66" w:rsidRPr="006E7416">
        <w:rPr>
          <w:color w:val="000000" w:themeColor="text1"/>
          <w:szCs w:val="24"/>
        </w:rPr>
        <w:t xml:space="preserve">recommended the removal of the option for </w:t>
      </w:r>
      <w:r w:rsidRPr="006E7416">
        <w:rPr>
          <w:color w:val="000000" w:themeColor="text1"/>
          <w:szCs w:val="24"/>
        </w:rPr>
        <w:t>executives</w:t>
      </w:r>
      <w:r w:rsidR="00834E66" w:rsidRPr="006E7416">
        <w:rPr>
          <w:color w:val="000000" w:themeColor="text1"/>
          <w:szCs w:val="24"/>
        </w:rPr>
        <w:t xml:space="preserve"> to lease a vehicle at the territory’s expense and to replace it with a payment</w:t>
      </w:r>
      <w:r w:rsidRPr="006E7416">
        <w:rPr>
          <w:color w:val="000000" w:themeColor="text1"/>
          <w:szCs w:val="24"/>
        </w:rPr>
        <w:t xml:space="preserve"> to be known as a ‘supplementary base salary’.</w:t>
      </w:r>
    </w:p>
    <w:p w14:paraId="0C583D60" w14:textId="6E45F92B" w:rsidR="00834E66" w:rsidRPr="006E7416" w:rsidRDefault="00834E66" w:rsidP="00834E66">
      <w:pPr>
        <w:spacing w:before="120" w:after="60"/>
        <w:rPr>
          <w:color w:val="000000" w:themeColor="text1"/>
        </w:rPr>
      </w:pPr>
      <w:r w:rsidRPr="006E7416">
        <w:rPr>
          <w:color w:val="000000" w:themeColor="text1"/>
        </w:rPr>
        <w:t xml:space="preserve">The Government has advised the Tribunal that </w:t>
      </w:r>
      <w:r w:rsidR="00C5735B" w:rsidRPr="006E7416">
        <w:rPr>
          <w:color w:val="000000" w:themeColor="text1"/>
        </w:rPr>
        <w:t xml:space="preserve">this recommendation will be partially implemented </w:t>
      </w:r>
      <w:r w:rsidRPr="006E7416">
        <w:rPr>
          <w:color w:val="000000" w:themeColor="text1"/>
        </w:rPr>
        <w:t xml:space="preserve">through amendments to the </w:t>
      </w:r>
      <w:r w:rsidRPr="006E7416">
        <w:rPr>
          <w:i/>
          <w:color w:val="000000" w:themeColor="text1"/>
        </w:rPr>
        <w:t>Public Sector Management Standards 2016</w:t>
      </w:r>
      <w:r w:rsidR="00C5735B" w:rsidRPr="006E7416">
        <w:rPr>
          <w:color w:val="000000" w:themeColor="text1"/>
        </w:rPr>
        <w:t xml:space="preserve"> which </w:t>
      </w:r>
      <w:r w:rsidR="00F93DCF" w:rsidRPr="006E7416">
        <w:rPr>
          <w:color w:val="000000" w:themeColor="text1"/>
        </w:rPr>
        <w:t>took effect on 23 December 2021</w:t>
      </w:r>
      <w:r w:rsidRPr="006E7416">
        <w:rPr>
          <w:color w:val="000000" w:themeColor="text1"/>
        </w:rPr>
        <w:t>.</w:t>
      </w:r>
    </w:p>
    <w:p w14:paraId="17BC3ED6" w14:textId="4AB85666" w:rsidR="00C5735B" w:rsidRPr="006E7416" w:rsidRDefault="00834E66" w:rsidP="00834E66">
      <w:pPr>
        <w:spacing w:before="120" w:after="60"/>
        <w:rPr>
          <w:color w:val="000000" w:themeColor="text1"/>
        </w:rPr>
      </w:pPr>
      <w:proofErr w:type="gramStart"/>
      <w:r w:rsidRPr="006E7416">
        <w:rPr>
          <w:color w:val="000000" w:themeColor="text1"/>
        </w:rPr>
        <w:t>A</w:t>
      </w:r>
      <w:r w:rsidR="00C5735B" w:rsidRPr="006E7416">
        <w:rPr>
          <w:color w:val="000000" w:themeColor="text1"/>
        </w:rPr>
        <w:t>s a consequence of</w:t>
      </w:r>
      <w:proofErr w:type="gramEnd"/>
      <w:r w:rsidR="00C5735B" w:rsidRPr="006E7416">
        <w:rPr>
          <w:color w:val="000000" w:themeColor="text1"/>
        </w:rPr>
        <w:t xml:space="preserve"> these amendments to the</w:t>
      </w:r>
      <w:r w:rsidR="00C5735B" w:rsidRPr="006E7416">
        <w:rPr>
          <w:i/>
          <w:color w:val="000000" w:themeColor="text1"/>
        </w:rPr>
        <w:t xml:space="preserve"> Public Sector Management Standards 2016</w:t>
      </w:r>
      <w:r w:rsidR="00C5735B" w:rsidRPr="006E7416">
        <w:rPr>
          <w:color w:val="000000" w:themeColor="text1"/>
        </w:rPr>
        <w:t xml:space="preserve"> and the </w:t>
      </w:r>
      <w:r w:rsidR="00320D81" w:rsidRPr="006E7416">
        <w:rPr>
          <w:color w:val="000000" w:themeColor="text1"/>
        </w:rPr>
        <w:t>Government’s decision to remove</w:t>
      </w:r>
      <w:r w:rsidR="00C5735B" w:rsidRPr="006E7416">
        <w:rPr>
          <w:color w:val="000000" w:themeColor="text1"/>
        </w:rPr>
        <w:t xml:space="preserve"> the entitlement </w:t>
      </w:r>
      <w:r w:rsidR="00EA5820">
        <w:rPr>
          <w:color w:val="000000" w:themeColor="text1"/>
        </w:rPr>
        <w:t>to</w:t>
      </w:r>
      <w:r w:rsidR="00EA5820" w:rsidRPr="006E7416">
        <w:rPr>
          <w:color w:val="000000" w:themeColor="text1"/>
        </w:rPr>
        <w:t xml:space="preserve"> </w:t>
      </w:r>
      <w:r w:rsidR="00C5735B" w:rsidRPr="006E7416">
        <w:rPr>
          <w:color w:val="000000" w:themeColor="text1"/>
        </w:rPr>
        <w:t xml:space="preserve">an employer-provided vehicle, </w:t>
      </w:r>
      <w:r w:rsidR="00F93DCF" w:rsidRPr="006E7416">
        <w:rPr>
          <w:color w:val="000000" w:themeColor="text1"/>
        </w:rPr>
        <w:t xml:space="preserve">consequential </w:t>
      </w:r>
      <w:r w:rsidR="00C5735B" w:rsidRPr="006E7416">
        <w:rPr>
          <w:color w:val="000000" w:themeColor="text1"/>
        </w:rPr>
        <w:t xml:space="preserve">amendments </w:t>
      </w:r>
      <w:r w:rsidR="00F93DCF" w:rsidRPr="006E7416">
        <w:rPr>
          <w:color w:val="000000" w:themeColor="text1"/>
        </w:rPr>
        <w:t xml:space="preserve">need to be made to that part of the Tribunal’s determination relating to </w:t>
      </w:r>
      <w:r w:rsidR="00C5735B" w:rsidRPr="006E7416">
        <w:rPr>
          <w:color w:val="000000" w:themeColor="text1"/>
        </w:rPr>
        <w:t>the fringe benefit tax payment which is made to executive</w:t>
      </w:r>
      <w:r w:rsidR="00320D81" w:rsidRPr="006E7416">
        <w:rPr>
          <w:color w:val="000000" w:themeColor="text1"/>
        </w:rPr>
        <w:t>s</w:t>
      </w:r>
      <w:r w:rsidR="00C5735B" w:rsidRPr="006E7416">
        <w:rPr>
          <w:color w:val="000000" w:themeColor="text1"/>
        </w:rPr>
        <w:t>.</w:t>
      </w:r>
      <w:r w:rsidR="00D721C1" w:rsidRPr="006E7416">
        <w:rPr>
          <w:color w:val="000000" w:themeColor="text1"/>
        </w:rPr>
        <w:t xml:space="preserve">  </w:t>
      </w:r>
    </w:p>
    <w:p w14:paraId="241C3199" w14:textId="21CA174B" w:rsidR="00895EC0" w:rsidRPr="006E7416" w:rsidRDefault="00F93DCF" w:rsidP="00834E66">
      <w:pPr>
        <w:spacing w:before="120" w:after="60"/>
        <w:rPr>
          <w:color w:val="000000" w:themeColor="text1"/>
        </w:rPr>
      </w:pPr>
      <w:r w:rsidRPr="006E7416">
        <w:rPr>
          <w:color w:val="000000" w:themeColor="text1"/>
        </w:rPr>
        <w:t>S</w:t>
      </w:r>
      <w:r w:rsidR="00895EC0" w:rsidRPr="006E7416">
        <w:rPr>
          <w:color w:val="000000" w:themeColor="text1"/>
        </w:rPr>
        <w:t xml:space="preserve">tatutory office holders receive </w:t>
      </w:r>
      <w:proofErr w:type="gramStart"/>
      <w:r w:rsidR="00895EC0" w:rsidRPr="006E7416">
        <w:rPr>
          <w:color w:val="000000" w:themeColor="text1"/>
        </w:rPr>
        <w:t>a number of</w:t>
      </w:r>
      <w:proofErr w:type="gramEnd"/>
      <w:r w:rsidR="00895EC0" w:rsidRPr="006E7416">
        <w:rPr>
          <w:color w:val="000000" w:themeColor="text1"/>
        </w:rPr>
        <w:t xml:space="preserve"> entitlements that </w:t>
      </w:r>
      <w:r w:rsidRPr="006E7416">
        <w:rPr>
          <w:color w:val="000000" w:themeColor="text1"/>
        </w:rPr>
        <w:t xml:space="preserve">are similar to those that </w:t>
      </w:r>
      <w:r w:rsidR="00895EC0" w:rsidRPr="006E7416">
        <w:rPr>
          <w:color w:val="000000" w:themeColor="text1"/>
        </w:rPr>
        <w:t xml:space="preserve">apply to executives. </w:t>
      </w:r>
      <w:r w:rsidRPr="006E7416">
        <w:rPr>
          <w:color w:val="000000" w:themeColor="text1"/>
        </w:rPr>
        <w:t>T</w:t>
      </w:r>
      <w:r w:rsidR="00895EC0" w:rsidRPr="006E7416">
        <w:rPr>
          <w:color w:val="000000" w:themeColor="text1"/>
        </w:rPr>
        <w:t xml:space="preserve">he amendments to the </w:t>
      </w:r>
      <w:r w:rsidR="00895EC0" w:rsidRPr="006E7416">
        <w:rPr>
          <w:i/>
          <w:color w:val="000000" w:themeColor="text1"/>
        </w:rPr>
        <w:t>Public Sector Management Standards 2016</w:t>
      </w:r>
      <w:r w:rsidR="00895EC0" w:rsidRPr="006E7416">
        <w:rPr>
          <w:color w:val="000000" w:themeColor="text1"/>
        </w:rPr>
        <w:t xml:space="preserve"> and the removal of the employer-provided vehicle entitlement only appl</w:t>
      </w:r>
      <w:r w:rsidRPr="006E7416">
        <w:rPr>
          <w:color w:val="000000" w:themeColor="text1"/>
        </w:rPr>
        <w:t>y</w:t>
      </w:r>
      <w:r w:rsidR="00895EC0" w:rsidRPr="006E7416">
        <w:rPr>
          <w:color w:val="000000" w:themeColor="text1"/>
        </w:rPr>
        <w:t xml:space="preserve"> to executives</w:t>
      </w:r>
      <w:r w:rsidRPr="006E7416">
        <w:rPr>
          <w:color w:val="000000" w:themeColor="text1"/>
        </w:rPr>
        <w:t>;</w:t>
      </w:r>
      <w:r w:rsidR="00E01394" w:rsidRPr="006E7416">
        <w:rPr>
          <w:color w:val="000000" w:themeColor="text1"/>
        </w:rPr>
        <w:t xml:space="preserve"> </w:t>
      </w:r>
      <w:r w:rsidRPr="006E7416">
        <w:rPr>
          <w:color w:val="000000" w:themeColor="text1"/>
        </w:rPr>
        <w:t>s</w:t>
      </w:r>
      <w:r w:rsidR="00E01394" w:rsidRPr="006E7416">
        <w:rPr>
          <w:color w:val="000000" w:themeColor="text1"/>
        </w:rPr>
        <w:t>tatutory office holders continue to receive these entitlements for the time being.</w:t>
      </w:r>
    </w:p>
    <w:p w14:paraId="786288EA" w14:textId="77777777" w:rsidR="00EA1D9F" w:rsidRDefault="00EA1D9F">
      <w:pPr>
        <w:rPr>
          <w:b/>
          <w:color w:val="000000" w:themeColor="text1"/>
        </w:rPr>
      </w:pPr>
      <w:r>
        <w:rPr>
          <w:b/>
          <w:color w:val="000000" w:themeColor="text1"/>
        </w:rPr>
        <w:br w:type="page"/>
      </w:r>
    </w:p>
    <w:p w14:paraId="318E58A4" w14:textId="531C1BC7" w:rsidR="00EA1D9F" w:rsidRPr="009D2938" w:rsidRDefault="00EA1D9F" w:rsidP="00EA1D9F">
      <w:pPr>
        <w:spacing w:before="120" w:after="60"/>
        <w:rPr>
          <w:b/>
          <w:color w:val="000000" w:themeColor="text1"/>
        </w:rPr>
      </w:pPr>
      <w:r w:rsidRPr="009D2938">
        <w:rPr>
          <w:b/>
          <w:color w:val="000000" w:themeColor="text1"/>
        </w:rPr>
        <w:lastRenderedPageBreak/>
        <w:t>Decision</w:t>
      </w:r>
    </w:p>
    <w:p w14:paraId="3CEB64D1" w14:textId="1CD75788" w:rsidR="00EA1D9F" w:rsidRPr="006E7416" w:rsidRDefault="00895EC0" w:rsidP="00EA1D9F">
      <w:pPr>
        <w:spacing w:after="120"/>
        <w:rPr>
          <w:color w:val="000000" w:themeColor="text1"/>
        </w:rPr>
      </w:pPr>
      <w:bookmarkStart w:id="1" w:name="_Hlk97552719"/>
      <w:r w:rsidRPr="006E7416">
        <w:rPr>
          <w:color w:val="000000" w:themeColor="text1"/>
        </w:rPr>
        <w:t>Given the Government’s decision to amend the</w:t>
      </w:r>
      <w:r w:rsidRPr="006E7416">
        <w:rPr>
          <w:i/>
          <w:color w:val="000000" w:themeColor="text1"/>
        </w:rPr>
        <w:t xml:space="preserve"> Public Sector Management Standards 2016</w:t>
      </w:r>
      <w:r w:rsidRPr="006E7416">
        <w:rPr>
          <w:color w:val="000000" w:themeColor="text1"/>
        </w:rPr>
        <w:t xml:space="preserve"> to remove the entitlement </w:t>
      </w:r>
      <w:r w:rsidR="00EA5820">
        <w:rPr>
          <w:color w:val="000000" w:themeColor="text1"/>
        </w:rPr>
        <w:t>to</w:t>
      </w:r>
      <w:r w:rsidR="00EA5820" w:rsidRPr="006E7416">
        <w:rPr>
          <w:color w:val="000000" w:themeColor="text1"/>
        </w:rPr>
        <w:t xml:space="preserve"> </w:t>
      </w:r>
      <w:r w:rsidRPr="006E7416">
        <w:rPr>
          <w:color w:val="000000" w:themeColor="text1"/>
        </w:rPr>
        <w:t>an employer-provided vehicle, t</w:t>
      </w:r>
      <w:r w:rsidR="00EA1D9F" w:rsidRPr="006E7416">
        <w:rPr>
          <w:color w:val="000000" w:themeColor="text1"/>
        </w:rPr>
        <w:t>he Tribunal has</w:t>
      </w:r>
      <w:r w:rsidR="00320D81" w:rsidRPr="006E7416">
        <w:rPr>
          <w:color w:val="000000" w:themeColor="text1"/>
        </w:rPr>
        <w:t xml:space="preserve"> decided to roll the</w:t>
      </w:r>
      <w:r w:rsidRPr="006E7416">
        <w:rPr>
          <w:color w:val="000000" w:themeColor="text1"/>
        </w:rPr>
        <w:t xml:space="preserve"> amount of the</w:t>
      </w:r>
      <w:r w:rsidR="00320D81" w:rsidRPr="006E7416">
        <w:rPr>
          <w:color w:val="000000" w:themeColor="text1"/>
        </w:rPr>
        <w:t xml:space="preserve"> fringe benefit tax payment</w:t>
      </w:r>
      <w:r w:rsidRPr="006E7416">
        <w:rPr>
          <w:color w:val="000000" w:themeColor="text1"/>
        </w:rPr>
        <w:t xml:space="preserve"> ($7,500)</w:t>
      </w:r>
      <w:r w:rsidR="00320D81" w:rsidRPr="006E7416">
        <w:rPr>
          <w:color w:val="000000" w:themeColor="text1"/>
        </w:rPr>
        <w:t xml:space="preserve"> </w:t>
      </w:r>
      <w:r w:rsidRPr="006E7416">
        <w:rPr>
          <w:color w:val="000000" w:themeColor="text1"/>
        </w:rPr>
        <w:t>into the base remuneration for executives</w:t>
      </w:r>
      <w:r w:rsidR="005F3493">
        <w:rPr>
          <w:color w:val="000000" w:themeColor="text1"/>
        </w:rPr>
        <w:t>, consistent with the removal of this entitlement</w:t>
      </w:r>
      <w:r w:rsidR="00EA1D9F" w:rsidRPr="006E7416">
        <w:rPr>
          <w:color w:val="000000" w:themeColor="text1"/>
        </w:rPr>
        <w:t>.</w:t>
      </w:r>
    </w:p>
    <w:bookmarkEnd w:id="1"/>
    <w:p w14:paraId="6539EA40" w14:textId="3E8F8D10" w:rsidR="0054199E" w:rsidRPr="006E7416" w:rsidRDefault="00F93DCF" w:rsidP="0054199E">
      <w:pPr>
        <w:spacing w:after="120"/>
        <w:rPr>
          <w:iCs/>
          <w:color w:val="000000" w:themeColor="text1"/>
        </w:rPr>
      </w:pPr>
      <w:r w:rsidRPr="006E7416">
        <w:rPr>
          <w:color w:val="000000" w:themeColor="text1"/>
        </w:rPr>
        <w:t>T</w:t>
      </w:r>
      <w:r w:rsidR="0054199E" w:rsidRPr="006E7416">
        <w:rPr>
          <w:color w:val="000000" w:themeColor="text1"/>
        </w:rPr>
        <w:t xml:space="preserve">he amendments to the </w:t>
      </w:r>
      <w:r w:rsidR="0054199E" w:rsidRPr="006E7416">
        <w:rPr>
          <w:i/>
          <w:color w:val="000000" w:themeColor="text1"/>
        </w:rPr>
        <w:t>Public Sector Management Standards 2016</w:t>
      </w:r>
      <w:r w:rsidR="0054199E" w:rsidRPr="006E7416">
        <w:rPr>
          <w:iCs/>
          <w:color w:val="000000" w:themeColor="text1"/>
        </w:rPr>
        <w:t xml:space="preserve"> commenced on </w:t>
      </w:r>
      <w:r w:rsidR="006E7416" w:rsidRPr="006E7416">
        <w:rPr>
          <w:iCs/>
          <w:color w:val="000000" w:themeColor="text1"/>
        </w:rPr>
        <w:br/>
      </w:r>
      <w:r w:rsidR="0054199E" w:rsidRPr="006E7416">
        <w:rPr>
          <w:iCs/>
          <w:color w:val="000000" w:themeColor="text1"/>
        </w:rPr>
        <w:t>23 December 2021</w:t>
      </w:r>
      <w:r w:rsidRPr="006E7416">
        <w:rPr>
          <w:iCs/>
          <w:color w:val="000000" w:themeColor="text1"/>
        </w:rPr>
        <w:t xml:space="preserve">.  The Tribunal </w:t>
      </w:r>
      <w:r w:rsidR="0054199E" w:rsidRPr="006E7416">
        <w:rPr>
          <w:iCs/>
          <w:color w:val="000000" w:themeColor="text1"/>
        </w:rPr>
        <w:t>considers it appropriate for this determination to be taken to have commenced on the same date.</w:t>
      </w:r>
    </w:p>
    <w:p w14:paraId="777D9F15" w14:textId="0145938B" w:rsidR="00E07F02" w:rsidRPr="006E7416" w:rsidRDefault="00E07F02" w:rsidP="00EA1D9F">
      <w:pPr>
        <w:spacing w:after="120"/>
        <w:rPr>
          <w:iCs/>
          <w:color w:val="000000" w:themeColor="text1"/>
        </w:rPr>
      </w:pPr>
    </w:p>
    <w:p w14:paraId="721C584E" w14:textId="4DDB186A" w:rsidR="007D54E4" w:rsidRPr="006E7416" w:rsidRDefault="0054199E" w:rsidP="007D54E4">
      <w:pPr>
        <w:tabs>
          <w:tab w:val="left" w:pos="4253"/>
          <w:tab w:val="left" w:leader="dot" w:pos="8222"/>
        </w:tabs>
        <w:jc w:val="right"/>
        <w:rPr>
          <w:color w:val="000000" w:themeColor="text1"/>
        </w:rPr>
      </w:pPr>
      <w:r w:rsidRPr="006E7416">
        <w:rPr>
          <w:color w:val="000000" w:themeColor="text1"/>
        </w:rPr>
        <w:t>March 2022</w:t>
      </w:r>
    </w:p>
    <w:p w14:paraId="11D04A9A" w14:textId="77777777" w:rsidR="00F11BCC" w:rsidRPr="003B1A08" w:rsidRDefault="00F11BCC" w:rsidP="00F11BCC">
      <w:pPr>
        <w:spacing w:before="120"/>
        <w:rPr>
          <w:rFonts w:cs="Arial"/>
        </w:rPr>
        <w:sectPr w:rsidR="00F11BCC" w:rsidRPr="003B1A08" w:rsidSect="00196EA5">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26"/>
        </w:sectPr>
      </w:pPr>
    </w:p>
    <w:p w14:paraId="7ECAA200" w14:textId="77777777" w:rsidR="00F11BCC" w:rsidRPr="003B1A08" w:rsidRDefault="000C1670" w:rsidP="00F11BCC">
      <w:pPr>
        <w:spacing w:before="120"/>
        <w:rPr>
          <w:rFonts w:cs="Arial"/>
          <w:sz w:val="28"/>
          <w:szCs w:val="28"/>
        </w:rPr>
      </w:pPr>
      <w:r>
        <w:rPr>
          <w:rFonts w:cs="Arial"/>
          <w:noProof/>
          <w:lang w:eastAsia="en-AU"/>
        </w:rPr>
        <w:lastRenderedPageBreak/>
        <w:drawing>
          <wp:inline distT="0" distB="0" distL="0" distR="0" wp14:anchorId="0F2C5593" wp14:editId="32DBAA31">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Pr>
          <w:rFonts w:cs="Arial"/>
          <w:noProof/>
          <w:sz w:val="28"/>
          <w:szCs w:val="28"/>
          <w:lang w:eastAsia="en-AU"/>
        </w:rPr>
        <w:tab/>
        <w:t xml:space="preserve">    </w:t>
      </w:r>
      <w:r w:rsidR="00F11BCC" w:rsidRPr="003B1A08">
        <w:rPr>
          <w:rFonts w:cs="Arial"/>
          <w:sz w:val="28"/>
          <w:szCs w:val="28"/>
        </w:rPr>
        <w:t>Australian Capital Territory Remuneration Tribunal</w:t>
      </w:r>
    </w:p>
    <w:p w14:paraId="3EB5D2B6" w14:textId="7C91BC28" w:rsidR="003665E3" w:rsidRPr="006E7416" w:rsidRDefault="003665E3" w:rsidP="00F00DFB">
      <w:pPr>
        <w:pStyle w:val="Heading1"/>
        <w:spacing w:before="120"/>
        <w:rPr>
          <w:color w:val="000000" w:themeColor="text1"/>
        </w:rPr>
      </w:pPr>
      <w:r w:rsidRPr="006E7416">
        <w:rPr>
          <w:color w:val="000000" w:themeColor="text1"/>
        </w:rPr>
        <w:t xml:space="preserve">Determination </w:t>
      </w:r>
      <w:r w:rsidR="0054199E" w:rsidRPr="006E7416">
        <w:rPr>
          <w:color w:val="000000" w:themeColor="text1"/>
        </w:rPr>
        <w:t>1</w:t>
      </w:r>
      <w:r w:rsidRPr="006E7416">
        <w:rPr>
          <w:color w:val="000000" w:themeColor="text1"/>
        </w:rPr>
        <w:t xml:space="preserve"> of </w:t>
      </w:r>
      <w:r w:rsidR="006442AA" w:rsidRPr="006E7416">
        <w:rPr>
          <w:color w:val="000000" w:themeColor="text1"/>
        </w:rPr>
        <w:t>202</w:t>
      </w:r>
      <w:r w:rsidR="0054199E" w:rsidRPr="006E7416">
        <w:rPr>
          <w:color w:val="000000" w:themeColor="text1"/>
        </w:rPr>
        <w:t>2</w:t>
      </w:r>
    </w:p>
    <w:p w14:paraId="60615B91" w14:textId="77777777" w:rsidR="003665E3" w:rsidRPr="003B1A08" w:rsidRDefault="003665E3" w:rsidP="00F00DFB">
      <w:pPr>
        <w:pStyle w:val="Heading1"/>
        <w:spacing w:before="120"/>
      </w:pPr>
      <w:r>
        <w:t xml:space="preserve">Head of Service, </w:t>
      </w:r>
      <w:proofErr w:type="gramStart"/>
      <w:r>
        <w:t>Directors-General</w:t>
      </w:r>
      <w:proofErr w:type="gramEnd"/>
      <w:r>
        <w:t xml:space="preserve"> and Executives</w:t>
      </w:r>
    </w:p>
    <w:p w14:paraId="1202C682" w14:textId="77777777" w:rsidR="00F11BCC" w:rsidRPr="003B1A08" w:rsidRDefault="00F11BCC" w:rsidP="00F00DFB">
      <w:pPr>
        <w:pStyle w:val="madeunder"/>
        <w:spacing w:before="120" w:after="120"/>
      </w:pPr>
      <w:r w:rsidRPr="003B1A08">
        <w:t xml:space="preserve">made under the </w:t>
      </w:r>
    </w:p>
    <w:p w14:paraId="2A8E8E75" w14:textId="5A4D8389" w:rsidR="00F11BCC" w:rsidRPr="003B1A08" w:rsidRDefault="00F11BCC" w:rsidP="00F00DFB">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39FBDBDF" w14:textId="77777777" w:rsidR="00F11BCC" w:rsidRPr="003B469E" w:rsidRDefault="00F11BCC" w:rsidP="00F11BCC">
      <w:pPr>
        <w:pStyle w:val="N-line3"/>
        <w:pBdr>
          <w:top w:val="single" w:sz="12" w:space="1" w:color="auto"/>
          <w:bottom w:val="none" w:sz="0" w:space="0" w:color="auto"/>
        </w:pBdr>
        <w:rPr>
          <w:sz w:val="12"/>
          <w:szCs w:val="12"/>
        </w:rPr>
      </w:pPr>
    </w:p>
    <w:p w14:paraId="0E2ECACA" w14:textId="77777777" w:rsidR="00F11BCC" w:rsidRPr="00366D86" w:rsidRDefault="00F11BCC" w:rsidP="00216A13">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34265384" w14:textId="6D7A5A5A" w:rsidR="00F11BCC" w:rsidRPr="006E7416" w:rsidRDefault="00F11BCC" w:rsidP="00F11BCC">
      <w:pPr>
        <w:numPr>
          <w:ilvl w:val="1"/>
          <w:numId w:val="1"/>
        </w:numPr>
        <w:tabs>
          <w:tab w:val="clear" w:pos="720"/>
        </w:tabs>
        <w:spacing w:before="80" w:after="60"/>
        <w:ind w:left="709" w:hanging="709"/>
        <w:rPr>
          <w:color w:val="000000" w:themeColor="text1"/>
          <w:szCs w:val="24"/>
        </w:rPr>
      </w:pPr>
      <w:r w:rsidRPr="00366D86">
        <w:rPr>
          <w:color w:val="000000" w:themeColor="text1"/>
          <w:szCs w:val="24"/>
        </w:rPr>
        <w:t xml:space="preserve">This </w:t>
      </w:r>
      <w:r w:rsidRPr="006E7416">
        <w:rPr>
          <w:color w:val="000000" w:themeColor="text1"/>
          <w:szCs w:val="24"/>
        </w:rPr>
        <w:t xml:space="preserve">instrument </w:t>
      </w:r>
      <w:r w:rsidR="0054199E" w:rsidRPr="006E7416">
        <w:rPr>
          <w:color w:val="000000" w:themeColor="text1"/>
          <w:szCs w:val="24"/>
        </w:rPr>
        <w:t xml:space="preserve">is taken to have </w:t>
      </w:r>
      <w:r w:rsidRPr="006E7416">
        <w:rPr>
          <w:color w:val="000000" w:themeColor="text1"/>
          <w:szCs w:val="24"/>
        </w:rPr>
        <w:t>commence</w:t>
      </w:r>
      <w:r w:rsidR="00E07F02" w:rsidRPr="006E7416">
        <w:rPr>
          <w:color w:val="000000" w:themeColor="text1"/>
          <w:szCs w:val="24"/>
        </w:rPr>
        <w:t>d</w:t>
      </w:r>
      <w:r w:rsidRPr="006E7416">
        <w:rPr>
          <w:color w:val="000000" w:themeColor="text1"/>
          <w:szCs w:val="24"/>
        </w:rPr>
        <w:t xml:space="preserve"> on </w:t>
      </w:r>
      <w:r w:rsidR="0054199E" w:rsidRPr="006E7416">
        <w:rPr>
          <w:color w:val="000000" w:themeColor="text1"/>
        </w:rPr>
        <w:t>23 December 2021</w:t>
      </w:r>
      <w:r w:rsidRPr="006E7416">
        <w:rPr>
          <w:color w:val="000000" w:themeColor="text1"/>
          <w:szCs w:val="24"/>
        </w:rPr>
        <w:t>.</w:t>
      </w:r>
    </w:p>
    <w:p w14:paraId="3D5EC845" w14:textId="77777777" w:rsidR="00F11BCC" w:rsidRPr="00366D86" w:rsidRDefault="00F11BCC" w:rsidP="00216A13">
      <w:pPr>
        <w:pStyle w:val="Heading3"/>
        <w:tabs>
          <w:tab w:val="clear" w:pos="720"/>
        </w:tabs>
        <w:spacing w:before="120"/>
        <w:ind w:left="709"/>
        <w:rPr>
          <w:color w:val="000000" w:themeColor="text1"/>
        </w:rPr>
      </w:pPr>
      <w:r w:rsidRPr="00366D86">
        <w:rPr>
          <w:color w:val="000000" w:themeColor="text1"/>
        </w:rPr>
        <w:t>Remuneration</w:t>
      </w:r>
    </w:p>
    <w:p w14:paraId="7835C652" w14:textId="6EF9D8DB" w:rsidR="00F11BCC" w:rsidRPr="00366D86" w:rsidRDefault="00EA22C2" w:rsidP="00C019FF">
      <w:pPr>
        <w:pStyle w:val="ListParagraph"/>
        <w:numPr>
          <w:ilvl w:val="1"/>
          <w:numId w:val="1"/>
        </w:numPr>
        <w:rPr>
          <w:rFonts w:eastAsia="Times New Roman"/>
          <w:color w:val="000000" w:themeColor="text1"/>
          <w:sz w:val="24"/>
          <w:szCs w:val="20"/>
        </w:rPr>
      </w:pPr>
      <w:r w:rsidRPr="00366D86">
        <w:rPr>
          <w:rFonts w:eastAsia="Times New Roman"/>
          <w:color w:val="000000" w:themeColor="text1"/>
          <w:sz w:val="24"/>
          <w:szCs w:val="20"/>
        </w:rPr>
        <w:t xml:space="preserve">The following table sets out the full-time base </w:t>
      </w:r>
      <w:r w:rsidR="00C55E3B" w:rsidRPr="00366D86">
        <w:rPr>
          <w:rFonts w:eastAsia="Times New Roman"/>
          <w:color w:val="000000" w:themeColor="text1"/>
          <w:sz w:val="24"/>
          <w:szCs w:val="20"/>
        </w:rPr>
        <w:t>remuneration</w:t>
      </w:r>
      <w:r w:rsidR="00964983" w:rsidRPr="00366D86">
        <w:rPr>
          <w:rFonts w:eastAsia="Times New Roman"/>
          <w:color w:val="000000" w:themeColor="text1"/>
          <w:sz w:val="24"/>
          <w:szCs w:val="20"/>
        </w:rPr>
        <w:t xml:space="preserve"> </w:t>
      </w:r>
      <w:r w:rsidRPr="00366D86">
        <w:rPr>
          <w:rFonts w:eastAsia="Times New Roman"/>
          <w:color w:val="000000" w:themeColor="text1"/>
          <w:sz w:val="24"/>
          <w:szCs w:val="20"/>
        </w:rPr>
        <w:t xml:space="preserve">per year for a person </w:t>
      </w:r>
      <w:r w:rsidR="00C019FF" w:rsidRPr="00366D86">
        <w:rPr>
          <w:rFonts w:eastAsia="Times New Roman"/>
          <w:color w:val="000000" w:themeColor="text1"/>
          <w:sz w:val="24"/>
          <w:szCs w:val="20"/>
        </w:rPr>
        <w:t xml:space="preserve">engaged at </w:t>
      </w:r>
      <w:r w:rsidRPr="00366D86">
        <w:rPr>
          <w:rFonts w:eastAsia="Times New Roman"/>
          <w:color w:val="000000" w:themeColor="text1"/>
          <w:sz w:val="24"/>
          <w:szCs w:val="20"/>
        </w:rPr>
        <w:t>an</w:t>
      </w:r>
      <w:r w:rsidR="00C019FF" w:rsidRPr="00366D86">
        <w:rPr>
          <w:rFonts w:eastAsia="Times New Roman"/>
          <w:color w:val="000000" w:themeColor="text1"/>
          <w:sz w:val="24"/>
          <w:szCs w:val="20"/>
        </w:rPr>
        <w:t xml:space="preserve"> executive classification </w:t>
      </w:r>
      <w:r w:rsidR="00C019FF" w:rsidRPr="006E7416">
        <w:rPr>
          <w:rFonts w:eastAsia="Times New Roman"/>
          <w:color w:val="000000" w:themeColor="text1"/>
          <w:sz w:val="24"/>
          <w:szCs w:val="20"/>
        </w:rPr>
        <w:t xml:space="preserve">level </w:t>
      </w:r>
      <w:r w:rsidRPr="006E7416">
        <w:rPr>
          <w:rFonts w:eastAsia="Times New Roman"/>
          <w:color w:val="000000" w:themeColor="text1"/>
          <w:sz w:val="24"/>
          <w:szCs w:val="20"/>
        </w:rPr>
        <w:t xml:space="preserve">specified </w:t>
      </w:r>
      <w:r w:rsidR="00C019FF" w:rsidRPr="006E7416">
        <w:rPr>
          <w:rFonts w:eastAsia="Times New Roman"/>
          <w:color w:val="000000" w:themeColor="text1"/>
          <w:sz w:val="24"/>
          <w:szCs w:val="20"/>
        </w:rPr>
        <w:t>in column 1</w:t>
      </w:r>
      <w:r w:rsidR="009B6793" w:rsidRPr="006E7416">
        <w:rPr>
          <w:rFonts w:eastAsia="Times New Roman"/>
          <w:color w:val="000000" w:themeColor="text1"/>
          <w:sz w:val="24"/>
          <w:szCs w:val="24"/>
        </w:rPr>
        <w:t xml:space="preserve">, where an executive does not have an </w:t>
      </w:r>
      <w:r w:rsidR="009B6793" w:rsidRPr="006E7416">
        <w:rPr>
          <w:color w:val="000000" w:themeColor="text1"/>
          <w:sz w:val="24"/>
          <w:szCs w:val="24"/>
        </w:rPr>
        <w:t>employer-provided vehicle</w:t>
      </w:r>
      <w:r w:rsidR="00F11BCC" w:rsidRPr="006E7416">
        <w:rPr>
          <w:color w:val="000000" w:themeColor="text1"/>
        </w:rPr>
        <w:t>.</w:t>
      </w:r>
    </w:p>
    <w:p w14:paraId="42062E07" w14:textId="77777777" w:rsidR="00F11BCC" w:rsidRPr="00335707" w:rsidRDefault="00F11BCC" w:rsidP="00F11BCC">
      <w:pPr>
        <w:spacing w:before="80" w:after="60"/>
        <w:ind w:left="709"/>
        <w:rPr>
          <w:b/>
        </w:rPr>
      </w:pPr>
      <w:r w:rsidRPr="00335707">
        <w:rPr>
          <w:b/>
        </w:rPr>
        <w:t>TABLE 2.1</w:t>
      </w:r>
    </w:p>
    <w:tbl>
      <w:tblPr>
        <w:tblW w:w="75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771"/>
        <w:gridCol w:w="3771"/>
      </w:tblGrid>
      <w:tr w:rsidR="00915F3A" w:rsidRPr="00D101F0" w14:paraId="0E73B7A3" w14:textId="77777777" w:rsidTr="00915F3A">
        <w:trPr>
          <w:trHeight w:val="374"/>
        </w:trPr>
        <w:tc>
          <w:tcPr>
            <w:tcW w:w="3771" w:type="dxa"/>
          </w:tcPr>
          <w:p w14:paraId="02208E4D" w14:textId="2672BD78" w:rsidR="00915F3A" w:rsidRPr="00366D86" w:rsidRDefault="00915F3A" w:rsidP="00287A58">
            <w:pPr>
              <w:pStyle w:val="Header"/>
              <w:tabs>
                <w:tab w:val="clear" w:pos="4153"/>
                <w:tab w:val="clear" w:pos="8306"/>
              </w:tabs>
              <w:spacing w:before="60" w:after="60"/>
              <w:rPr>
                <w:color w:val="000000" w:themeColor="text1"/>
                <w:sz w:val="20"/>
              </w:rPr>
            </w:pPr>
            <w:r w:rsidRPr="00366D86">
              <w:rPr>
                <w:color w:val="000000" w:themeColor="text1"/>
                <w:sz w:val="20"/>
              </w:rPr>
              <w:t>Column 1</w:t>
            </w:r>
          </w:p>
          <w:p w14:paraId="35FFC596" w14:textId="6F870C0F" w:rsidR="00915F3A" w:rsidRPr="00366D86" w:rsidRDefault="00915F3A" w:rsidP="00B51F23">
            <w:pPr>
              <w:pStyle w:val="Header"/>
              <w:tabs>
                <w:tab w:val="clear" w:pos="4153"/>
                <w:tab w:val="clear" w:pos="8306"/>
              </w:tabs>
              <w:spacing w:before="60" w:after="60"/>
              <w:rPr>
                <w:b/>
                <w:color w:val="000000" w:themeColor="text1"/>
              </w:rPr>
            </w:pPr>
            <w:r w:rsidRPr="00366D86">
              <w:rPr>
                <w:b/>
                <w:color w:val="000000" w:themeColor="text1"/>
              </w:rPr>
              <w:t xml:space="preserve">Executive classification level </w:t>
            </w:r>
          </w:p>
        </w:tc>
        <w:tc>
          <w:tcPr>
            <w:tcW w:w="3771" w:type="dxa"/>
            <w:shd w:val="clear" w:color="auto" w:fill="auto"/>
          </w:tcPr>
          <w:p w14:paraId="304BEC61" w14:textId="6ECB19CF" w:rsidR="00915F3A" w:rsidRPr="00366D86" w:rsidRDefault="00915F3A" w:rsidP="00287A58">
            <w:pPr>
              <w:spacing w:before="60" w:after="60"/>
              <w:rPr>
                <w:color w:val="000000" w:themeColor="text1"/>
                <w:sz w:val="20"/>
              </w:rPr>
            </w:pPr>
            <w:r w:rsidRPr="00366D86">
              <w:rPr>
                <w:color w:val="000000" w:themeColor="text1"/>
                <w:sz w:val="20"/>
              </w:rPr>
              <w:t>Column 2</w:t>
            </w:r>
          </w:p>
          <w:p w14:paraId="6BB80A65" w14:textId="35D1BF7D" w:rsidR="00915F3A" w:rsidRPr="00366D86" w:rsidRDefault="00915F3A" w:rsidP="00DB024A">
            <w:pPr>
              <w:spacing w:before="60" w:after="60"/>
              <w:rPr>
                <w:color w:val="000000" w:themeColor="text1"/>
              </w:rPr>
            </w:pPr>
            <w:r w:rsidRPr="00366D86">
              <w:rPr>
                <w:b/>
                <w:color w:val="000000" w:themeColor="text1"/>
              </w:rPr>
              <w:t>Remuneration</w:t>
            </w:r>
          </w:p>
        </w:tc>
      </w:tr>
      <w:tr w:rsidR="009B6793" w:rsidRPr="00D101F0" w14:paraId="5E7A9976" w14:textId="77777777" w:rsidTr="009B6793">
        <w:tc>
          <w:tcPr>
            <w:tcW w:w="3771" w:type="dxa"/>
          </w:tcPr>
          <w:p w14:paraId="3CEE5B51" w14:textId="50D3FB3C" w:rsidR="009B6793" w:rsidRPr="003A0EA1" w:rsidRDefault="009B6793" w:rsidP="009B6793">
            <w:pPr>
              <w:rPr>
                <w:color w:val="000000" w:themeColor="text1"/>
              </w:rPr>
            </w:pPr>
            <w:r w:rsidRPr="003A0EA1">
              <w:rPr>
                <w:color w:val="000000" w:themeColor="text1"/>
              </w:rPr>
              <w:t>Level 1.1</w:t>
            </w:r>
          </w:p>
        </w:tc>
        <w:tc>
          <w:tcPr>
            <w:tcW w:w="3771" w:type="dxa"/>
            <w:shd w:val="clear" w:color="auto" w:fill="auto"/>
          </w:tcPr>
          <w:p w14:paraId="1F320F1D" w14:textId="6530FB4A" w:rsidR="009B6793" w:rsidRPr="003A0EA1" w:rsidRDefault="009B6793" w:rsidP="009B6793">
            <w:pPr>
              <w:rPr>
                <w:color w:val="000000" w:themeColor="text1"/>
                <w:szCs w:val="24"/>
              </w:rPr>
            </w:pPr>
            <w:r w:rsidRPr="001F07EE">
              <w:t>$166,318</w:t>
            </w:r>
          </w:p>
        </w:tc>
      </w:tr>
      <w:tr w:rsidR="009B6793" w:rsidRPr="00D101F0" w14:paraId="50EE145D" w14:textId="77777777" w:rsidTr="009B6793">
        <w:tc>
          <w:tcPr>
            <w:tcW w:w="3771" w:type="dxa"/>
          </w:tcPr>
          <w:p w14:paraId="0DF1236B" w14:textId="77777777" w:rsidR="009B6793" w:rsidRPr="003A0EA1" w:rsidRDefault="009B6793" w:rsidP="009B6793">
            <w:pPr>
              <w:rPr>
                <w:color w:val="000000" w:themeColor="text1"/>
              </w:rPr>
            </w:pPr>
            <w:r w:rsidRPr="003A0EA1">
              <w:rPr>
                <w:color w:val="000000" w:themeColor="text1"/>
              </w:rPr>
              <w:t>Level 1.2</w:t>
            </w:r>
          </w:p>
        </w:tc>
        <w:tc>
          <w:tcPr>
            <w:tcW w:w="3771" w:type="dxa"/>
            <w:shd w:val="clear" w:color="auto" w:fill="auto"/>
          </w:tcPr>
          <w:p w14:paraId="76E882C7" w14:textId="63B19D32" w:rsidR="009B6793" w:rsidRPr="003A0EA1" w:rsidRDefault="009B6793" w:rsidP="009B6793">
            <w:pPr>
              <w:rPr>
                <w:color w:val="000000" w:themeColor="text1"/>
                <w:szCs w:val="24"/>
              </w:rPr>
            </w:pPr>
            <w:r w:rsidRPr="001F07EE">
              <w:t>$179,749</w:t>
            </w:r>
          </w:p>
        </w:tc>
      </w:tr>
      <w:tr w:rsidR="009B6793" w:rsidRPr="00D101F0" w14:paraId="2AB740DE" w14:textId="77777777" w:rsidTr="009B6793">
        <w:tc>
          <w:tcPr>
            <w:tcW w:w="3771" w:type="dxa"/>
          </w:tcPr>
          <w:p w14:paraId="690BF120" w14:textId="77777777" w:rsidR="009B6793" w:rsidRPr="003A0EA1" w:rsidRDefault="009B6793" w:rsidP="009B6793">
            <w:pPr>
              <w:rPr>
                <w:color w:val="000000" w:themeColor="text1"/>
              </w:rPr>
            </w:pPr>
            <w:r w:rsidRPr="003A0EA1">
              <w:rPr>
                <w:color w:val="000000" w:themeColor="text1"/>
              </w:rPr>
              <w:t>Level 1.3</w:t>
            </w:r>
          </w:p>
        </w:tc>
        <w:tc>
          <w:tcPr>
            <w:tcW w:w="3771" w:type="dxa"/>
            <w:shd w:val="clear" w:color="auto" w:fill="auto"/>
          </w:tcPr>
          <w:p w14:paraId="0A2E3BC2" w14:textId="019ECC60" w:rsidR="009B6793" w:rsidRPr="003A0EA1" w:rsidRDefault="009B6793" w:rsidP="009B6793">
            <w:pPr>
              <w:rPr>
                <w:color w:val="000000" w:themeColor="text1"/>
                <w:szCs w:val="24"/>
              </w:rPr>
            </w:pPr>
            <w:r w:rsidRPr="001F07EE">
              <w:t>$193,171</w:t>
            </w:r>
          </w:p>
        </w:tc>
      </w:tr>
      <w:tr w:rsidR="009B6793" w:rsidRPr="00D101F0" w14:paraId="58692BE4" w14:textId="77777777" w:rsidTr="009B6793">
        <w:tc>
          <w:tcPr>
            <w:tcW w:w="3771" w:type="dxa"/>
            <w:tcBorders>
              <w:bottom w:val="single" w:sz="12" w:space="0" w:color="auto"/>
            </w:tcBorders>
          </w:tcPr>
          <w:p w14:paraId="13BD4524" w14:textId="77777777" w:rsidR="009B6793" w:rsidRPr="003A0EA1" w:rsidRDefault="009B6793" w:rsidP="009B6793">
            <w:pPr>
              <w:rPr>
                <w:color w:val="000000" w:themeColor="text1"/>
              </w:rPr>
            </w:pPr>
            <w:r w:rsidRPr="003A0EA1">
              <w:rPr>
                <w:color w:val="000000" w:themeColor="text1"/>
              </w:rPr>
              <w:t>Level 1.4</w:t>
            </w:r>
          </w:p>
        </w:tc>
        <w:tc>
          <w:tcPr>
            <w:tcW w:w="3771" w:type="dxa"/>
            <w:tcBorders>
              <w:bottom w:val="single" w:sz="12" w:space="0" w:color="auto"/>
            </w:tcBorders>
            <w:shd w:val="clear" w:color="auto" w:fill="auto"/>
          </w:tcPr>
          <w:p w14:paraId="5F123431" w14:textId="2E4BE635" w:rsidR="009B6793" w:rsidRPr="003A0EA1" w:rsidRDefault="009B6793" w:rsidP="009B6793">
            <w:pPr>
              <w:rPr>
                <w:color w:val="000000" w:themeColor="text1"/>
                <w:szCs w:val="24"/>
              </w:rPr>
            </w:pPr>
            <w:r w:rsidRPr="001F07EE">
              <w:t>$206,539</w:t>
            </w:r>
          </w:p>
        </w:tc>
      </w:tr>
      <w:tr w:rsidR="009B6793" w:rsidRPr="00D101F0" w14:paraId="06E7336A" w14:textId="77777777" w:rsidTr="009B6793">
        <w:tc>
          <w:tcPr>
            <w:tcW w:w="3771" w:type="dxa"/>
            <w:tcBorders>
              <w:top w:val="single" w:sz="12" w:space="0" w:color="auto"/>
            </w:tcBorders>
          </w:tcPr>
          <w:p w14:paraId="45B2F5F7" w14:textId="77777777" w:rsidR="009B6793" w:rsidRPr="003A0EA1" w:rsidRDefault="009B6793" w:rsidP="009B6793">
            <w:pPr>
              <w:rPr>
                <w:color w:val="000000" w:themeColor="text1"/>
              </w:rPr>
            </w:pPr>
            <w:r w:rsidRPr="003A0EA1">
              <w:rPr>
                <w:color w:val="000000" w:themeColor="text1"/>
              </w:rPr>
              <w:t>Level 2.1</w:t>
            </w:r>
          </w:p>
        </w:tc>
        <w:tc>
          <w:tcPr>
            <w:tcW w:w="3771" w:type="dxa"/>
            <w:tcBorders>
              <w:top w:val="single" w:sz="12" w:space="0" w:color="auto"/>
            </w:tcBorders>
            <w:shd w:val="clear" w:color="auto" w:fill="auto"/>
          </w:tcPr>
          <w:p w14:paraId="7D92E1A3" w14:textId="02E3CDE1" w:rsidR="009B6793" w:rsidRPr="003A0EA1" w:rsidRDefault="009B6793" w:rsidP="009B6793">
            <w:pPr>
              <w:rPr>
                <w:color w:val="000000" w:themeColor="text1"/>
                <w:szCs w:val="24"/>
              </w:rPr>
            </w:pPr>
            <w:r w:rsidRPr="001F07EE">
              <w:t>$220,027</w:t>
            </w:r>
          </w:p>
        </w:tc>
      </w:tr>
      <w:tr w:rsidR="009B6793" w:rsidRPr="00D101F0" w14:paraId="176A8C60" w14:textId="77777777" w:rsidTr="009B6793">
        <w:tc>
          <w:tcPr>
            <w:tcW w:w="3771" w:type="dxa"/>
          </w:tcPr>
          <w:p w14:paraId="4C9A7992" w14:textId="77777777" w:rsidR="009B6793" w:rsidRPr="003A0EA1" w:rsidRDefault="009B6793" w:rsidP="009B6793">
            <w:pPr>
              <w:rPr>
                <w:color w:val="000000" w:themeColor="text1"/>
              </w:rPr>
            </w:pPr>
            <w:r w:rsidRPr="003A0EA1">
              <w:rPr>
                <w:color w:val="000000" w:themeColor="text1"/>
              </w:rPr>
              <w:t>Level 2.2</w:t>
            </w:r>
          </w:p>
        </w:tc>
        <w:tc>
          <w:tcPr>
            <w:tcW w:w="3771" w:type="dxa"/>
            <w:shd w:val="clear" w:color="auto" w:fill="auto"/>
          </w:tcPr>
          <w:p w14:paraId="5D36B92B" w14:textId="4525A25D" w:rsidR="009B6793" w:rsidRPr="003A0EA1" w:rsidRDefault="009B6793" w:rsidP="009B6793">
            <w:pPr>
              <w:rPr>
                <w:color w:val="000000" w:themeColor="text1"/>
                <w:szCs w:val="24"/>
              </w:rPr>
            </w:pPr>
            <w:r w:rsidRPr="001F07EE">
              <w:t>$238,749</w:t>
            </w:r>
          </w:p>
        </w:tc>
      </w:tr>
      <w:tr w:rsidR="009B6793" w:rsidRPr="00D101F0" w14:paraId="23141617" w14:textId="77777777" w:rsidTr="009B6793">
        <w:tc>
          <w:tcPr>
            <w:tcW w:w="3771" w:type="dxa"/>
          </w:tcPr>
          <w:p w14:paraId="0F9C6CC8" w14:textId="77777777" w:rsidR="009B6793" w:rsidRPr="003A0EA1" w:rsidRDefault="009B6793" w:rsidP="009B6793">
            <w:pPr>
              <w:rPr>
                <w:color w:val="000000" w:themeColor="text1"/>
              </w:rPr>
            </w:pPr>
            <w:r w:rsidRPr="003A0EA1">
              <w:rPr>
                <w:color w:val="000000" w:themeColor="text1"/>
              </w:rPr>
              <w:t>Level 2.3</w:t>
            </w:r>
          </w:p>
        </w:tc>
        <w:tc>
          <w:tcPr>
            <w:tcW w:w="3771" w:type="dxa"/>
            <w:shd w:val="clear" w:color="auto" w:fill="auto"/>
          </w:tcPr>
          <w:p w14:paraId="7F05F850" w14:textId="5C1322DE" w:rsidR="009B6793" w:rsidRPr="003A0EA1" w:rsidRDefault="009B6793" w:rsidP="009B6793">
            <w:pPr>
              <w:rPr>
                <w:color w:val="000000" w:themeColor="text1"/>
                <w:szCs w:val="24"/>
              </w:rPr>
            </w:pPr>
            <w:r w:rsidRPr="001F07EE">
              <w:t>$257,463</w:t>
            </w:r>
          </w:p>
        </w:tc>
      </w:tr>
      <w:tr w:rsidR="009B6793" w:rsidRPr="00D101F0" w14:paraId="274FCF9A" w14:textId="77777777" w:rsidTr="009B6793">
        <w:tc>
          <w:tcPr>
            <w:tcW w:w="3771" w:type="dxa"/>
            <w:tcBorders>
              <w:bottom w:val="single" w:sz="12" w:space="0" w:color="auto"/>
            </w:tcBorders>
          </w:tcPr>
          <w:p w14:paraId="54318AFC" w14:textId="77777777" w:rsidR="009B6793" w:rsidRPr="003A0EA1" w:rsidRDefault="009B6793" w:rsidP="009B6793">
            <w:pPr>
              <w:rPr>
                <w:color w:val="000000" w:themeColor="text1"/>
              </w:rPr>
            </w:pPr>
            <w:r w:rsidRPr="003A0EA1">
              <w:rPr>
                <w:color w:val="000000" w:themeColor="text1"/>
              </w:rPr>
              <w:t>Level 2.4</w:t>
            </w:r>
          </w:p>
        </w:tc>
        <w:tc>
          <w:tcPr>
            <w:tcW w:w="3771" w:type="dxa"/>
            <w:tcBorders>
              <w:bottom w:val="single" w:sz="12" w:space="0" w:color="auto"/>
            </w:tcBorders>
            <w:shd w:val="clear" w:color="auto" w:fill="auto"/>
          </w:tcPr>
          <w:p w14:paraId="0BADD84E" w14:textId="2011BB71" w:rsidR="009B6793" w:rsidRPr="003A0EA1" w:rsidRDefault="009B6793" w:rsidP="009B6793">
            <w:pPr>
              <w:rPr>
                <w:color w:val="000000" w:themeColor="text1"/>
                <w:szCs w:val="24"/>
              </w:rPr>
            </w:pPr>
            <w:r w:rsidRPr="001F07EE">
              <w:t>$276,258</w:t>
            </w:r>
          </w:p>
        </w:tc>
      </w:tr>
      <w:tr w:rsidR="009B6793" w:rsidRPr="00D101F0" w14:paraId="7D849EAD" w14:textId="77777777" w:rsidTr="009B6793">
        <w:tc>
          <w:tcPr>
            <w:tcW w:w="3771" w:type="dxa"/>
            <w:tcBorders>
              <w:top w:val="single" w:sz="12" w:space="0" w:color="auto"/>
            </w:tcBorders>
          </w:tcPr>
          <w:p w14:paraId="038E525F" w14:textId="77777777" w:rsidR="009B6793" w:rsidRPr="003A0EA1" w:rsidRDefault="009B6793" w:rsidP="009B6793">
            <w:pPr>
              <w:rPr>
                <w:color w:val="000000" w:themeColor="text1"/>
              </w:rPr>
            </w:pPr>
            <w:r w:rsidRPr="003A0EA1">
              <w:rPr>
                <w:color w:val="000000" w:themeColor="text1"/>
              </w:rPr>
              <w:t>Level 3.1</w:t>
            </w:r>
          </w:p>
        </w:tc>
        <w:tc>
          <w:tcPr>
            <w:tcW w:w="3771" w:type="dxa"/>
            <w:tcBorders>
              <w:top w:val="single" w:sz="12" w:space="0" w:color="auto"/>
            </w:tcBorders>
            <w:shd w:val="clear" w:color="auto" w:fill="auto"/>
          </w:tcPr>
          <w:p w14:paraId="05FAB1D3" w14:textId="27361F56" w:rsidR="009B6793" w:rsidRPr="003A0EA1" w:rsidRDefault="009B6793" w:rsidP="009B6793">
            <w:pPr>
              <w:rPr>
                <w:color w:val="000000" w:themeColor="text1"/>
                <w:szCs w:val="24"/>
              </w:rPr>
            </w:pPr>
            <w:r w:rsidRPr="001F07EE">
              <w:t>$295,061</w:t>
            </w:r>
          </w:p>
        </w:tc>
      </w:tr>
      <w:tr w:rsidR="009B6793" w:rsidRPr="00D101F0" w14:paraId="44B9E18B" w14:textId="77777777" w:rsidTr="009B6793">
        <w:tc>
          <w:tcPr>
            <w:tcW w:w="3771" w:type="dxa"/>
          </w:tcPr>
          <w:p w14:paraId="5A7B736D" w14:textId="77777777" w:rsidR="009B6793" w:rsidRPr="003A0EA1" w:rsidRDefault="009B6793" w:rsidP="009B6793">
            <w:pPr>
              <w:rPr>
                <w:color w:val="000000" w:themeColor="text1"/>
              </w:rPr>
            </w:pPr>
            <w:r w:rsidRPr="003A0EA1">
              <w:rPr>
                <w:color w:val="000000" w:themeColor="text1"/>
              </w:rPr>
              <w:t>Level 3.2</w:t>
            </w:r>
          </w:p>
        </w:tc>
        <w:tc>
          <w:tcPr>
            <w:tcW w:w="3771" w:type="dxa"/>
            <w:shd w:val="clear" w:color="auto" w:fill="auto"/>
          </w:tcPr>
          <w:p w14:paraId="4D07F11E" w14:textId="1F86749A" w:rsidR="009B6793" w:rsidRPr="003A0EA1" w:rsidRDefault="009B6793" w:rsidP="009B6793">
            <w:pPr>
              <w:rPr>
                <w:color w:val="000000" w:themeColor="text1"/>
                <w:szCs w:val="24"/>
              </w:rPr>
            </w:pPr>
            <w:r w:rsidRPr="001F07EE">
              <w:t>$306,598</w:t>
            </w:r>
          </w:p>
        </w:tc>
      </w:tr>
      <w:tr w:rsidR="009B6793" w:rsidRPr="00D101F0" w14:paraId="774AFF0D" w14:textId="77777777" w:rsidTr="009B6793">
        <w:tc>
          <w:tcPr>
            <w:tcW w:w="3771" w:type="dxa"/>
          </w:tcPr>
          <w:p w14:paraId="6278CC55" w14:textId="77777777" w:rsidR="009B6793" w:rsidRPr="003A0EA1" w:rsidRDefault="009B6793" w:rsidP="009B6793">
            <w:pPr>
              <w:rPr>
                <w:color w:val="000000" w:themeColor="text1"/>
              </w:rPr>
            </w:pPr>
            <w:r w:rsidRPr="003A0EA1">
              <w:rPr>
                <w:color w:val="000000" w:themeColor="text1"/>
              </w:rPr>
              <w:t>Level 3.3</w:t>
            </w:r>
          </w:p>
        </w:tc>
        <w:tc>
          <w:tcPr>
            <w:tcW w:w="3771" w:type="dxa"/>
            <w:shd w:val="clear" w:color="auto" w:fill="auto"/>
          </w:tcPr>
          <w:p w14:paraId="4F43CE37" w14:textId="5C1123E6" w:rsidR="009B6793" w:rsidRPr="003A0EA1" w:rsidRDefault="009B6793" w:rsidP="009B6793">
            <w:pPr>
              <w:rPr>
                <w:color w:val="000000" w:themeColor="text1"/>
                <w:szCs w:val="24"/>
              </w:rPr>
            </w:pPr>
            <w:r w:rsidRPr="001F07EE">
              <w:t>$318,470</w:t>
            </w:r>
          </w:p>
        </w:tc>
      </w:tr>
      <w:tr w:rsidR="009B6793" w:rsidRPr="00D101F0" w14:paraId="0AAA5937" w14:textId="77777777" w:rsidTr="009B6793">
        <w:tc>
          <w:tcPr>
            <w:tcW w:w="3771" w:type="dxa"/>
            <w:tcBorders>
              <w:bottom w:val="single" w:sz="12" w:space="0" w:color="auto"/>
            </w:tcBorders>
          </w:tcPr>
          <w:p w14:paraId="71F17429" w14:textId="77777777" w:rsidR="009B6793" w:rsidRPr="003A0EA1" w:rsidRDefault="009B6793" w:rsidP="009B6793">
            <w:pPr>
              <w:rPr>
                <w:color w:val="000000" w:themeColor="text1"/>
              </w:rPr>
            </w:pPr>
            <w:r w:rsidRPr="003A0EA1">
              <w:rPr>
                <w:color w:val="000000" w:themeColor="text1"/>
              </w:rPr>
              <w:t>Level 3.4</w:t>
            </w:r>
          </w:p>
        </w:tc>
        <w:tc>
          <w:tcPr>
            <w:tcW w:w="3771" w:type="dxa"/>
            <w:tcBorders>
              <w:bottom w:val="single" w:sz="12" w:space="0" w:color="auto"/>
            </w:tcBorders>
            <w:shd w:val="clear" w:color="auto" w:fill="auto"/>
          </w:tcPr>
          <w:p w14:paraId="570234A4" w14:textId="0F7292CC" w:rsidR="009B6793" w:rsidRPr="003A0EA1" w:rsidRDefault="009B6793" w:rsidP="009B6793">
            <w:pPr>
              <w:rPr>
                <w:color w:val="000000" w:themeColor="text1"/>
                <w:szCs w:val="24"/>
              </w:rPr>
            </w:pPr>
            <w:r w:rsidRPr="001F07EE">
              <w:t>$330,163</w:t>
            </w:r>
          </w:p>
        </w:tc>
      </w:tr>
      <w:tr w:rsidR="009B6793" w:rsidRPr="00D101F0" w14:paraId="29A0FBE9" w14:textId="77777777" w:rsidTr="009B6793">
        <w:tc>
          <w:tcPr>
            <w:tcW w:w="3771" w:type="dxa"/>
            <w:tcBorders>
              <w:top w:val="single" w:sz="12" w:space="0" w:color="auto"/>
            </w:tcBorders>
          </w:tcPr>
          <w:p w14:paraId="785A526D" w14:textId="77777777" w:rsidR="009B6793" w:rsidRPr="003A0EA1" w:rsidRDefault="009B6793" w:rsidP="009B6793">
            <w:pPr>
              <w:rPr>
                <w:color w:val="000000" w:themeColor="text1"/>
              </w:rPr>
            </w:pPr>
            <w:r w:rsidRPr="003A0EA1">
              <w:rPr>
                <w:color w:val="000000" w:themeColor="text1"/>
              </w:rPr>
              <w:t>Level 4.1</w:t>
            </w:r>
          </w:p>
        </w:tc>
        <w:tc>
          <w:tcPr>
            <w:tcW w:w="3771" w:type="dxa"/>
            <w:tcBorders>
              <w:top w:val="single" w:sz="12" w:space="0" w:color="auto"/>
            </w:tcBorders>
            <w:shd w:val="clear" w:color="auto" w:fill="auto"/>
          </w:tcPr>
          <w:p w14:paraId="3C191755" w14:textId="0B117C95" w:rsidR="009B6793" w:rsidRPr="003A0EA1" w:rsidRDefault="009B6793" w:rsidP="009B6793">
            <w:pPr>
              <w:rPr>
                <w:color w:val="000000" w:themeColor="text1"/>
                <w:szCs w:val="24"/>
              </w:rPr>
            </w:pPr>
            <w:r w:rsidRPr="001F07EE">
              <w:t>$341,758</w:t>
            </w:r>
          </w:p>
        </w:tc>
      </w:tr>
      <w:tr w:rsidR="009B6793" w:rsidRPr="00D101F0" w14:paraId="18911818" w14:textId="77777777" w:rsidTr="009B6793">
        <w:tc>
          <w:tcPr>
            <w:tcW w:w="3771" w:type="dxa"/>
          </w:tcPr>
          <w:p w14:paraId="366D181A" w14:textId="77777777" w:rsidR="009B6793" w:rsidRPr="003A0EA1" w:rsidRDefault="009B6793" w:rsidP="009B6793">
            <w:pPr>
              <w:rPr>
                <w:color w:val="000000" w:themeColor="text1"/>
              </w:rPr>
            </w:pPr>
            <w:r w:rsidRPr="003A0EA1">
              <w:rPr>
                <w:color w:val="000000" w:themeColor="text1"/>
              </w:rPr>
              <w:t>Level 4.2</w:t>
            </w:r>
          </w:p>
        </w:tc>
        <w:tc>
          <w:tcPr>
            <w:tcW w:w="3771" w:type="dxa"/>
            <w:shd w:val="clear" w:color="auto" w:fill="auto"/>
          </w:tcPr>
          <w:p w14:paraId="124267B4" w14:textId="46423D96" w:rsidR="009B6793" w:rsidRPr="003A0EA1" w:rsidRDefault="009B6793" w:rsidP="009B6793">
            <w:pPr>
              <w:rPr>
                <w:color w:val="000000" w:themeColor="text1"/>
                <w:szCs w:val="24"/>
              </w:rPr>
            </w:pPr>
            <w:r w:rsidRPr="001F07EE">
              <w:t>$351,422</w:t>
            </w:r>
          </w:p>
        </w:tc>
      </w:tr>
      <w:tr w:rsidR="009B6793" w:rsidRPr="00D101F0" w14:paraId="34F6FD64" w14:textId="77777777" w:rsidTr="009B6793">
        <w:tc>
          <w:tcPr>
            <w:tcW w:w="3771" w:type="dxa"/>
            <w:tcBorders>
              <w:bottom w:val="single" w:sz="12" w:space="0" w:color="auto"/>
            </w:tcBorders>
          </w:tcPr>
          <w:p w14:paraId="5E05A30C" w14:textId="77777777" w:rsidR="009B6793" w:rsidRPr="003A0EA1" w:rsidRDefault="009B6793" w:rsidP="009B6793">
            <w:pPr>
              <w:rPr>
                <w:color w:val="000000" w:themeColor="text1"/>
              </w:rPr>
            </w:pPr>
            <w:r w:rsidRPr="003A0EA1">
              <w:rPr>
                <w:color w:val="000000" w:themeColor="text1"/>
              </w:rPr>
              <w:t>Level 4.3</w:t>
            </w:r>
          </w:p>
        </w:tc>
        <w:tc>
          <w:tcPr>
            <w:tcW w:w="3771" w:type="dxa"/>
            <w:tcBorders>
              <w:bottom w:val="single" w:sz="12" w:space="0" w:color="auto"/>
            </w:tcBorders>
            <w:shd w:val="clear" w:color="auto" w:fill="auto"/>
          </w:tcPr>
          <w:p w14:paraId="194CDE40" w14:textId="48470500" w:rsidR="009B6793" w:rsidRPr="003A0EA1" w:rsidRDefault="009B6793" w:rsidP="009B6793">
            <w:pPr>
              <w:rPr>
                <w:color w:val="000000" w:themeColor="text1"/>
                <w:szCs w:val="24"/>
              </w:rPr>
            </w:pPr>
            <w:r w:rsidRPr="001F07EE">
              <w:t>$363,825</w:t>
            </w:r>
          </w:p>
        </w:tc>
      </w:tr>
      <w:tr w:rsidR="009B6793" w:rsidRPr="00D101F0" w14:paraId="792D129D" w14:textId="77777777" w:rsidTr="009B6793">
        <w:tc>
          <w:tcPr>
            <w:tcW w:w="3771" w:type="dxa"/>
            <w:tcBorders>
              <w:top w:val="single" w:sz="12" w:space="0" w:color="auto"/>
            </w:tcBorders>
          </w:tcPr>
          <w:p w14:paraId="6EB60146" w14:textId="77777777" w:rsidR="009B6793" w:rsidRPr="003A0EA1" w:rsidRDefault="009B6793" w:rsidP="009B6793">
            <w:pPr>
              <w:rPr>
                <w:color w:val="000000" w:themeColor="text1"/>
              </w:rPr>
            </w:pPr>
            <w:r w:rsidRPr="003A0EA1">
              <w:rPr>
                <w:color w:val="000000" w:themeColor="text1"/>
              </w:rPr>
              <w:t xml:space="preserve">Level 4.4 </w:t>
            </w:r>
            <w:r w:rsidRPr="003A0EA1">
              <w:rPr>
                <w:color w:val="000000" w:themeColor="text1"/>
              </w:rPr>
              <w:br/>
            </w:r>
            <w:r w:rsidRPr="003A0EA1">
              <w:rPr>
                <w:color w:val="000000" w:themeColor="text1"/>
                <w:sz w:val="20"/>
              </w:rPr>
              <w:t>(Head of Service)</w:t>
            </w:r>
          </w:p>
        </w:tc>
        <w:tc>
          <w:tcPr>
            <w:tcW w:w="3771" w:type="dxa"/>
            <w:tcBorders>
              <w:top w:val="single" w:sz="12" w:space="0" w:color="auto"/>
            </w:tcBorders>
            <w:shd w:val="clear" w:color="auto" w:fill="auto"/>
            <w:vAlign w:val="bottom"/>
          </w:tcPr>
          <w:p w14:paraId="575BD5FC" w14:textId="417340EA" w:rsidR="009B6793" w:rsidRPr="003A0EA1" w:rsidRDefault="009B6793" w:rsidP="009B6793">
            <w:pPr>
              <w:rPr>
                <w:color w:val="000000" w:themeColor="text1"/>
                <w:szCs w:val="24"/>
              </w:rPr>
            </w:pPr>
            <w:r w:rsidRPr="001F07EE">
              <w:t>$395,891</w:t>
            </w:r>
          </w:p>
        </w:tc>
      </w:tr>
    </w:tbl>
    <w:p w14:paraId="2776F887" w14:textId="09E9199F" w:rsidR="009B6793" w:rsidRPr="006E7416" w:rsidRDefault="009B6793" w:rsidP="009B6793">
      <w:pPr>
        <w:numPr>
          <w:ilvl w:val="1"/>
          <w:numId w:val="1"/>
        </w:numPr>
        <w:spacing w:before="80" w:after="60"/>
        <w:rPr>
          <w:color w:val="000000" w:themeColor="text1"/>
        </w:rPr>
      </w:pPr>
      <w:r w:rsidRPr="006E7416">
        <w:rPr>
          <w:color w:val="000000" w:themeColor="text1"/>
        </w:rPr>
        <w:lastRenderedPageBreak/>
        <w:t>If an executive has an employer-provided vehicle, Determination 2 of 2021 continues to apply</w:t>
      </w:r>
      <w:r w:rsidR="001B3A29" w:rsidRPr="006E7416">
        <w:rPr>
          <w:color w:val="000000" w:themeColor="text1"/>
        </w:rPr>
        <w:t xml:space="preserve"> until such time as the lease of the vehicle </w:t>
      </w:r>
      <w:r w:rsidR="00EA238C" w:rsidRPr="006E7416">
        <w:rPr>
          <w:color w:val="000000" w:themeColor="text1"/>
        </w:rPr>
        <w:t>ends</w:t>
      </w:r>
      <w:r w:rsidRPr="006E7416">
        <w:rPr>
          <w:color w:val="000000" w:themeColor="text1"/>
        </w:rPr>
        <w:t>.</w:t>
      </w:r>
    </w:p>
    <w:p w14:paraId="54955FD6" w14:textId="5CF45149" w:rsidR="00F11BCC" w:rsidRDefault="00F11BCC" w:rsidP="00F11BCC">
      <w:pPr>
        <w:numPr>
          <w:ilvl w:val="1"/>
          <w:numId w:val="1"/>
        </w:numPr>
        <w:tabs>
          <w:tab w:val="clear" w:pos="720"/>
          <w:tab w:val="num" w:pos="0"/>
        </w:tabs>
        <w:spacing w:before="80" w:after="60"/>
        <w:ind w:left="709" w:hanging="709"/>
      </w:pPr>
      <w:r w:rsidRPr="00335707">
        <w:t>If a person engaged at a level listed i</w:t>
      </w:r>
      <w:r w:rsidRPr="00F87F1D">
        <w:rPr>
          <w:color w:val="000000" w:themeColor="text1"/>
        </w:rPr>
        <w:t xml:space="preserve">n column </w:t>
      </w:r>
      <w:r w:rsidR="00915F3A" w:rsidRPr="00F87F1D">
        <w:rPr>
          <w:color w:val="000000" w:themeColor="text1"/>
        </w:rPr>
        <w:t>1</w:t>
      </w:r>
      <w:r w:rsidR="00F00DFB" w:rsidRPr="00F87F1D">
        <w:rPr>
          <w:color w:val="000000" w:themeColor="text1"/>
        </w:rPr>
        <w:t xml:space="preserve"> </w:t>
      </w:r>
      <w:r w:rsidRPr="00335707">
        <w:t xml:space="preserve">of Table 2.1 is also engaged in or appointed to another </w:t>
      </w:r>
      <w:r w:rsidRPr="00D21F9B">
        <w:rPr>
          <w:color w:val="000000" w:themeColor="text1"/>
        </w:rPr>
        <w:t>office</w:t>
      </w:r>
      <w:r w:rsidR="00F87F1D" w:rsidRPr="00D21F9B">
        <w:rPr>
          <w:color w:val="000000" w:themeColor="text1"/>
        </w:rPr>
        <w:t xml:space="preserve"> under ACT legislation, </w:t>
      </w:r>
      <w:r w:rsidRPr="00D21F9B">
        <w:rPr>
          <w:color w:val="000000" w:themeColor="text1"/>
        </w:rPr>
        <w:t>the person must only receive remuneration for the office that has the highest remuneration</w:t>
      </w:r>
      <w:r w:rsidRPr="00335707">
        <w:t>.</w:t>
      </w:r>
    </w:p>
    <w:p w14:paraId="4C8F6D3A" w14:textId="0DBA0425" w:rsidR="00932D00" w:rsidRPr="00F87F1D" w:rsidRDefault="00932D00" w:rsidP="00932D00">
      <w:pPr>
        <w:numPr>
          <w:ilvl w:val="1"/>
          <w:numId w:val="1"/>
        </w:numPr>
        <w:spacing w:before="80" w:after="60"/>
        <w:rPr>
          <w:color w:val="000000" w:themeColor="text1"/>
        </w:rPr>
      </w:pPr>
      <w:r w:rsidRPr="00F87F1D">
        <w:rPr>
          <w:color w:val="000000" w:themeColor="text1"/>
        </w:rPr>
        <w:t>The person engaged as the Head of Service is to be paid additional remuneration of $10,000 per annum above the remuneration of an executive level 4.4 specified in column 2 of Table 2.1. This additional remuneration is included as base remuneration and is recognised as salary for superannuation purposes.</w:t>
      </w:r>
    </w:p>
    <w:p w14:paraId="3A13F585" w14:textId="77777777" w:rsidR="00F11BCC" w:rsidRPr="00F87F1D" w:rsidRDefault="00F11BCC" w:rsidP="00F11BCC">
      <w:pPr>
        <w:pStyle w:val="Heading3"/>
        <w:tabs>
          <w:tab w:val="clear" w:pos="720"/>
        </w:tabs>
        <w:ind w:left="709"/>
        <w:rPr>
          <w:color w:val="000000" w:themeColor="text1"/>
        </w:rPr>
      </w:pPr>
      <w:r w:rsidRPr="00F87F1D">
        <w:rPr>
          <w:color w:val="000000" w:themeColor="text1"/>
        </w:rPr>
        <w:t>Salary packaging</w:t>
      </w:r>
    </w:p>
    <w:p w14:paraId="2ABED080" w14:textId="65DDB02C" w:rsidR="00F11BCC" w:rsidRDefault="00F11BCC" w:rsidP="00F11BCC">
      <w:pPr>
        <w:numPr>
          <w:ilvl w:val="1"/>
          <w:numId w:val="1"/>
        </w:numPr>
        <w:tabs>
          <w:tab w:val="clear" w:pos="720"/>
          <w:tab w:val="num" w:pos="0"/>
        </w:tabs>
        <w:spacing w:before="80" w:after="60"/>
        <w:ind w:left="709" w:hanging="709"/>
      </w:pPr>
      <w:r w:rsidRPr="00F87F1D">
        <w:rPr>
          <w:color w:val="000000" w:themeColor="text1"/>
        </w:rPr>
        <w:t xml:space="preserve">An executive may elect to take the remuneration mentioned in column </w:t>
      </w:r>
      <w:r w:rsidR="00915F3A" w:rsidRPr="00F87F1D">
        <w:rPr>
          <w:color w:val="000000" w:themeColor="text1"/>
        </w:rPr>
        <w:t>2</w:t>
      </w:r>
      <w:r w:rsidR="00F00DFB" w:rsidRPr="00F87F1D">
        <w:rPr>
          <w:color w:val="000000" w:themeColor="text1"/>
        </w:rPr>
        <w:t xml:space="preserve"> </w:t>
      </w:r>
      <w:r w:rsidRPr="00F87F1D">
        <w:rPr>
          <w:color w:val="000000" w:themeColor="text1"/>
        </w:rPr>
        <w:t xml:space="preserve">of Table 2.1 </w:t>
      </w:r>
      <w:r w:rsidRPr="00BF6FC8">
        <w:t>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r w:rsidRPr="00500382">
        <w:t>for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352DA976" w14:textId="77777777" w:rsidR="00F11BCC" w:rsidRPr="00C85627" w:rsidRDefault="00F11BCC" w:rsidP="00F11BCC">
      <w:pPr>
        <w:pStyle w:val="Heading3"/>
        <w:tabs>
          <w:tab w:val="clear" w:pos="720"/>
        </w:tabs>
        <w:ind w:left="709"/>
      </w:pPr>
      <w:r w:rsidRPr="00C85627">
        <w:t>Employer provided benefits</w:t>
      </w:r>
    </w:p>
    <w:p w14:paraId="5B19ADB4" w14:textId="22BCCA1B" w:rsidR="00A052D8" w:rsidRPr="00B656CC" w:rsidRDefault="00F11BCC" w:rsidP="006442AA">
      <w:pPr>
        <w:numPr>
          <w:ilvl w:val="1"/>
          <w:numId w:val="1"/>
        </w:numPr>
        <w:spacing w:before="80" w:after="60"/>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w:t>
      </w:r>
      <w:r w:rsidRPr="00B656CC">
        <w:rPr>
          <w:szCs w:val="24"/>
        </w:rPr>
        <w:t xml:space="preserve">or the relevant cash payment in lieu of the benefit mentioned </w:t>
      </w:r>
      <w:r w:rsidR="00942F3C" w:rsidRPr="00B656CC">
        <w:rPr>
          <w:szCs w:val="24"/>
        </w:rPr>
        <w:t>below</w:t>
      </w:r>
      <w:r w:rsidRPr="00B656CC">
        <w:rPr>
          <w:szCs w:val="24"/>
        </w:rPr>
        <w:t>.</w:t>
      </w:r>
    </w:p>
    <w:p w14:paraId="01F3F49C" w14:textId="7AA69C70" w:rsidR="00A6753C" w:rsidRPr="00B656CC" w:rsidRDefault="00A6753C" w:rsidP="00A6753C">
      <w:pPr>
        <w:numPr>
          <w:ilvl w:val="1"/>
          <w:numId w:val="1"/>
        </w:numPr>
        <w:spacing w:before="80" w:after="60"/>
        <w:rPr>
          <w:szCs w:val="24"/>
        </w:rPr>
      </w:pPr>
      <w:r w:rsidRPr="00B656CC">
        <w:rPr>
          <w:szCs w:val="24"/>
        </w:rPr>
        <w:t xml:space="preserve">An employer-provided benefit, or cash payment in lieu of an employer-provided benefit, is in addition to the remuneration specified in clause 2 of this </w:t>
      </w:r>
      <w:proofErr w:type="gramStart"/>
      <w:r w:rsidRPr="00B656CC">
        <w:rPr>
          <w:szCs w:val="24"/>
        </w:rPr>
        <w:t>determination, and</w:t>
      </w:r>
      <w:proofErr w:type="gramEnd"/>
      <w:r w:rsidRPr="00B656CC">
        <w:rPr>
          <w:szCs w:val="24"/>
        </w:rPr>
        <w:t xml:space="preserve"> does not affect salary for superannuation purposes.</w:t>
      </w:r>
    </w:p>
    <w:p w14:paraId="6B2E8F26" w14:textId="4EC1D85D" w:rsidR="00F11BCC" w:rsidRPr="00B656CC" w:rsidRDefault="00A6753C" w:rsidP="00B656CC">
      <w:pPr>
        <w:numPr>
          <w:ilvl w:val="1"/>
          <w:numId w:val="1"/>
        </w:numPr>
        <w:spacing w:before="80" w:after="60"/>
      </w:pPr>
      <w:r w:rsidRPr="00B656CC">
        <w:rPr>
          <w:szCs w:val="24"/>
        </w:rPr>
        <w:t>For</w:t>
      </w:r>
      <w:r w:rsidRPr="00B656CC">
        <w:t xml:space="preserve"> the avoidance of doubt, the value of an allowance or entitlement set out in this Determination is fixed and cannot be transferred to any other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lastRenderedPageBreak/>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00D550B6" w:rsidR="00942F3C" w:rsidRPr="006E7416" w:rsidRDefault="00942F3C" w:rsidP="00942F3C">
      <w:pPr>
        <w:pStyle w:val="Heading2"/>
        <w:spacing w:before="120"/>
        <w:ind w:left="709"/>
        <w:jc w:val="left"/>
        <w:rPr>
          <w:color w:val="000000" w:themeColor="text1"/>
          <w:szCs w:val="24"/>
        </w:rPr>
      </w:pPr>
      <w:r w:rsidRPr="006E7416">
        <w:rPr>
          <w:color w:val="000000" w:themeColor="text1"/>
          <w:szCs w:val="24"/>
        </w:rPr>
        <w:t xml:space="preserve">Vehicle </w:t>
      </w:r>
      <w:r w:rsidR="001B3A29" w:rsidRPr="006E7416">
        <w:rPr>
          <w:color w:val="000000" w:themeColor="text1"/>
          <w:szCs w:val="24"/>
        </w:rPr>
        <w:t>parking space</w:t>
      </w:r>
    </w:p>
    <w:p w14:paraId="7078F4CA" w14:textId="7115357B"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parking space in accordance with the </w:t>
      </w:r>
      <w:r w:rsidRPr="00942F3C">
        <w:rPr>
          <w:i/>
          <w:szCs w:val="24"/>
        </w:rPr>
        <w:t>Public Sector Management Standards 2016</w:t>
      </w:r>
      <w:r>
        <w:rPr>
          <w:szCs w:val="24"/>
        </w:rPr>
        <w:t>.</w:t>
      </w:r>
    </w:p>
    <w:p w14:paraId="6B53CC70" w14:textId="77777777" w:rsidR="00F11BCC" w:rsidRPr="00A05757" w:rsidRDefault="00F11BCC" w:rsidP="00F11BCC">
      <w:pPr>
        <w:pStyle w:val="Heading2"/>
        <w:spacing w:before="120"/>
        <w:ind w:left="709"/>
        <w:jc w:val="left"/>
        <w:rPr>
          <w:szCs w:val="24"/>
        </w:rPr>
      </w:pPr>
      <w:r w:rsidRPr="00A05757">
        <w:rPr>
          <w:szCs w:val="24"/>
        </w:rPr>
        <w:t>Employer’s superannuation contribution</w:t>
      </w:r>
    </w:p>
    <w:p w14:paraId="08D6C3A0" w14:textId="77777777" w:rsidR="00F11BCC" w:rsidRDefault="00F11BCC" w:rsidP="00F11BCC">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40B3B135" w14:textId="3E910FF1" w:rsidR="00F11BCC" w:rsidRPr="0075183B" w:rsidRDefault="00F11BCC" w:rsidP="00F11BCC">
      <w:pPr>
        <w:numPr>
          <w:ilvl w:val="1"/>
          <w:numId w:val="1"/>
        </w:numPr>
        <w:tabs>
          <w:tab w:val="clear" w:pos="720"/>
          <w:tab w:val="num" w:pos="0"/>
        </w:tabs>
        <w:spacing w:before="80" w:after="60"/>
        <w:ind w:left="709" w:hanging="709"/>
      </w:pPr>
      <w:r>
        <w:t xml:space="preserve">An executive </w:t>
      </w:r>
      <w:r w:rsidRPr="0075183B">
        <w:t xml:space="preserve">who is a member of </w:t>
      </w:r>
      <w:r>
        <w:t xml:space="preserve">the </w:t>
      </w:r>
      <w:r w:rsidR="00737A85">
        <w:t>Commonwealth Superannuation Scheme (</w:t>
      </w:r>
      <w:r w:rsidR="00737A85" w:rsidRPr="007B3690">
        <w:t>CSS</w:t>
      </w:r>
      <w:r w:rsidR="00737A85">
        <w:t>)</w:t>
      </w:r>
      <w:r w:rsidR="00737A85" w:rsidRPr="007B3690">
        <w:t xml:space="preserve"> or </w:t>
      </w:r>
      <w:r w:rsidR="00737A85">
        <w:t>Public Sector Superannuation (</w:t>
      </w:r>
      <w:r w:rsidR="00737A85" w:rsidRPr="007B3690">
        <w:t>PSS</w:t>
      </w:r>
      <w:r w:rsidR="00737A85">
        <w:t>) Scheme:</w:t>
      </w:r>
    </w:p>
    <w:p w14:paraId="48A218FE" w14:textId="481073A8" w:rsidR="00F11BCC" w:rsidRDefault="00737A85" w:rsidP="00F11BCC">
      <w:pPr>
        <w:numPr>
          <w:ilvl w:val="2"/>
          <w:numId w:val="1"/>
        </w:numPr>
        <w:tabs>
          <w:tab w:val="clear" w:pos="720"/>
        </w:tabs>
        <w:spacing w:after="60"/>
        <w:ind w:left="1134" w:hanging="436"/>
      </w:pPr>
      <w:r>
        <w:t>the person’s annual rate of remuneration for the purpose of the scheme is the base remuneration as provided in clause 2.1 of this Determination</w:t>
      </w:r>
      <w:r w:rsidR="00F11BCC">
        <w:t>; and</w:t>
      </w:r>
    </w:p>
    <w:p w14:paraId="0DA5A0D8" w14:textId="1B511B01" w:rsidR="00F11BCC" w:rsidRDefault="00737A85" w:rsidP="00F11BCC">
      <w:pPr>
        <w:numPr>
          <w:ilvl w:val="2"/>
          <w:numId w:val="1"/>
        </w:numPr>
        <w:tabs>
          <w:tab w:val="clear" w:pos="720"/>
        </w:tabs>
        <w:spacing w:after="60"/>
        <w:ind w:left="1134" w:hanging="436"/>
      </w:pPr>
      <w:r>
        <w:t>the value attributed to the employer’s superannuation contribution is taken to be a notional 16% of the person’s base remuneration</w:t>
      </w:r>
      <w:r w:rsidR="00F11BCC">
        <w:t>.</w:t>
      </w:r>
    </w:p>
    <w:p w14:paraId="26182668" w14:textId="61406FA7" w:rsidR="00F11BCC" w:rsidRDefault="00E102AE" w:rsidP="00F11BCC">
      <w:pPr>
        <w:keepNext/>
        <w:keepLines/>
        <w:numPr>
          <w:ilvl w:val="1"/>
          <w:numId w:val="1"/>
        </w:numPr>
        <w:tabs>
          <w:tab w:val="clear" w:pos="720"/>
          <w:tab w:val="num" w:pos="0"/>
        </w:tabs>
        <w:spacing w:before="80" w:after="60"/>
        <w:ind w:left="709" w:hanging="709"/>
      </w:pPr>
      <w:r>
        <w:t>For</w:t>
      </w:r>
      <w:r w:rsidR="00F11BCC">
        <w:t xml:space="preserve"> </w:t>
      </w:r>
      <w:r w:rsidR="00F11BCC" w:rsidRPr="00BF6FC8">
        <w:t>a</w:t>
      </w:r>
      <w:r w:rsidR="00F11BCC">
        <w:t xml:space="preserve">n executive who is not </w:t>
      </w:r>
      <w:r w:rsidR="00737A85">
        <w:t xml:space="preserve">currently </w:t>
      </w:r>
      <w:r w:rsidR="00F11BCC">
        <w:t xml:space="preserve">a member of the CSS or PSS </w:t>
      </w:r>
      <w:r w:rsidR="00737A85">
        <w:t xml:space="preserve">but </w:t>
      </w:r>
      <w:r w:rsidR="00F11BCC">
        <w:t xml:space="preserve">was </w:t>
      </w:r>
      <w:r w:rsidR="00737A85">
        <w:t>a member of the PSS Accumulation Plan (</w:t>
      </w:r>
      <w:proofErr w:type="spellStart"/>
      <w:r w:rsidR="00737A85">
        <w:t>PSSap</w:t>
      </w:r>
      <w:proofErr w:type="spellEnd"/>
      <w:r w:rsidR="00737A85">
        <w:t>) until it closed to the Territory on 30 June 2006</w:t>
      </w:r>
      <w:r>
        <w:t>,</w:t>
      </w:r>
      <w:r w:rsidR="00737A85">
        <w:t xml:space="preserve"> </w:t>
      </w:r>
      <w:r w:rsidR="00F11BCC">
        <w:t xml:space="preserve">and </w:t>
      </w:r>
      <w:r w:rsidR="00737A85">
        <w:t xml:space="preserve">has </w:t>
      </w:r>
      <w:r w:rsidR="00F11BCC">
        <w:t>maintained continuous employment with the Territory</w:t>
      </w:r>
      <w:r>
        <w:rPr>
          <w:rFonts w:eastAsia="Calibri"/>
          <w:szCs w:val="24"/>
        </w:rPr>
        <w:t>:</w:t>
      </w:r>
    </w:p>
    <w:p w14:paraId="07863681" w14:textId="00083250" w:rsidR="00F11BCC" w:rsidRDefault="00F11BCC" w:rsidP="00F11BCC">
      <w:pPr>
        <w:numPr>
          <w:ilvl w:val="2"/>
          <w:numId w:val="1"/>
        </w:numPr>
        <w:tabs>
          <w:tab w:val="clear" w:pos="720"/>
        </w:tabs>
        <w:spacing w:after="60"/>
        <w:ind w:left="1134" w:hanging="436"/>
      </w:pPr>
      <w:r>
        <w:t>the value of the employer’s superannuation contribution is</w:t>
      </w:r>
      <w:r w:rsidR="00737A85">
        <w:t xml:space="preserve"> a notional</w:t>
      </w:r>
      <w:r>
        <w:t xml:space="preserve"> 16% of the </w:t>
      </w:r>
      <w:r w:rsidR="00737A85">
        <w:t xml:space="preserve">base </w:t>
      </w:r>
      <w:r>
        <w:t xml:space="preserve">remuneration </w:t>
      </w:r>
      <w:r w:rsidR="00737A85">
        <w:t>as provided in clause 2.1 of this Determination</w:t>
      </w:r>
      <w:r>
        <w:t>; and</w:t>
      </w:r>
    </w:p>
    <w:p w14:paraId="42E5BAB8" w14:textId="7DE359B1" w:rsidR="00F11BCC" w:rsidRDefault="00F11BCC" w:rsidP="00F11BCC">
      <w:pPr>
        <w:numPr>
          <w:ilvl w:val="2"/>
          <w:numId w:val="1"/>
        </w:numPr>
        <w:tabs>
          <w:tab w:val="clear" w:pos="720"/>
        </w:tabs>
        <w:spacing w:after="60"/>
        <w:ind w:left="1134" w:hanging="436"/>
      </w:pPr>
      <w:r>
        <w:t xml:space="preserve">the employer will contribute </w:t>
      </w:r>
      <w:r w:rsidR="00737A85">
        <w:t xml:space="preserve">that </w:t>
      </w:r>
      <w:r>
        <w:t>amount to an agreed superannuation fund nominated by the executive.</w:t>
      </w:r>
    </w:p>
    <w:p w14:paraId="0239061B" w14:textId="5ADE3D14" w:rsidR="00737A85" w:rsidRDefault="00737A85" w:rsidP="00737A85">
      <w:pPr>
        <w:numPr>
          <w:ilvl w:val="1"/>
          <w:numId w:val="1"/>
        </w:numPr>
        <w:tabs>
          <w:tab w:val="clear" w:pos="720"/>
          <w:tab w:val="num" w:pos="0"/>
        </w:tabs>
        <w:spacing w:before="120" w:after="60"/>
        <w:ind w:left="709" w:hanging="709"/>
      </w:pPr>
      <w:r>
        <w:t xml:space="preserve">For an executive </w:t>
      </w:r>
      <w:r w:rsidRPr="00C03BCF">
        <w:t xml:space="preserve">who is a member of any other superannuation fund, the employer’s superannuation contribution is to be made at a rate </w:t>
      </w:r>
      <w:r w:rsidR="00B656CC">
        <w:t>equivalent to</w:t>
      </w:r>
      <w:r w:rsidRPr="00C03BCF">
        <w:t xml:space="preserve"> the Employer Superannuation Guarantee Charge Percentage as provided by the </w:t>
      </w:r>
      <w:r w:rsidRPr="00C03BCF">
        <w:rPr>
          <w:i/>
        </w:rPr>
        <w:t>Superannuation Guarantee (Administration) Act 1992</w:t>
      </w:r>
      <w:r w:rsidR="006E7416">
        <w:rPr>
          <w:i/>
        </w:rPr>
        <w:t>.</w:t>
      </w:r>
    </w:p>
    <w:p w14:paraId="7220CC5B" w14:textId="77777777" w:rsidR="00B05D84" w:rsidRPr="006E7416" w:rsidRDefault="00B05D84" w:rsidP="00B05D84">
      <w:pPr>
        <w:pStyle w:val="ColorfulList-Accent11"/>
        <w:tabs>
          <w:tab w:val="left" w:pos="426"/>
        </w:tabs>
        <w:spacing w:before="120" w:after="60"/>
        <w:ind w:left="709"/>
        <w:rPr>
          <w:color w:val="000000" w:themeColor="text1"/>
          <w:sz w:val="20"/>
        </w:rPr>
      </w:pPr>
      <w:r w:rsidRPr="006E7416">
        <w:rPr>
          <w:color w:val="000000" w:themeColor="text1"/>
          <w:sz w:val="20"/>
        </w:rPr>
        <w:t>Note: at the commencement of this Determination, the Employer Superannuation Guarantee Charge Percentage is 10% and increases to 10.5% on 1 July 2022.</w:t>
      </w:r>
    </w:p>
    <w:p w14:paraId="6069CB3A" w14:textId="6CF36A0B" w:rsidR="00BE1775" w:rsidRPr="006E7416" w:rsidRDefault="00BE1775" w:rsidP="00007CCC">
      <w:pPr>
        <w:numPr>
          <w:ilvl w:val="1"/>
          <w:numId w:val="1"/>
        </w:numPr>
        <w:tabs>
          <w:tab w:val="clear" w:pos="720"/>
          <w:tab w:val="num" w:pos="0"/>
        </w:tabs>
        <w:spacing w:before="120" w:after="60"/>
        <w:ind w:left="709" w:hanging="709"/>
        <w:rPr>
          <w:color w:val="000000" w:themeColor="text1"/>
        </w:rPr>
      </w:pPr>
      <w:bookmarkStart w:id="2" w:name="_Hlk23231287"/>
      <w:r w:rsidRPr="006E7416">
        <w:rPr>
          <w:color w:val="000000" w:themeColor="text1"/>
        </w:rPr>
        <w:t xml:space="preserve">The employer provides an additional employer superannuation contribution. The additional employer superannuation contribution is the same rate provided under clause D7 </w:t>
      </w:r>
      <w:r w:rsidR="00B05D84" w:rsidRPr="006E7416">
        <w:rPr>
          <w:color w:val="000000" w:themeColor="text1"/>
        </w:rPr>
        <w:t xml:space="preserve">in the </w:t>
      </w:r>
      <w:r w:rsidR="0054199E" w:rsidRPr="006E7416">
        <w:rPr>
          <w:i/>
          <w:color w:val="000000" w:themeColor="text1"/>
        </w:rPr>
        <w:t>ACT Public Sector Administrative and Related Classifications Enterprise Agreement 2021-2022</w:t>
      </w:r>
      <w:r w:rsidR="0054199E" w:rsidRPr="006E7416">
        <w:rPr>
          <w:iCs/>
          <w:color w:val="000000" w:themeColor="text1"/>
        </w:rPr>
        <w:t>.</w:t>
      </w:r>
      <w:r w:rsidR="00B05D84" w:rsidRPr="006E7416">
        <w:rPr>
          <w:color w:val="000000" w:themeColor="text1"/>
        </w:rPr>
        <w:t xml:space="preserve"> </w:t>
      </w:r>
    </w:p>
    <w:bookmarkEnd w:id="2"/>
    <w:p w14:paraId="3D67AA74" w14:textId="77777777" w:rsidR="00737A85" w:rsidRDefault="00737A85" w:rsidP="00737A85">
      <w:pPr>
        <w:numPr>
          <w:ilvl w:val="1"/>
          <w:numId w:val="1"/>
        </w:numPr>
        <w:tabs>
          <w:tab w:val="clear" w:pos="720"/>
          <w:tab w:val="num" w:pos="0"/>
        </w:tabs>
        <w:spacing w:before="120" w:after="60"/>
        <w:ind w:left="709" w:hanging="709"/>
      </w:pPr>
      <w:r>
        <w:t xml:space="preserve">Section 53 of the </w:t>
      </w:r>
      <w:r w:rsidRPr="005C3EF4">
        <w:rPr>
          <w:i/>
        </w:rPr>
        <w:t>Public Sector Management Standards 20</w:t>
      </w:r>
      <w:r>
        <w:rPr>
          <w:i/>
        </w:rPr>
        <w:t>16</w:t>
      </w:r>
      <w:r>
        <w:t>, or this section’s replacement, applies to persons who are not current CSS or PSS members or appointed to or engaged by the Territory before 30 June 2006 and maintained continuous employment with the Territory.</w:t>
      </w:r>
    </w:p>
    <w:p w14:paraId="085A6666" w14:textId="77777777" w:rsidR="00F11BCC" w:rsidRPr="009C10E9" w:rsidRDefault="00F11BCC" w:rsidP="00F11BCC">
      <w:pPr>
        <w:numPr>
          <w:ilvl w:val="1"/>
          <w:numId w:val="1"/>
        </w:numPr>
        <w:tabs>
          <w:tab w:val="clear" w:pos="720"/>
          <w:tab w:val="num" w:pos="0"/>
        </w:tabs>
        <w:spacing w:before="80" w:after="60"/>
        <w:ind w:left="709" w:hanging="709"/>
        <w:rPr>
          <w:color w:val="000000" w:themeColor="text1"/>
        </w:rPr>
      </w:pPr>
      <w:r w:rsidRPr="009C10E9">
        <w:rPr>
          <w:color w:val="000000" w:themeColor="text1"/>
        </w:rPr>
        <w:t>The</w:t>
      </w:r>
      <w:r w:rsidRPr="009C10E9">
        <w:rPr>
          <w:color w:val="000000" w:themeColor="text1"/>
          <w:lang w:val="en-US"/>
        </w:rPr>
        <w:t xml:space="preserve"> </w:t>
      </w:r>
      <w:r w:rsidRPr="009C10E9">
        <w:rPr>
          <w:color w:val="000000" w:themeColor="text1"/>
        </w:rPr>
        <w:t>value of the employer’s superannuation contribution must not be paid in cash to an executive.</w:t>
      </w:r>
    </w:p>
    <w:p w14:paraId="5D56887C" w14:textId="77777777" w:rsidR="00F11BCC" w:rsidRDefault="00F11BCC" w:rsidP="00F11BCC">
      <w:pPr>
        <w:pStyle w:val="Heading3"/>
        <w:tabs>
          <w:tab w:val="clear" w:pos="720"/>
        </w:tabs>
        <w:ind w:left="709"/>
      </w:pPr>
      <w:r w:rsidRPr="00313D79">
        <w:lastRenderedPageBreak/>
        <w:t>Relocation</w:t>
      </w:r>
      <w:r w:rsidRPr="00E320F8">
        <w:t xml:space="preserve"> </w:t>
      </w:r>
      <w:r>
        <w:t>a</w:t>
      </w:r>
      <w:r w:rsidRPr="00E320F8">
        <w:t>llowance</w:t>
      </w:r>
    </w:p>
    <w:p w14:paraId="14935C6A" w14:textId="77777777" w:rsidR="009D2938" w:rsidRPr="009D2938" w:rsidRDefault="009D2938" w:rsidP="009D2938">
      <w:pPr>
        <w:keepNext/>
        <w:keepLines/>
        <w:numPr>
          <w:ilvl w:val="1"/>
          <w:numId w:val="1"/>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744D0DF8" w14:textId="3ECD25FA"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Relocation allowance is provided to assist an individual with the costs to relocate from their home location to the ACT in order to take up the engagement as a</w:t>
      </w:r>
      <w:r w:rsidR="000C63D5">
        <w:rPr>
          <w:szCs w:val="24"/>
        </w:rPr>
        <w:t>n executive</w:t>
      </w:r>
      <w:r w:rsidRPr="009D2938">
        <w:rPr>
          <w:szCs w:val="24"/>
        </w:rPr>
        <w:t xml:space="preserve">.  </w:t>
      </w:r>
    </w:p>
    <w:p w14:paraId="4B1DDD8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executive may be reimbursed an amount of up to $55,000, for receipted, reasonable costs of the following:</w:t>
      </w:r>
    </w:p>
    <w:p w14:paraId="53C8566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packing personal effects and furniture belonging to the person and their </w:t>
      </w:r>
      <w:proofErr w:type="gramStart"/>
      <w:r w:rsidRPr="009D2938">
        <w:rPr>
          <w:szCs w:val="24"/>
        </w:rPr>
        <w:t>family;</w:t>
      </w:r>
      <w:proofErr w:type="gramEnd"/>
    </w:p>
    <w:p w14:paraId="47A705B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necessary storage of personal effects and </w:t>
      </w:r>
      <w:proofErr w:type="gramStart"/>
      <w:r w:rsidRPr="009D2938">
        <w:rPr>
          <w:szCs w:val="24"/>
        </w:rPr>
        <w:t>furniture;</w:t>
      </w:r>
      <w:proofErr w:type="gramEnd"/>
    </w:p>
    <w:p w14:paraId="6D92C040"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removal costs and associated insurance of personal effects and </w:t>
      </w:r>
      <w:proofErr w:type="gramStart"/>
      <w:r w:rsidRPr="009D2938">
        <w:rPr>
          <w:szCs w:val="24"/>
        </w:rPr>
        <w:t>furniture;</w:t>
      </w:r>
      <w:proofErr w:type="gramEnd"/>
    </w:p>
    <w:p w14:paraId="31E64CB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unpacking of personal effects and </w:t>
      </w:r>
      <w:proofErr w:type="gramStart"/>
      <w:r w:rsidRPr="009D2938">
        <w:rPr>
          <w:szCs w:val="24"/>
        </w:rPr>
        <w:t>furniture;</w:t>
      </w:r>
      <w:proofErr w:type="gramEnd"/>
    </w:p>
    <w:p w14:paraId="6B1AC14E"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costs of travel, accommodation and meals between the former location and the </w:t>
      </w:r>
      <w:proofErr w:type="gramStart"/>
      <w:r w:rsidRPr="009D2938">
        <w:rPr>
          <w:szCs w:val="24"/>
        </w:rPr>
        <w:t>ACT;</w:t>
      </w:r>
      <w:proofErr w:type="gramEnd"/>
    </w:p>
    <w:p w14:paraId="7C76B49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roofErr w:type="gramStart"/>
      <w:r w:rsidRPr="009D2938">
        <w:rPr>
          <w:szCs w:val="24"/>
        </w:rPr>
        <w:t>);</w:t>
      </w:r>
      <w:proofErr w:type="gramEnd"/>
    </w:p>
    <w:p w14:paraId="70FAC404"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costs of disconnection and reconnection of </w:t>
      </w:r>
      <w:proofErr w:type="gramStart"/>
      <w:r w:rsidRPr="009D2938">
        <w:rPr>
          <w:szCs w:val="24"/>
        </w:rPr>
        <w:t>utilities;</w:t>
      </w:r>
      <w:proofErr w:type="gramEnd"/>
    </w:p>
    <w:p w14:paraId="5F3ED27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w:t>
      </w:r>
      <w:proofErr w:type="gramStart"/>
      <w:r w:rsidRPr="009D2938">
        <w:rPr>
          <w:szCs w:val="24"/>
        </w:rPr>
        <w:t>ACT;</w:t>
      </w:r>
      <w:proofErr w:type="gramEnd"/>
      <w:r w:rsidRPr="009D2938">
        <w:rPr>
          <w:szCs w:val="24"/>
        </w:rPr>
        <w:t xml:space="preserve"> </w:t>
      </w:r>
    </w:p>
    <w:p w14:paraId="081C6F8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5EE66A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65E4F6B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there are unusual or exceptional circumstances; and</w:t>
      </w:r>
    </w:p>
    <w:p w14:paraId="1BDAF4A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39E94AEB"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If an executive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5EBEA72"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unusual or exceptional circumstances; and</w:t>
      </w:r>
    </w:p>
    <w:p w14:paraId="068DDF6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relocation; and</w:t>
      </w:r>
    </w:p>
    <w:p w14:paraId="0BC0FB1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expenses incurred by the executive; and</w:t>
      </w:r>
    </w:p>
    <w:p w14:paraId="056C83E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expected total relocation expenses of the executive; and</w:t>
      </w:r>
    </w:p>
    <w:p w14:paraId="2F0E299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level of assistance the executive considers should be provided; and</w:t>
      </w:r>
    </w:p>
    <w:p w14:paraId="4D5F31F1" w14:textId="77777777" w:rsidR="009D2938" w:rsidRPr="00366D86" w:rsidRDefault="009D2938" w:rsidP="009D2938">
      <w:pPr>
        <w:numPr>
          <w:ilvl w:val="2"/>
          <w:numId w:val="1"/>
        </w:numPr>
        <w:tabs>
          <w:tab w:val="clear" w:pos="720"/>
        </w:tabs>
        <w:spacing w:after="60"/>
        <w:ind w:left="1134" w:hanging="436"/>
        <w:rPr>
          <w:color w:val="000000" w:themeColor="text1"/>
          <w:szCs w:val="24"/>
        </w:rPr>
      </w:pPr>
      <w:r w:rsidRPr="00366D86">
        <w:rPr>
          <w:color w:val="000000" w:themeColor="text1"/>
          <w:szCs w:val="24"/>
        </w:rPr>
        <w:t>any other relevant information.</w:t>
      </w:r>
    </w:p>
    <w:p w14:paraId="580BD672" w14:textId="51BD20F3" w:rsidR="009D2938" w:rsidRPr="00366D86" w:rsidRDefault="009D2938" w:rsidP="009D2938">
      <w:pPr>
        <w:numPr>
          <w:ilvl w:val="1"/>
          <w:numId w:val="1"/>
        </w:numPr>
        <w:tabs>
          <w:tab w:val="clear" w:pos="720"/>
          <w:tab w:val="num" w:pos="0"/>
        </w:tabs>
        <w:spacing w:before="80" w:after="60"/>
        <w:ind w:left="709" w:hanging="709"/>
        <w:rPr>
          <w:color w:val="000000" w:themeColor="text1"/>
          <w:szCs w:val="24"/>
        </w:rPr>
      </w:pPr>
      <w:r w:rsidRPr="00366D86">
        <w:rPr>
          <w:color w:val="000000" w:themeColor="text1"/>
          <w:szCs w:val="24"/>
        </w:rPr>
        <w:t xml:space="preserve">If the executive terminates their employment with the </w:t>
      </w:r>
      <w:r w:rsidR="000C63D5" w:rsidRPr="00366D86">
        <w:rPr>
          <w:color w:val="000000" w:themeColor="text1"/>
          <w:szCs w:val="24"/>
        </w:rPr>
        <w:t>Territory</w:t>
      </w:r>
      <w:r w:rsidRPr="00366D86">
        <w:rPr>
          <w:color w:val="000000" w:themeColor="text1"/>
          <w:szCs w:val="24"/>
        </w:rPr>
        <w:t xml:space="preserve"> as a</w:t>
      </w:r>
      <w:r w:rsidR="000C63D5" w:rsidRPr="00366D86">
        <w:rPr>
          <w:color w:val="000000" w:themeColor="text1"/>
          <w:szCs w:val="24"/>
        </w:rPr>
        <w:t xml:space="preserve">n executive </w:t>
      </w:r>
      <w:r w:rsidRPr="00366D86">
        <w:rPr>
          <w:color w:val="000000" w:themeColor="text1"/>
          <w:szCs w:val="24"/>
        </w:rPr>
        <w:t xml:space="preserve">within twelve months of the date of their engagement, the </w:t>
      </w:r>
      <w:r w:rsidR="004066A4" w:rsidRPr="00366D86">
        <w:rPr>
          <w:color w:val="000000" w:themeColor="text1"/>
          <w:szCs w:val="24"/>
        </w:rPr>
        <w:t>executive</w:t>
      </w:r>
      <w:r w:rsidRPr="00366D86">
        <w:rPr>
          <w:color w:val="000000" w:themeColor="text1"/>
          <w:szCs w:val="24"/>
        </w:rPr>
        <w:t xml:space="preserve"> may be required by the Head of Service to repay the following amount:</w:t>
      </w:r>
    </w:p>
    <w:p w14:paraId="592EC2D5"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within six months from the date of their engagement—100% of the amount reimbursed under section </w:t>
      </w:r>
      <w:proofErr w:type="gramStart"/>
      <w:r w:rsidRPr="00366D86">
        <w:rPr>
          <w:color w:val="000000" w:themeColor="text1"/>
          <w:szCs w:val="24"/>
        </w:rPr>
        <w:t>5.3;</w:t>
      </w:r>
      <w:proofErr w:type="gramEnd"/>
      <w:r w:rsidRPr="00366D86">
        <w:rPr>
          <w:color w:val="000000" w:themeColor="text1"/>
          <w:szCs w:val="24"/>
        </w:rPr>
        <w:t xml:space="preserve"> </w:t>
      </w:r>
    </w:p>
    <w:p w14:paraId="71F54309"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lastRenderedPageBreak/>
        <w:t>If the executive terminates employment more than six months and less than twelve months from the date of their engagement—50% of the amount reimbursed under section 5.3.</w:t>
      </w:r>
    </w:p>
    <w:p w14:paraId="6919B26B" w14:textId="0F09CD3A" w:rsidR="009D2938" w:rsidRPr="00366D86" w:rsidRDefault="009D2938" w:rsidP="009453AF">
      <w:pPr>
        <w:spacing w:before="80" w:after="60"/>
        <w:ind w:left="709"/>
        <w:rPr>
          <w:color w:val="000000" w:themeColor="text1"/>
          <w:szCs w:val="24"/>
        </w:rPr>
      </w:pPr>
      <w:r w:rsidRPr="00366D86">
        <w:rPr>
          <w:color w:val="000000" w:themeColor="text1"/>
          <w:szCs w:val="24"/>
        </w:rPr>
        <w:t>Note: Relocation allowance does not apply to any expenses incurred at the conclusion of employment with the Territory.</w:t>
      </w:r>
    </w:p>
    <w:p w14:paraId="0C4E51CE" w14:textId="77777777" w:rsidR="00793C81" w:rsidRPr="00366D86" w:rsidRDefault="00793C81" w:rsidP="00793C81">
      <w:pPr>
        <w:pStyle w:val="Heading3"/>
        <w:keepLines w:val="0"/>
        <w:ind w:left="709" w:hanging="709"/>
        <w:rPr>
          <w:rFonts w:cs="Arial"/>
          <w:color w:val="000000" w:themeColor="text1"/>
          <w:szCs w:val="26"/>
        </w:rPr>
      </w:pPr>
      <w:r w:rsidRPr="00366D86">
        <w:rPr>
          <w:rFonts w:cs="Arial"/>
          <w:color w:val="000000" w:themeColor="text1"/>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sidRPr="00366D86">
        <w:rPr>
          <w:color w:val="000000" w:themeColor="text1"/>
          <w:szCs w:val="24"/>
        </w:rPr>
        <w:t xml:space="preserve">For the avoidance of doubt, under section </w:t>
      </w:r>
      <w:r w:rsidR="00223BC3" w:rsidRPr="00366D86">
        <w:rPr>
          <w:color w:val="000000" w:themeColor="text1"/>
          <w:szCs w:val="24"/>
        </w:rPr>
        <w:t xml:space="preserve">113 and </w:t>
      </w:r>
      <w:r w:rsidRPr="00366D86">
        <w:rPr>
          <w:color w:val="000000" w:themeColor="text1"/>
          <w:szCs w:val="24"/>
        </w:rPr>
        <w:t xml:space="preserve">115 of the </w:t>
      </w:r>
      <w:r w:rsidRPr="00366D86">
        <w:rPr>
          <w:i/>
          <w:color w:val="000000" w:themeColor="text1"/>
          <w:szCs w:val="24"/>
        </w:rPr>
        <w:t>Public Sector Management Standards 2016</w:t>
      </w:r>
      <w:r w:rsidRPr="00366D86">
        <w:rPr>
          <w:color w:val="000000" w:themeColor="text1"/>
          <w:szCs w:val="24"/>
        </w:rPr>
        <w:t xml:space="preserve">, the </w:t>
      </w:r>
      <w:r>
        <w:rPr>
          <w:szCs w:val="24"/>
        </w:rPr>
        <w:t xml:space="preserve">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roofErr w:type="gramStart"/>
      <w:r>
        <w:t>);</w:t>
      </w:r>
      <w:proofErr w:type="gramEnd"/>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roofErr w:type="gramStart"/>
      <w:r>
        <w:t>);</w:t>
      </w:r>
      <w:proofErr w:type="gramEnd"/>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roofErr w:type="gramStart"/>
      <w:r>
        <w:t>);</w:t>
      </w:r>
      <w:proofErr w:type="gramEnd"/>
    </w:p>
    <w:p w14:paraId="31F10BAD" w14:textId="77777777" w:rsidR="00793C81" w:rsidRDefault="00793C81" w:rsidP="00793C81">
      <w:pPr>
        <w:numPr>
          <w:ilvl w:val="2"/>
          <w:numId w:val="1"/>
        </w:numPr>
        <w:tabs>
          <w:tab w:val="clear" w:pos="720"/>
        </w:tabs>
        <w:spacing w:after="60"/>
        <w:ind w:left="1134" w:hanging="436"/>
      </w:pPr>
      <w:r>
        <w:t xml:space="preserve">part 9.6 (executive employee and statutory </w:t>
      </w:r>
      <w:proofErr w:type="gramStart"/>
      <w:r>
        <w:t>office-holder</w:t>
      </w:r>
      <w:proofErr w:type="gramEnd"/>
      <w:r>
        <w:t xml:space="preserve"> leave and other entitlements).</w:t>
      </w:r>
    </w:p>
    <w:p w14:paraId="3A0ED6EA" w14:textId="51F72484" w:rsidR="004D4B51" w:rsidRPr="001F472A" w:rsidRDefault="004D4B51" w:rsidP="004D4B51">
      <w:pPr>
        <w:numPr>
          <w:ilvl w:val="1"/>
          <w:numId w:val="1"/>
        </w:numPr>
        <w:tabs>
          <w:tab w:val="clear" w:pos="720"/>
        </w:tabs>
        <w:spacing w:before="80" w:after="60"/>
        <w:ind w:left="709" w:hanging="709"/>
      </w:pPr>
      <w:r>
        <w:t>Leave entitlements, salary sacrifice arrangements and vacation childcare subsidy are provided to executives under Division 5.6 of the Public Sector Management Standards 2016, as amended from time to time.</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4B0A2A9" w14:textId="77777777" w:rsidR="00F11BCC" w:rsidRPr="00335707" w:rsidRDefault="00F11BCC" w:rsidP="00F11BCC">
      <w:pPr>
        <w:spacing w:before="80"/>
        <w:ind w:left="709"/>
        <w:jc w:val="both"/>
      </w:pPr>
      <w:r w:rsidRPr="00335707">
        <w:rPr>
          <w:b/>
          <w:bCs/>
          <w:i/>
          <w:iCs/>
        </w:rPr>
        <w:t>agreed superannuation fund</w:t>
      </w:r>
      <w:r w:rsidRPr="00335707">
        <w:t xml:space="preserve"> means a fund complying with the requirements of:</w:t>
      </w:r>
    </w:p>
    <w:p w14:paraId="675D1A6A" w14:textId="77777777" w:rsidR="00F11BCC" w:rsidRPr="00335707" w:rsidRDefault="00F11BCC" w:rsidP="00F11BCC">
      <w:pPr>
        <w:pStyle w:val="MediumGrid1-Accent21"/>
        <w:numPr>
          <w:ilvl w:val="0"/>
          <w:numId w:val="3"/>
        </w:numPr>
        <w:spacing w:after="60"/>
        <w:jc w:val="both"/>
      </w:pPr>
      <w:r w:rsidRPr="00335707">
        <w:t xml:space="preserve">the </w:t>
      </w:r>
      <w:r w:rsidRPr="00335707">
        <w:rPr>
          <w:i/>
        </w:rPr>
        <w:t>Income Tax Assessment Act 1936</w:t>
      </w:r>
      <w:r w:rsidRPr="00335707">
        <w:t xml:space="preserve"> (Cth); and</w:t>
      </w:r>
    </w:p>
    <w:p w14:paraId="79CB395C" w14:textId="77777777" w:rsidR="00F11BCC" w:rsidRPr="00335707" w:rsidRDefault="00F11BCC" w:rsidP="00F11BCC">
      <w:pPr>
        <w:pStyle w:val="MediumGrid1-Accent21"/>
        <w:numPr>
          <w:ilvl w:val="0"/>
          <w:numId w:val="3"/>
        </w:numPr>
        <w:spacing w:before="80"/>
        <w:jc w:val="both"/>
      </w:pPr>
      <w:r w:rsidRPr="00335707">
        <w:t xml:space="preserve">the </w:t>
      </w:r>
      <w:r w:rsidRPr="00335707">
        <w:rPr>
          <w:i/>
        </w:rPr>
        <w:t>Superannuation Industry (Supervision) Act 1993</w:t>
      </w:r>
      <w:r w:rsidRPr="00335707">
        <w:t xml:space="preserve"> (Cth).</w:t>
      </w:r>
    </w:p>
    <w:p w14:paraId="04646AFF" w14:textId="77777777" w:rsidR="00F11BCC" w:rsidRDefault="00F11BCC" w:rsidP="00F11BCC">
      <w:pPr>
        <w:spacing w:before="80"/>
        <w:ind w:left="709"/>
        <w:jc w:val="both"/>
      </w:pPr>
      <w:r>
        <w:rPr>
          <w:b/>
          <w:i/>
        </w:rPr>
        <w:t xml:space="preserve">CSS </w:t>
      </w:r>
      <w:r>
        <w:t xml:space="preserve">means the </w:t>
      </w:r>
      <w:r w:rsidRPr="0075183B">
        <w:t>Comm</w:t>
      </w:r>
      <w:r>
        <w:t>onwealth Superannuation Scheme.</w:t>
      </w:r>
    </w:p>
    <w:p w14:paraId="1B6973C2" w14:textId="77777777" w:rsidR="00F11BCC" w:rsidRPr="00335707" w:rsidRDefault="00F11BCC" w:rsidP="00F11BCC">
      <w:pPr>
        <w:spacing w:before="80"/>
        <w:ind w:left="709"/>
        <w:jc w:val="both"/>
      </w:pPr>
      <w:r w:rsidRPr="00335707">
        <w:rPr>
          <w:b/>
          <w:bCs/>
          <w:i/>
        </w:rPr>
        <w:t>employer</w:t>
      </w:r>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r w:rsidRPr="00335707">
        <w:rPr>
          <w:b/>
          <w:bCs/>
          <w:i/>
          <w:iCs/>
        </w:rPr>
        <w:t xml:space="preserve">executive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r w:rsidRPr="00335707">
        <w:rPr>
          <w:b/>
          <w:bCs/>
          <w:i/>
          <w:iCs/>
        </w:rPr>
        <w:t>fringe</w:t>
      </w:r>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0401F4DA" w14:textId="77777777" w:rsidR="00F11BCC" w:rsidRDefault="00F11BCC" w:rsidP="00F11BCC">
      <w:pPr>
        <w:spacing w:before="80"/>
        <w:ind w:left="709"/>
        <w:jc w:val="both"/>
      </w:pPr>
      <w:r>
        <w:rPr>
          <w:b/>
          <w:i/>
        </w:rPr>
        <w:t xml:space="preserve">PSS </w:t>
      </w:r>
      <w:r>
        <w:t xml:space="preserve">means the </w:t>
      </w:r>
      <w:r w:rsidRPr="0075183B">
        <w:t>Publi</w:t>
      </w:r>
      <w:r>
        <w:t>c Sector Superannuation Scheme.</w:t>
      </w:r>
    </w:p>
    <w:p w14:paraId="5ACF004F" w14:textId="77777777" w:rsidR="00F11BCC" w:rsidRPr="00366D86" w:rsidRDefault="00F11BCC" w:rsidP="00F11BCC">
      <w:pPr>
        <w:pStyle w:val="Heading3"/>
        <w:tabs>
          <w:tab w:val="clear" w:pos="720"/>
        </w:tabs>
        <w:ind w:left="709"/>
        <w:rPr>
          <w:color w:val="000000" w:themeColor="text1"/>
        </w:rPr>
      </w:pPr>
      <w:r w:rsidRPr="00366D86">
        <w:rPr>
          <w:color w:val="000000" w:themeColor="text1"/>
        </w:rPr>
        <w:t>Revocation of previous Determination</w:t>
      </w:r>
    </w:p>
    <w:p w14:paraId="056DD224" w14:textId="5BEF5EA0" w:rsidR="007C241C" w:rsidRDefault="00F11BCC" w:rsidP="007C241C">
      <w:pPr>
        <w:numPr>
          <w:ilvl w:val="1"/>
          <w:numId w:val="1"/>
        </w:numPr>
        <w:tabs>
          <w:tab w:val="clear" w:pos="720"/>
        </w:tabs>
        <w:spacing w:before="80" w:after="60"/>
        <w:ind w:left="709" w:hanging="709"/>
        <w:rPr>
          <w:color w:val="000000" w:themeColor="text1"/>
        </w:rPr>
      </w:pPr>
      <w:r w:rsidRPr="006E7416">
        <w:rPr>
          <w:color w:val="000000" w:themeColor="text1"/>
        </w:rPr>
        <w:t xml:space="preserve">Determination </w:t>
      </w:r>
      <w:r w:rsidR="006442AA" w:rsidRPr="006E7416">
        <w:rPr>
          <w:color w:val="000000" w:themeColor="text1"/>
        </w:rPr>
        <w:t>2</w:t>
      </w:r>
      <w:r w:rsidR="00482097" w:rsidRPr="006E7416">
        <w:rPr>
          <w:color w:val="000000" w:themeColor="text1"/>
        </w:rPr>
        <w:t xml:space="preserve"> of </w:t>
      </w:r>
      <w:r w:rsidR="006442AA" w:rsidRPr="006E7416">
        <w:rPr>
          <w:color w:val="000000" w:themeColor="text1"/>
        </w:rPr>
        <w:t>20</w:t>
      </w:r>
      <w:r w:rsidR="001B3A29" w:rsidRPr="006E7416">
        <w:rPr>
          <w:color w:val="000000" w:themeColor="text1"/>
        </w:rPr>
        <w:t>21</w:t>
      </w:r>
      <w:r w:rsidR="006442AA" w:rsidRPr="006E7416">
        <w:rPr>
          <w:color w:val="000000" w:themeColor="text1"/>
        </w:rPr>
        <w:t xml:space="preserve"> </w:t>
      </w:r>
      <w:r w:rsidRPr="006E7416">
        <w:rPr>
          <w:color w:val="000000" w:themeColor="text1"/>
        </w:rPr>
        <w:t>is revoked</w:t>
      </w:r>
      <w:r w:rsidRPr="00366D86">
        <w:rPr>
          <w:color w:val="000000" w:themeColor="text1"/>
        </w:rPr>
        <w:t>.</w:t>
      </w:r>
      <w:bookmarkEnd w:id="0"/>
    </w:p>
    <w:p w14:paraId="090E038F" w14:textId="01303533" w:rsidR="006E7416" w:rsidRDefault="006E7416">
      <w:pPr>
        <w:rPr>
          <w:color w:val="000000" w:themeColor="text1"/>
        </w:rPr>
      </w:pPr>
      <w:r>
        <w:rPr>
          <w:color w:val="000000" w:themeColor="text1"/>
        </w:rPr>
        <w:br w:type="page"/>
      </w:r>
    </w:p>
    <w:tbl>
      <w:tblPr>
        <w:tblW w:w="0" w:type="auto"/>
        <w:tblLook w:val="04A0" w:firstRow="1" w:lastRow="0" w:firstColumn="1" w:lastColumn="0" w:noHBand="0" w:noVBand="1"/>
      </w:tblPr>
      <w:tblGrid>
        <w:gridCol w:w="4529"/>
        <w:gridCol w:w="4488"/>
      </w:tblGrid>
      <w:tr w:rsidR="0027602A" w:rsidRPr="006A51E8" w14:paraId="46365CB2" w14:textId="77777777" w:rsidTr="009B6793">
        <w:tc>
          <w:tcPr>
            <w:tcW w:w="4529" w:type="dxa"/>
          </w:tcPr>
          <w:p w14:paraId="6F31F283" w14:textId="77777777" w:rsidR="0027602A" w:rsidRPr="000F41B0" w:rsidRDefault="0027602A" w:rsidP="009B6793">
            <w:pPr>
              <w:tabs>
                <w:tab w:val="left" w:pos="4253"/>
                <w:tab w:val="left" w:leader="dot" w:pos="8222"/>
              </w:tabs>
              <w:rPr>
                <w:szCs w:val="24"/>
              </w:rPr>
            </w:pPr>
          </w:p>
          <w:p w14:paraId="6A3187D2" w14:textId="77777777" w:rsidR="0027602A" w:rsidRPr="000F41B0" w:rsidRDefault="0027602A" w:rsidP="009B6793">
            <w:pPr>
              <w:tabs>
                <w:tab w:val="left" w:pos="4253"/>
                <w:tab w:val="left" w:pos="7230"/>
                <w:tab w:val="left" w:leader="dot" w:pos="8222"/>
              </w:tabs>
              <w:rPr>
                <w:szCs w:val="24"/>
              </w:rPr>
            </w:pPr>
            <w:r>
              <w:rPr>
                <w:szCs w:val="24"/>
              </w:rPr>
              <w:t>Ms Sandra Lambert AM</w:t>
            </w:r>
            <w:r w:rsidRPr="000F41B0">
              <w:rPr>
                <w:szCs w:val="24"/>
              </w:rPr>
              <w:tab/>
            </w:r>
          </w:p>
          <w:p w14:paraId="0934636D" w14:textId="77777777" w:rsidR="0027602A" w:rsidRPr="000F41B0" w:rsidRDefault="0027602A" w:rsidP="009B6793">
            <w:pPr>
              <w:tabs>
                <w:tab w:val="left" w:pos="7230"/>
              </w:tabs>
              <w:rPr>
                <w:szCs w:val="24"/>
              </w:rPr>
            </w:pPr>
            <w:r w:rsidRPr="000F41B0">
              <w:rPr>
                <w:szCs w:val="24"/>
              </w:rPr>
              <w:t>Chair</w:t>
            </w:r>
          </w:p>
          <w:p w14:paraId="39D701CC" w14:textId="77777777" w:rsidR="0027602A" w:rsidRDefault="0027602A" w:rsidP="009B6793">
            <w:pPr>
              <w:tabs>
                <w:tab w:val="left" w:pos="4253"/>
                <w:tab w:val="left" w:leader="dot" w:pos="8222"/>
              </w:tabs>
              <w:rPr>
                <w:szCs w:val="24"/>
              </w:rPr>
            </w:pPr>
          </w:p>
          <w:p w14:paraId="086CC79A" w14:textId="77777777" w:rsidR="0027602A" w:rsidRPr="000F41B0" w:rsidRDefault="0027602A" w:rsidP="009B6793">
            <w:pPr>
              <w:tabs>
                <w:tab w:val="left" w:pos="4253"/>
                <w:tab w:val="left" w:leader="dot" w:pos="8222"/>
              </w:tabs>
              <w:spacing w:after="120"/>
              <w:rPr>
                <w:szCs w:val="24"/>
              </w:rPr>
            </w:pPr>
          </w:p>
        </w:tc>
        <w:tc>
          <w:tcPr>
            <w:tcW w:w="4488" w:type="dxa"/>
          </w:tcPr>
          <w:p w14:paraId="50322647" w14:textId="77777777" w:rsidR="0027602A" w:rsidRDefault="0027602A" w:rsidP="009B6793">
            <w:pPr>
              <w:tabs>
                <w:tab w:val="left" w:pos="3059"/>
                <w:tab w:val="left" w:pos="7230"/>
              </w:tabs>
            </w:pPr>
          </w:p>
          <w:p w14:paraId="2EF348A3" w14:textId="77777777" w:rsidR="0027602A" w:rsidRPr="006A51E8" w:rsidRDefault="0027602A" w:rsidP="009B6793">
            <w:pPr>
              <w:tabs>
                <w:tab w:val="left" w:pos="3059"/>
                <w:tab w:val="left" w:pos="7230"/>
              </w:tabs>
              <w:spacing w:before="120"/>
            </w:pPr>
            <w:r>
              <w:t xml:space="preserve"> </w:t>
            </w:r>
            <w:r>
              <w:br/>
              <w:t xml:space="preserve"> </w:t>
            </w:r>
            <w:r w:rsidRPr="00A9481F">
              <w:t>...............................</w:t>
            </w:r>
            <w:r>
              <w:t>.................</w:t>
            </w:r>
          </w:p>
        </w:tc>
      </w:tr>
      <w:tr w:rsidR="0027602A" w:rsidRPr="006A51E8" w14:paraId="57AC1D65" w14:textId="77777777" w:rsidTr="009B6793">
        <w:tc>
          <w:tcPr>
            <w:tcW w:w="4529" w:type="dxa"/>
          </w:tcPr>
          <w:p w14:paraId="2E8EFD72" w14:textId="77777777" w:rsidR="0027602A" w:rsidRPr="000F41B0" w:rsidRDefault="0027602A" w:rsidP="009B6793">
            <w:pPr>
              <w:tabs>
                <w:tab w:val="left" w:pos="4253"/>
                <w:tab w:val="left" w:leader="dot" w:pos="8222"/>
              </w:tabs>
              <w:rPr>
                <w:szCs w:val="24"/>
              </w:rPr>
            </w:pPr>
            <w:r>
              <w:rPr>
                <w:szCs w:val="24"/>
              </w:rPr>
              <w:t>Dr James Popple</w:t>
            </w:r>
            <w:r w:rsidRPr="000F41B0">
              <w:rPr>
                <w:szCs w:val="24"/>
              </w:rPr>
              <w:tab/>
            </w:r>
          </w:p>
          <w:p w14:paraId="3E9DBDA7" w14:textId="77777777" w:rsidR="0027602A" w:rsidRPr="000F41B0" w:rsidRDefault="0027602A" w:rsidP="009B6793">
            <w:pPr>
              <w:tabs>
                <w:tab w:val="left" w:pos="4253"/>
                <w:tab w:val="left" w:leader="dot" w:pos="8222"/>
              </w:tabs>
              <w:rPr>
                <w:szCs w:val="24"/>
              </w:rPr>
            </w:pPr>
            <w:r w:rsidRPr="000F41B0">
              <w:rPr>
                <w:szCs w:val="24"/>
              </w:rPr>
              <w:t>Member</w:t>
            </w:r>
          </w:p>
        </w:tc>
        <w:tc>
          <w:tcPr>
            <w:tcW w:w="4488" w:type="dxa"/>
          </w:tcPr>
          <w:p w14:paraId="44819532" w14:textId="77777777" w:rsidR="0027602A" w:rsidRDefault="0027602A" w:rsidP="009B6793">
            <w:pPr>
              <w:tabs>
                <w:tab w:val="left" w:pos="3059"/>
                <w:tab w:val="left" w:pos="7230"/>
              </w:tabs>
            </w:pPr>
            <w:r w:rsidRPr="006A51E8">
              <w:t xml:space="preserve"> </w:t>
            </w:r>
          </w:p>
          <w:p w14:paraId="3A457DB9" w14:textId="77777777" w:rsidR="0027602A" w:rsidRDefault="0027602A" w:rsidP="009B6793">
            <w:pPr>
              <w:tabs>
                <w:tab w:val="left" w:pos="3059"/>
                <w:tab w:val="left" w:pos="7230"/>
              </w:tabs>
            </w:pPr>
          </w:p>
          <w:p w14:paraId="16F504E4" w14:textId="77777777" w:rsidR="0027602A" w:rsidRDefault="0027602A" w:rsidP="009B6793">
            <w:pPr>
              <w:tabs>
                <w:tab w:val="left" w:pos="3059"/>
                <w:tab w:val="left" w:pos="7230"/>
              </w:tabs>
            </w:pPr>
            <w:r>
              <w:t xml:space="preserve">  </w:t>
            </w:r>
            <w:r w:rsidRPr="00A9481F">
              <w:t>..............................</w:t>
            </w:r>
            <w:r>
              <w:t>.................</w:t>
            </w:r>
          </w:p>
          <w:p w14:paraId="50C95AC5" w14:textId="77777777" w:rsidR="0027602A" w:rsidRDefault="0027602A" w:rsidP="009B6793">
            <w:pPr>
              <w:tabs>
                <w:tab w:val="left" w:pos="3059"/>
                <w:tab w:val="left" w:pos="7230"/>
              </w:tabs>
            </w:pPr>
          </w:p>
        </w:tc>
      </w:tr>
      <w:tr w:rsidR="0027602A" w:rsidRPr="006A51E8" w14:paraId="476FECDA" w14:textId="77777777" w:rsidTr="009B6793">
        <w:tc>
          <w:tcPr>
            <w:tcW w:w="4529" w:type="dxa"/>
          </w:tcPr>
          <w:p w14:paraId="00F07FC4" w14:textId="77777777" w:rsidR="0027602A" w:rsidRPr="000F41B0" w:rsidRDefault="0027602A" w:rsidP="009B6793">
            <w:pPr>
              <w:tabs>
                <w:tab w:val="left" w:pos="4253"/>
                <w:tab w:val="left" w:pos="7230"/>
                <w:tab w:val="left" w:leader="dot" w:pos="8222"/>
              </w:tabs>
              <w:rPr>
                <w:szCs w:val="24"/>
              </w:rPr>
            </w:pPr>
          </w:p>
          <w:p w14:paraId="25622E0A" w14:textId="77777777" w:rsidR="0027602A" w:rsidRDefault="0027602A" w:rsidP="009B6793">
            <w:pPr>
              <w:tabs>
                <w:tab w:val="left" w:pos="4253"/>
                <w:tab w:val="left" w:pos="7230"/>
                <w:tab w:val="left" w:leader="dot" w:pos="8222"/>
              </w:tabs>
              <w:rPr>
                <w:szCs w:val="24"/>
              </w:rPr>
            </w:pPr>
          </w:p>
          <w:p w14:paraId="428CF313" w14:textId="77777777" w:rsidR="0027602A" w:rsidRPr="000F41B0" w:rsidRDefault="0027602A" w:rsidP="009B6793">
            <w:pPr>
              <w:tabs>
                <w:tab w:val="left" w:pos="4253"/>
                <w:tab w:val="left" w:leader="dot" w:pos="8222"/>
              </w:tabs>
              <w:rPr>
                <w:szCs w:val="24"/>
              </w:rPr>
            </w:pPr>
            <w:r>
              <w:rPr>
                <w:szCs w:val="24"/>
              </w:rPr>
              <w:t>Mr Dale Boucher PSM</w:t>
            </w:r>
            <w:r w:rsidRPr="000F41B0">
              <w:rPr>
                <w:szCs w:val="24"/>
              </w:rPr>
              <w:tab/>
            </w:r>
          </w:p>
          <w:p w14:paraId="34560325" w14:textId="77777777" w:rsidR="0027602A" w:rsidRPr="000F41B0" w:rsidRDefault="0027602A" w:rsidP="009B6793">
            <w:pPr>
              <w:tabs>
                <w:tab w:val="left" w:pos="4253"/>
                <w:tab w:val="left" w:leader="dot" w:pos="8222"/>
              </w:tabs>
              <w:rPr>
                <w:szCs w:val="24"/>
              </w:rPr>
            </w:pPr>
            <w:r w:rsidRPr="000F41B0">
              <w:rPr>
                <w:szCs w:val="24"/>
              </w:rPr>
              <w:t xml:space="preserve">Member </w:t>
            </w:r>
          </w:p>
        </w:tc>
        <w:tc>
          <w:tcPr>
            <w:tcW w:w="4488" w:type="dxa"/>
          </w:tcPr>
          <w:p w14:paraId="62C37F80" w14:textId="77777777" w:rsidR="0027602A" w:rsidRDefault="0027602A" w:rsidP="009B6793">
            <w:pPr>
              <w:tabs>
                <w:tab w:val="left" w:pos="4026"/>
                <w:tab w:val="left" w:pos="7230"/>
              </w:tabs>
            </w:pPr>
          </w:p>
          <w:p w14:paraId="00FF4245" w14:textId="77777777" w:rsidR="0027602A" w:rsidRDefault="0027602A" w:rsidP="009B6793">
            <w:pPr>
              <w:tabs>
                <w:tab w:val="left" w:pos="4026"/>
                <w:tab w:val="left" w:pos="7230"/>
              </w:tabs>
            </w:pPr>
          </w:p>
          <w:p w14:paraId="5B9E12B4" w14:textId="77777777" w:rsidR="0027602A" w:rsidRDefault="0027602A" w:rsidP="009B6793">
            <w:pPr>
              <w:tabs>
                <w:tab w:val="left" w:pos="4026"/>
                <w:tab w:val="left" w:pos="7230"/>
              </w:tabs>
            </w:pPr>
          </w:p>
          <w:p w14:paraId="5A4061BA" w14:textId="77777777" w:rsidR="0027602A" w:rsidRDefault="0027602A" w:rsidP="009B6793">
            <w:pPr>
              <w:tabs>
                <w:tab w:val="left" w:pos="3059"/>
                <w:tab w:val="left" w:pos="7230"/>
              </w:tabs>
            </w:pPr>
            <w:r>
              <w:t xml:space="preserve">  </w:t>
            </w:r>
            <w:r w:rsidRPr="00A9481F">
              <w:t>...............................</w:t>
            </w:r>
            <w:r>
              <w:t>................</w:t>
            </w:r>
          </w:p>
          <w:p w14:paraId="72F1F5CF" w14:textId="77777777" w:rsidR="0027602A" w:rsidRPr="006A51E8" w:rsidRDefault="0027602A" w:rsidP="009B6793">
            <w:pPr>
              <w:tabs>
                <w:tab w:val="left" w:pos="3059"/>
                <w:tab w:val="left" w:pos="7230"/>
              </w:tabs>
            </w:pPr>
          </w:p>
        </w:tc>
      </w:tr>
    </w:tbl>
    <w:p w14:paraId="2BDE3B57" w14:textId="6FBDB5AB" w:rsidR="0027602A" w:rsidRDefault="0054199E" w:rsidP="0027602A">
      <w:pPr>
        <w:tabs>
          <w:tab w:val="left" w:pos="4320"/>
        </w:tabs>
        <w:jc w:val="right"/>
      </w:pPr>
      <w:r>
        <w:t>March 2022</w:t>
      </w:r>
    </w:p>
    <w:p w14:paraId="4AFB7AA9" w14:textId="77777777" w:rsidR="00644334" w:rsidRPr="00887EC4" w:rsidRDefault="00644334" w:rsidP="00887EC4">
      <w:pPr>
        <w:spacing w:before="80" w:after="60"/>
        <w:rPr>
          <w:color w:val="000000" w:themeColor="text1"/>
        </w:rPr>
      </w:pPr>
    </w:p>
    <w:sectPr w:rsidR="00644334" w:rsidRPr="00887EC4" w:rsidSect="005B556E">
      <w:headerReference w:type="even" r:id="rId16"/>
      <w:headerReference w:type="default" r:id="rId17"/>
      <w:footerReference w:type="even" r:id="rId18"/>
      <w:footerReference w:type="default" r:id="rId19"/>
      <w:headerReference w:type="first" r:id="rId20"/>
      <w:footerReference w:type="first" r:id="rId21"/>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9836" w14:textId="77777777" w:rsidR="00B3413E" w:rsidRDefault="00B3413E" w:rsidP="00182539">
      <w:r>
        <w:separator/>
      </w:r>
    </w:p>
  </w:endnote>
  <w:endnote w:type="continuationSeparator" w:id="0">
    <w:p w14:paraId="675889AA" w14:textId="77777777" w:rsidR="00B3413E" w:rsidRDefault="00B3413E"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1EE4" w14:textId="77777777" w:rsidR="00895EC0" w:rsidRDefault="00895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7F62" w14:textId="77777777" w:rsidR="00895EC0" w:rsidRPr="005E4817" w:rsidRDefault="00895EC0">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B05D84">
      <w:rPr>
        <w:rFonts w:asciiTheme="minorHAnsi" w:hAnsiTheme="minorHAnsi"/>
        <w:noProof/>
      </w:rPr>
      <w:t>2</w:t>
    </w:r>
    <w:r w:rsidRPr="005E4817">
      <w:rPr>
        <w:rFonts w:asciiTheme="minorHAnsi" w:hAnsiTheme="minorHAnsi"/>
        <w:noProof/>
      </w:rPr>
      <w:fldChar w:fldCharType="end"/>
    </w:r>
  </w:p>
  <w:p w14:paraId="0C6D8C73" w14:textId="77777777" w:rsidR="00895EC0" w:rsidRDefault="00895EC0" w:rsidP="00891BAE">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B38F" w14:textId="77777777" w:rsidR="00895EC0" w:rsidRDefault="00895EC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92B7" w14:textId="77777777" w:rsidR="00895EC0" w:rsidRDefault="00895E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895EC0" w:rsidRDefault="00895EC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0E28F" w14:textId="77777777" w:rsidR="00895EC0" w:rsidRPr="006E0090" w:rsidRDefault="00895EC0">
    <w:pPr>
      <w:pStyle w:val="Footer"/>
      <w:framePr w:wrap="around" w:vAnchor="text" w:hAnchor="margin" w:xAlign="right" w:y="1"/>
      <w:rPr>
        <w:rStyle w:val="PageNumber"/>
      </w:rPr>
    </w:pPr>
  </w:p>
  <w:p w14:paraId="24906FE0" w14:textId="3C4BC9F6" w:rsidR="00895EC0" w:rsidRPr="005E4817" w:rsidRDefault="00895EC0"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B05D84">
      <w:rPr>
        <w:rFonts w:ascii="Calibri" w:hAnsi="Calibri"/>
        <w:noProof/>
      </w:rPr>
      <w:t>6</w:t>
    </w:r>
    <w:r w:rsidRPr="005E4817">
      <w:rPr>
        <w:rFonts w:ascii="Calibri" w:hAnsi="Calibri"/>
        <w:noProof/>
      </w:rPr>
      <w:fldChar w:fldCharType="end"/>
    </w:r>
  </w:p>
  <w:p w14:paraId="5420BBD1" w14:textId="77777777" w:rsidR="00895EC0" w:rsidRPr="00453A0F" w:rsidRDefault="00895EC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CCECB" w14:textId="77777777" w:rsidR="00895EC0" w:rsidRDefault="00895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54E5E" w14:textId="77777777" w:rsidR="00B3413E" w:rsidRDefault="00B3413E" w:rsidP="00182539">
      <w:r>
        <w:separator/>
      </w:r>
    </w:p>
  </w:footnote>
  <w:footnote w:type="continuationSeparator" w:id="0">
    <w:p w14:paraId="551A0034" w14:textId="77777777" w:rsidR="00B3413E" w:rsidRDefault="00B3413E" w:rsidP="00182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6376" w14:textId="0AA02844" w:rsidR="00895EC0" w:rsidRDefault="00895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1680" w14:textId="3D356835" w:rsidR="00895EC0" w:rsidRDefault="00895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ED11" w14:textId="14C5FDA4" w:rsidR="00895EC0" w:rsidRDefault="00895E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9738" w14:textId="1D6286CA" w:rsidR="00895EC0" w:rsidRDefault="00895E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1B30" w14:textId="67D9ADC0" w:rsidR="00895EC0" w:rsidRDefault="00895E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448E" w14:textId="44EB993D" w:rsidR="00895EC0" w:rsidRDefault="0089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4"/>
  </w:num>
  <w:num w:numId="4">
    <w:abstractNumId w:val="6"/>
  </w:num>
  <w:num w:numId="5">
    <w:abstractNumId w:val="8"/>
  </w:num>
  <w:num w:numId="6">
    <w:abstractNumId w:val="1"/>
  </w:num>
  <w:num w:numId="7">
    <w:abstractNumId w:val="9"/>
  </w:num>
  <w:num w:numId="8">
    <w:abstractNumId w:val="0"/>
  </w:num>
  <w:num w:numId="9">
    <w:abstractNumId w:val="7"/>
  </w:num>
  <w:num w:numId="10">
    <w:abstractNumId w:val="3"/>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EA5"/>
    <w:rsid w:val="0000051E"/>
    <w:rsid w:val="00007CCC"/>
    <w:rsid w:val="00011CC0"/>
    <w:rsid w:val="0001754D"/>
    <w:rsid w:val="000238E7"/>
    <w:rsid w:val="00034683"/>
    <w:rsid w:val="000776B6"/>
    <w:rsid w:val="00096D75"/>
    <w:rsid w:val="000B4043"/>
    <w:rsid w:val="000C1670"/>
    <w:rsid w:val="000C594A"/>
    <w:rsid w:val="000C63D5"/>
    <w:rsid w:val="000D472A"/>
    <w:rsid w:val="000D754F"/>
    <w:rsid w:val="000D7565"/>
    <w:rsid w:val="000E1E49"/>
    <w:rsid w:val="000E7AD4"/>
    <w:rsid w:val="000F76FB"/>
    <w:rsid w:val="00100AE4"/>
    <w:rsid w:val="00101758"/>
    <w:rsid w:val="00101B26"/>
    <w:rsid w:val="00107E29"/>
    <w:rsid w:val="00114810"/>
    <w:rsid w:val="00144E2B"/>
    <w:rsid w:val="00172E82"/>
    <w:rsid w:val="00182539"/>
    <w:rsid w:val="001874FE"/>
    <w:rsid w:val="001969BA"/>
    <w:rsid w:val="00196EA5"/>
    <w:rsid w:val="001B3A29"/>
    <w:rsid w:val="001B7C96"/>
    <w:rsid w:val="001C0825"/>
    <w:rsid w:val="001C411C"/>
    <w:rsid w:val="001D0963"/>
    <w:rsid w:val="001D4E92"/>
    <w:rsid w:val="001D5158"/>
    <w:rsid w:val="001D659C"/>
    <w:rsid w:val="001E1D55"/>
    <w:rsid w:val="002103B0"/>
    <w:rsid w:val="00216A13"/>
    <w:rsid w:val="002206F2"/>
    <w:rsid w:val="00223BC3"/>
    <w:rsid w:val="0023242B"/>
    <w:rsid w:val="0027602A"/>
    <w:rsid w:val="002807D5"/>
    <w:rsid w:val="00287A58"/>
    <w:rsid w:val="002B240A"/>
    <w:rsid w:val="002B304B"/>
    <w:rsid w:val="002D11BC"/>
    <w:rsid w:val="002D63E9"/>
    <w:rsid w:val="002E3D81"/>
    <w:rsid w:val="002E60D9"/>
    <w:rsid w:val="00306A45"/>
    <w:rsid w:val="00307776"/>
    <w:rsid w:val="00310675"/>
    <w:rsid w:val="00316581"/>
    <w:rsid w:val="00320D81"/>
    <w:rsid w:val="003254DA"/>
    <w:rsid w:val="00335707"/>
    <w:rsid w:val="00344458"/>
    <w:rsid w:val="00361F5B"/>
    <w:rsid w:val="0036642B"/>
    <w:rsid w:val="003665E3"/>
    <w:rsid w:val="00366D86"/>
    <w:rsid w:val="00382491"/>
    <w:rsid w:val="00382B95"/>
    <w:rsid w:val="00386D5E"/>
    <w:rsid w:val="00394C8C"/>
    <w:rsid w:val="003A0C5A"/>
    <w:rsid w:val="003A0EA1"/>
    <w:rsid w:val="003A71E4"/>
    <w:rsid w:val="003A7BE4"/>
    <w:rsid w:val="003B469E"/>
    <w:rsid w:val="003B6F4F"/>
    <w:rsid w:val="003C6FEE"/>
    <w:rsid w:val="003D1AC6"/>
    <w:rsid w:val="003F6E52"/>
    <w:rsid w:val="003F783F"/>
    <w:rsid w:val="00400960"/>
    <w:rsid w:val="004066A4"/>
    <w:rsid w:val="00411109"/>
    <w:rsid w:val="00413443"/>
    <w:rsid w:val="00423EE2"/>
    <w:rsid w:val="00433423"/>
    <w:rsid w:val="00453A0F"/>
    <w:rsid w:val="00453B06"/>
    <w:rsid w:val="00453BB4"/>
    <w:rsid w:val="00463482"/>
    <w:rsid w:val="00464F72"/>
    <w:rsid w:val="004715C3"/>
    <w:rsid w:val="00480B90"/>
    <w:rsid w:val="00482097"/>
    <w:rsid w:val="004B34E6"/>
    <w:rsid w:val="004B75FC"/>
    <w:rsid w:val="004C3154"/>
    <w:rsid w:val="004C4297"/>
    <w:rsid w:val="004C6D00"/>
    <w:rsid w:val="004D3741"/>
    <w:rsid w:val="004D4B51"/>
    <w:rsid w:val="004D60D4"/>
    <w:rsid w:val="004D6306"/>
    <w:rsid w:val="004F2085"/>
    <w:rsid w:val="004F2086"/>
    <w:rsid w:val="004F5FC1"/>
    <w:rsid w:val="00501D02"/>
    <w:rsid w:val="00502D96"/>
    <w:rsid w:val="00504AA8"/>
    <w:rsid w:val="005221D2"/>
    <w:rsid w:val="00525C84"/>
    <w:rsid w:val="00525FEA"/>
    <w:rsid w:val="00533E72"/>
    <w:rsid w:val="0054199E"/>
    <w:rsid w:val="005553BD"/>
    <w:rsid w:val="0056037E"/>
    <w:rsid w:val="00562357"/>
    <w:rsid w:val="00562862"/>
    <w:rsid w:val="0056377D"/>
    <w:rsid w:val="00590449"/>
    <w:rsid w:val="00594246"/>
    <w:rsid w:val="00595C50"/>
    <w:rsid w:val="005A1BE6"/>
    <w:rsid w:val="005A3A46"/>
    <w:rsid w:val="005A673A"/>
    <w:rsid w:val="005A7227"/>
    <w:rsid w:val="005B07A5"/>
    <w:rsid w:val="005B22D3"/>
    <w:rsid w:val="005B375C"/>
    <w:rsid w:val="005B556E"/>
    <w:rsid w:val="005B6D7D"/>
    <w:rsid w:val="005C0CA7"/>
    <w:rsid w:val="005D3272"/>
    <w:rsid w:val="005D75B3"/>
    <w:rsid w:val="005E4817"/>
    <w:rsid w:val="005F3493"/>
    <w:rsid w:val="006003CD"/>
    <w:rsid w:val="00614C77"/>
    <w:rsid w:val="00625610"/>
    <w:rsid w:val="006401F4"/>
    <w:rsid w:val="006442AA"/>
    <w:rsid w:val="00644334"/>
    <w:rsid w:val="00644A92"/>
    <w:rsid w:val="00670BC5"/>
    <w:rsid w:val="006905C6"/>
    <w:rsid w:val="00690EE1"/>
    <w:rsid w:val="006B0526"/>
    <w:rsid w:val="006C0DA8"/>
    <w:rsid w:val="006C5DEF"/>
    <w:rsid w:val="006C62D2"/>
    <w:rsid w:val="006D4065"/>
    <w:rsid w:val="006D6BA1"/>
    <w:rsid w:val="006E0090"/>
    <w:rsid w:val="006E7416"/>
    <w:rsid w:val="006F40F5"/>
    <w:rsid w:val="00702A22"/>
    <w:rsid w:val="00720146"/>
    <w:rsid w:val="007258CF"/>
    <w:rsid w:val="00737A85"/>
    <w:rsid w:val="00740323"/>
    <w:rsid w:val="00743D98"/>
    <w:rsid w:val="007629CF"/>
    <w:rsid w:val="007639B1"/>
    <w:rsid w:val="00765DFD"/>
    <w:rsid w:val="0077456D"/>
    <w:rsid w:val="007810C2"/>
    <w:rsid w:val="00790767"/>
    <w:rsid w:val="00793C81"/>
    <w:rsid w:val="00795F62"/>
    <w:rsid w:val="007A6BB9"/>
    <w:rsid w:val="007A78A8"/>
    <w:rsid w:val="007B1039"/>
    <w:rsid w:val="007B4076"/>
    <w:rsid w:val="007C0B41"/>
    <w:rsid w:val="007C241C"/>
    <w:rsid w:val="007C2BAC"/>
    <w:rsid w:val="007C4085"/>
    <w:rsid w:val="007C66D9"/>
    <w:rsid w:val="007D020D"/>
    <w:rsid w:val="007D54E4"/>
    <w:rsid w:val="007E21B4"/>
    <w:rsid w:val="0080525F"/>
    <w:rsid w:val="00805874"/>
    <w:rsid w:val="00824298"/>
    <w:rsid w:val="008251B6"/>
    <w:rsid w:val="00831BB0"/>
    <w:rsid w:val="008339D2"/>
    <w:rsid w:val="00834E66"/>
    <w:rsid w:val="00835D97"/>
    <w:rsid w:val="00860D65"/>
    <w:rsid w:val="008764B5"/>
    <w:rsid w:val="00887EC4"/>
    <w:rsid w:val="00891BAE"/>
    <w:rsid w:val="00894955"/>
    <w:rsid w:val="00895EC0"/>
    <w:rsid w:val="008A2333"/>
    <w:rsid w:val="00910E17"/>
    <w:rsid w:val="009123D0"/>
    <w:rsid w:val="00913A39"/>
    <w:rsid w:val="00915F3A"/>
    <w:rsid w:val="00917854"/>
    <w:rsid w:val="009279C2"/>
    <w:rsid w:val="00927F3E"/>
    <w:rsid w:val="00932D00"/>
    <w:rsid w:val="00940D75"/>
    <w:rsid w:val="00942AE0"/>
    <w:rsid w:val="00942F3C"/>
    <w:rsid w:val="009453AF"/>
    <w:rsid w:val="00945BE7"/>
    <w:rsid w:val="009467AF"/>
    <w:rsid w:val="00947B6F"/>
    <w:rsid w:val="00964983"/>
    <w:rsid w:val="00971EAB"/>
    <w:rsid w:val="00983E90"/>
    <w:rsid w:val="00985E56"/>
    <w:rsid w:val="009B4321"/>
    <w:rsid w:val="009B6793"/>
    <w:rsid w:val="009B7920"/>
    <w:rsid w:val="009C10E9"/>
    <w:rsid w:val="009C2F6E"/>
    <w:rsid w:val="009C390C"/>
    <w:rsid w:val="009C7670"/>
    <w:rsid w:val="009D2938"/>
    <w:rsid w:val="009E09C1"/>
    <w:rsid w:val="009E0E67"/>
    <w:rsid w:val="009E36A7"/>
    <w:rsid w:val="009E48D4"/>
    <w:rsid w:val="00A02D43"/>
    <w:rsid w:val="00A052D8"/>
    <w:rsid w:val="00A12B19"/>
    <w:rsid w:val="00A15F32"/>
    <w:rsid w:val="00A246C0"/>
    <w:rsid w:val="00A47632"/>
    <w:rsid w:val="00A61735"/>
    <w:rsid w:val="00A6753C"/>
    <w:rsid w:val="00A7162F"/>
    <w:rsid w:val="00A7760F"/>
    <w:rsid w:val="00A86CB9"/>
    <w:rsid w:val="00A94435"/>
    <w:rsid w:val="00AA26C9"/>
    <w:rsid w:val="00AB171A"/>
    <w:rsid w:val="00AB6000"/>
    <w:rsid w:val="00AD0936"/>
    <w:rsid w:val="00AF3576"/>
    <w:rsid w:val="00B03A31"/>
    <w:rsid w:val="00B05D84"/>
    <w:rsid w:val="00B06BD8"/>
    <w:rsid w:val="00B20CE5"/>
    <w:rsid w:val="00B21432"/>
    <w:rsid w:val="00B3413E"/>
    <w:rsid w:val="00B41331"/>
    <w:rsid w:val="00B51F23"/>
    <w:rsid w:val="00B551D9"/>
    <w:rsid w:val="00B656CC"/>
    <w:rsid w:val="00B66D0F"/>
    <w:rsid w:val="00B84ED0"/>
    <w:rsid w:val="00B96D2B"/>
    <w:rsid w:val="00BB22C0"/>
    <w:rsid w:val="00BB56AD"/>
    <w:rsid w:val="00BD0DE7"/>
    <w:rsid w:val="00BD6800"/>
    <w:rsid w:val="00BD78A4"/>
    <w:rsid w:val="00BE1775"/>
    <w:rsid w:val="00BE259E"/>
    <w:rsid w:val="00BE4363"/>
    <w:rsid w:val="00BF6ACD"/>
    <w:rsid w:val="00C0193F"/>
    <w:rsid w:val="00C019FF"/>
    <w:rsid w:val="00C138DF"/>
    <w:rsid w:val="00C16C8A"/>
    <w:rsid w:val="00C54DEE"/>
    <w:rsid w:val="00C55E3B"/>
    <w:rsid w:val="00C5735B"/>
    <w:rsid w:val="00C57461"/>
    <w:rsid w:val="00C62560"/>
    <w:rsid w:val="00C80E44"/>
    <w:rsid w:val="00C819EB"/>
    <w:rsid w:val="00C86137"/>
    <w:rsid w:val="00C931E1"/>
    <w:rsid w:val="00CA2745"/>
    <w:rsid w:val="00CA5A16"/>
    <w:rsid w:val="00CE6FC1"/>
    <w:rsid w:val="00CF7EF1"/>
    <w:rsid w:val="00D07D73"/>
    <w:rsid w:val="00D1323F"/>
    <w:rsid w:val="00D21B26"/>
    <w:rsid w:val="00D21F9B"/>
    <w:rsid w:val="00D23DC3"/>
    <w:rsid w:val="00D425C3"/>
    <w:rsid w:val="00D42B2D"/>
    <w:rsid w:val="00D501F4"/>
    <w:rsid w:val="00D528EE"/>
    <w:rsid w:val="00D54E49"/>
    <w:rsid w:val="00D5616F"/>
    <w:rsid w:val="00D60CE6"/>
    <w:rsid w:val="00D66DD1"/>
    <w:rsid w:val="00D721C1"/>
    <w:rsid w:val="00D7416F"/>
    <w:rsid w:val="00D74807"/>
    <w:rsid w:val="00D7585B"/>
    <w:rsid w:val="00D775A1"/>
    <w:rsid w:val="00DB024A"/>
    <w:rsid w:val="00DC34BF"/>
    <w:rsid w:val="00DC47EE"/>
    <w:rsid w:val="00DD0593"/>
    <w:rsid w:val="00DF0E54"/>
    <w:rsid w:val="00DF40FC"/>
    <w:rsid w:val="00DF41BA"/>
    <w:rsid w:val="00E01394"/>
    <w:rsid w:val="00E0380F"/>
    <w:rsid w:val="00E04F07"/>
    <w:rsid w:val="00E07F02"/>
    <w:rsid w:val="00E102AE"/>
    <w:rsid w:val="00E103E6"/>
    <w:rsid w:val="00E14080"/>
    <w:rsid w:val="00E30FA8"/>
    <w:rsid w:val="00E31AF0"/>
    <w:rsid w:val="00E42203"/>
    <w:rsid w:val="00E4245B"/>
    <w:rsid w:val="00E42637"/>
    <w:rsid w:val="00E564E8"/>
    <w:rsid w:val="00E6370F"/>
    <w:rsid w:val="00E7453B"/>
    <w:rsid w:val="00E835FD"/>
    <w:rsid w:val="00E83F9F"/>
    <w:rsid w:val="00E8666D"/>
    <w:rsid w:val="00E922E2"/>
    <w:rsid w:val="00E9580A"/>
    <w:rsid w:val="00E95939"/>
    <w:rsid w:val="00EA1D9F"/>
    <w:rsid w:val="00EA22C2"/>
    <w:rsid w:val="00EA238C"/>
    <w:rsid w:val="00EA5820"/>
    <w:rsid w:val="00EA6F35"/>
    <w:rsid w:val="00EC21E5"/>
    <w:rsid w:val="00ED339A"/>
    <w:rsid w:val="00ED66D1"/>
    <w:rsid w:val="00EE7A33"/>
    <w:rsid w:val="00EF2321"/>
    <w:rsid w:val="00F00DFB"/>
    <w:rsid w:val="00F037A1"/>
    <w:rsid w:val="00F07177"/>
    <w:rsid w:val="00F11BCC"/>
    <w:rsid w:val="00F22A1F"/>
    <w:rsid w:val="00F34F67"/>
    <w:rsid w:val="00F37E28"/>
    <w:rsid w:val="00F42BB8"/>
    <w:rsid w:val="00F52AFD"/>
    <w:rsid w:val="00F62B08"/>
    <w:rsid w:val="00F703A5"/>
    <w:rsid w:val="00F72CE1"/>
    <w:rsid w:val="00F82398"/>
    <w:rsid w:val="00F87F1D"/>
    <w:rsid w:val="00F93DCF"/>
    <w:rsid w:val="00FD5F13"/>
    <w:rsid w:val="00FD6F1F"/>
    <w:rsid w:val="00FE029D"/>
    <w:rsid w:val="00FF2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3FFFA6"/>
  <w15:docId w15:val="{9AF1BDB7-36CA-4DA8-94A7-7F9A375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rsid w:val="00196EA5"/>
    <w:pPr>
      <w:tabs>
        <w:tab w:val="left" w:pos="2880"/>
        <w:tab w:val="center" w:pos="4153"/>
        <w:tab w:val="right" w:pos="8306"/>
      </w:tabs>
    </w:pPr>
  </w:style>
  <w:style w:type="character" w:customStyle="1" w:styleId="HeaderChar">
    <w:name w:val="Header Char"/>
    <w:link w:val="Header"/>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nhideWhenUsed/>
    <w:rsid w:val="00B84ED0"/>
    <w:rPr>
      <w:sz w:val="18"/>
      <w:szCs w:val="18"/>
    </w:rPr>
  </w:style>
  <w:style w:type="paragraph" w:styleId="CommentText">
    <w:name w:val="annotation text"/>
    <w:basedOn w:val="Normal"/>
    <w:link w:val="CommentTextChar"/>
    <w:unhideWhenUsed/>
    <w:rsid w:val="00B84ED0"/>
    <w:rPr>
      <w:szCs w:val="24"/>
    </w:rPr>
  </w:style>
  <w:style w:type="character" w:customStyle="1" w:styleId="CommentTextChar">
    <w:name w:val="Comment Text Char"/>
    <w:link w:val="CommentText"/>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34"/>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 w:type="paragraph" w:styleId="FootnoteText">
    <w:name w:val="footnote text"/>
    <w:basedOn w:val="Normal"/>
    <w:link w:val="FootnoteTextChar"/>
    <w:uiPriority w:val="99"/>
    <w:semiHidden/>
    <w:rsid w:val="00EA1D9F"/>
    <w:pPr>
      <w:spacing w:before="80" w:after="80" w:line="200" w:lineRule="atLeast"/>
    </w:pPr>
    <w:rPr>
      <w:sz w:val="18"/>
    </w:rPr>
  </w:style>
  <w:style w:type="character" w:customStyle="1" w:styleId="FootnoteTextChar">
    <w:name w:val="Footnote Text Char"/>
    <w:basedOn w:val="DefaultParagraphFont"/>
    <w:link w:val="FootnoteText"/>
    <w:uiPriority w:val="99"/>
    <w:semiHidden/>
    <w:rsid w:val="00EA1D9F"/>
    <w:rPr>
      <w:rFonts w:eastAsia="Times New Roman"/>
      <w:sz w:val="18"/>
      <w:lang w:eastAsia="en-US"/>
    </w:rPr>
  </w:style>
  <w:style w:type="character" w:styleId="FootnoteReference">
    <w:name w:val="footnote reference"/>
    <w:basedOn w:val="DefaultParagraphFont"/>
    <w:uiPriority w:val="99"/>
    <w:semiHidden/>
    <w:rsid w:val="00EA1D9F"/>
    <w:rPr>
      <w:vertAlign w:val="superscript"/>
    </w:rPr>
  </w:style>
  <w:style w:type="paragraph" w:customStyle="1" w:styleId="ColorfulList-Accent11">
    <w:name w:val="Colorful List - Accent 11"/>
    <w:basedOn w:val="Normal"/>
    <w:uiPriority w:val="34"/>
    <w:qFormat/>
    <w:rsid w:val="00B05D8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
</file>

<file path=customXml/itemProps1.xml><?xml version="1.0" encoding="utf-8"?>
<ds:datastoreItem xmlns:ds="http://schemas.openxmlformats.org/officeDocument/2006/customXml" ds:itemID="{7CF821AA-59C3-4978-828C-CDC29804E7D7}">
  <ds:schemaRefs>
    <ds:schemaRef ds:uri="http://schemas.openxmlformats.org/officeDocument/2006/bibliography"/>
  </ds:schemaRefs>
</ds:datastoreItem>
</file>

<file path=customXml/itemProps2.xml><?xml version="1.0" encoding="utf-8"?>
<ds:datastoreItem xmlns:ds="http://schemas.openxmlformats.org/officeDocument/2006/customXml" ds:itemID="{C448B07A-73A8-44FC-A5FF-63D4575DB60A}"/>
</file>

<file path=docProps/app.xml><?xml version="1.0" encoding="utf-8"?>
<Properties xmlns="http://schemas.openxmlformats.org/officeDocument/2006/extended-properties" xmlns:vt="http://schemas.openxmlformats.org/officeDocument/2006/docPropsVTypes">
  <Template>Normal</Template>
  <TotalTime>3</TotalTime>
  <Pages>8</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Determination 2 of 2013 - Head of Service, Directors-General and Executives</vt:lpstr>
    </vt:vector>
  </TitlesOfParts>
  <Company>InTACT</Company>
  <LinksUpToDate>false</LinksUpToDate>
  <CharactersWithSpaces>12708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2 of 2013 - Head of Service, Directors-General and Executives</dc:title>
  <dc:subject>Remuneration</dc:subject>
  <dc:creator>Secretary, ACT Remuneration Tribunal</dc:creator>
  <cp:lastModifiedBy>Hogan, Andrew</cp:lastModifiedBy>
  <cp:revision>3</cp:revision>
  <cp:lastPrinted>2020-08-31T01:23:00Z</cp:lastPrinted>
  <dcterms:created xsi:type="dcterms:W3CDTF">2022-03-07T02:47:00Z</dcterms:created>
  <dcterms:modified xsi:type="dcterms:W3CDTF">2022-03-07T02:53:00Z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