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3E66D9EE" w:rsidR="00C953C3" w:rsidRPr="00004120" w:rsidRDefault="00C953C3" w:rsidP="00C953C3">
      <w:pPr>
        <w:pStyle w:val="Heading1"/>
        <w:rPr>
          <w:color w:val="000000" w:themeColor="text1"/>
        </w:rPr>
      </w:pPr>
      <w:r w:rsidRPr="00004120">
        <w:rPr>
          <w:color w:val="000000" w:themeColor="text1"/>
        </w:rPr>
        <w:t xml:space="preserve">Determination </w:t>
      </w:r>
      <w:r w:rsidR="00412E65" w:rsidRPr="00004120">
        <w:rPr>
          <w:color w:val="000000" w:themeColor="text1"/>
        </w:rPr>
        <w:t>13</w:t>
      </w:r>
      <w:r w:rsidR="00846EC5" w:rsidRPr="00004120">
        <w:rPr>
          <w:color w:val="000000" w:themeColor="text1"/>
        </w:rPr>
        <w:t xml:space="preserve"> </w:t>
      </w:r>
      <w:r w:rsidR="00C4163B" w:rsidRPr="00004120">
        <w:rPr>
          <w:color w:val="000000" w:themeColor="text1"/>
        </w:rPr>
        <w:t xml:space="preserve">of </w:t>
      </w:r>
      <w:r w:rsidR="00813DE0" w:rsidRPr="00004120">
        <w:rPr>
          <w:color w:val="000000" w:themeColor="text1"/>
        </w:rPr>
        <w:t>20</w:t>
      </w:r>
      <w:r w:rsidR="006D45E1" w:rsidRPr="00004120">
        <w:rPr>
          <w:color w:val="000000" w:themeColor="text1"/>
        </w:rPr>
        <w:t>2</w:t>
      </w:r>
      <w:r w:rsidR="0047276F">
        <w:rPr>
          <w:color w:val="000000" w:themeColor="text1"/>
        </w:rPr>
        <w:t>2</w:t>
      </w:r>
      <w:r w:rsidR="001026C3" w:rsidRPr="00004120">
        <w:rPr>
          <w:color w:val="000000" w:themeColor="text1"/>
        </w:rPr>
        <w:t xml:space="preserve"> </w:t>
      </w:r>
      <w:r w:rsidR="00AA35D7" w:rsidRPr="00004120">
        <w:rPr>
          <w:color w:val="000000" w:themeColor="text1"/>
        </w:rPr>
        <w:t xml:space="preserve"> </w:t>
      </w:r>
      <w:r w:rsidR="00B25071" w:rsidRPr="00004120">
        <w:rPr>
          <w:color w:val="000000" w:themeColor="text1"/>
        </w:rPr>
        <w:t xml:space="preserve"> </w:t>
      </w:r>
      <w:r w:rsidR="00882B67" w:rsidRPr="00004120">
        <w:rPr>
          <w:color w:val="000000" w:themeColor="text1"/>
        </w:rPr>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351FF2">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1246BCDD" w14:textId="77777777" w:rsidR="00376D1F" w:rsidRPr="00351FF2" w:rsidRDefault="00376D1F" w:rsidP="00376D1F">
      <w:pPr>
        <w:pStyle w:val="Heading3"/>
        <w:numPr>
          <w:ilvl w:val="0"/>
          <w:numId w:val="0"/>
        </w:numPr>
        <w:spacing w:before="120"/>
        <w:ind w:left="720" w:hanging="720"/>
        <w:rPr>
          <w:szCs w:val="24"/>
        </w:rPr>
      </w:pPr>
      <w:r w:rsidRPr="00351FF2">
        <w:rPr>
          <w:szCs w:val="24"/>
        </w:rPr>
        <w:t xml:space="preserve">Background </w:t>
      </w:r>
    </w:p>
    <w:p w14:paraId="3EC824E1" w14:textId="1CE93E4B" w:rsidR="00376D1F" w:rsidRPr="007E4C79" w:rsidRDefault="00376D1F" w:rsidP="00376D1F">
      <w:pPr>
        <w:spacing w:before="120" w:after="60"/>
        <w:rPr>
          <w:color w:val="000000" w:themeColor="text1"/>
        </w:rPr>
      </w:pPr>
      <w:r w:rsidRPr="002F0FAE">
        <w:t xml:space="preserve">Section 10 of the Remuneration Tribunal Act 1995 (the Act) provides for the Remuneration Tribunal (the Tribunal) to inquire into and determine the remuneration, </w:t>
      </w:r>
      <w:proofErr w:type="gramStart"/>
      <w:r w:rsidRPr="002F0FAE">
        <w:t>allowances</w:t>
      </w:r>
      <w:proofErr w:type="gramEnd"/>
      <w:r w:rsidRPr="002F0FAE">
        <w:t xml:space="preserve">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4E8B2D97"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Considerations </w:t>
      </w:r>
    </w:p>
    <w:p w14:paraId="2DCF6A33" w14:textId="77777777" w:rsidR="0047276F" w:rsidRPr="00033953" w:rsidRDefault="0047276F" w:rsidP="0047276F">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0929E40C"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ACT Magistrates Court Judicial </w:t>
      </w:r>
      <w:proofErr w:type="gramStart"/>
      <w:r w:rsidRPr="005E17C8">
        <w:rPr>
          <w:rFonts w:eastAsia="Calibri"/>
          <w:szCs w:val="24"/>
          <w:lang w:val="en-US"/>
        </w:rPr>
        <w:t>members;</w:t>
      </w:r>
      <w:proofErr w:type="gramEnd"/>
    </w:p>
    <w:p w14:paraId="271E58B5"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ACT Supreme Court Judicial </w:t>
      </w:r>
      <w:proofErr w:type="gramStart"/>
      <w:r w:rsidRPr="005E17C8">
        <w:rPr>
          <w:rFonts w:eastAsia="Calibri"/>
          <w:szCs w:val="24"/>
          <w:lang w:val="en-US"/>
        </w:rPr>
        <w:t>members;</w:t>
      </w:r>
      <w:proofErr w:type="gramEnd"/>
    </w:p>
    <w:p w14:paraId="523DE202"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2B1440CB"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the ACT Integrity Commissioner (Integrity Commissioner and Chief Executive Officer</w:t>
      </w:r>
      <w:proofErr w:type="gramStart"/>
      <w:r w:rsidRPr="005E17C8">
        <w:rPr>
          <w:rFonts w:eastAsia="Calibri"/>
          <w:szCs w:val="24"/>
          <w:lang w:val="en-US"/>
        </w:rPr>
        <w:t>);</w:t>
      </w:r>
      <w:proofErr w:type="gramEnd"/>
    </w:p>
    <w:p w14:paraId="43066BF6"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68688964"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0D6BB70B"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part-time Holders of Public Office on boards, </w:t>
      </w:r>
      <w:proofErr w:type="gramStart"/>
      <w:r w:rsidRPr="005E17C8">
        <w:rPr>
          <w:rFonts w:eastAsia="Calibri"/>
          <w:szCs w:val="24"/>
          <w:lang w:val="en-US"/>
        </w:rPr>
        <w:t>tribunals</w:t>
      </w:r>
      <w:proofErr w:type="gramEnd"/>
      <w:r w:rsidRPr="005E17C8">
        <w:rPr>
          <w:rFonts w:eastAsia="Calibri"/>
          <w:szCs w:val="24"/>
          <w:lang w:val="en-US"/>
        </w:rPr>
        <w:t xml:space="preserve"> and committees; and</w:t>
      </w:r>
    </w:p>
    <w:p w14:paraId="7859E22E" w14:textId="77777777" w:rsidR="0047276F" w:rsidRPr="005E17C8" w:rsidRDefault="0047276F" w:rsidP="0047276F">
      <w:pPr>
        <w:numPr>
          <w:ilvl w:val="0"/>
          <w:numId w:val="26"/>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2B46FFF7" w14:textId="77777777" w:rsidR="0047276F" w:rsidRPr="001C56AB" w:rsidRDefault="0047276F" w:rsidP="0047276F">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requesting submissions. </w:t>
      </w:r>
    </w:p>
    <w:p w14:paraId="5DD666F1" w14:textId="77777777" w:rsidR="0047276F" w:rsidRPr="00EB1F62" w:rsidRDefault="0047276F" w:rsidP="0047276F">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05381EF2" w14:textId="3EB6B026" w:rsidR="0047276F" w:rsidRPr="001C56AB" w:rsidRDefault="0047276F" w:rsidP="0047276F">
      <w:pPr>
        <w:spacing w:after="120"/>
        <w:rPr>
          <w:rFonts w:cs="Calibri"/>
        </w:rPr>
      </w:pPr>
      <w:bookmarkStart w:id="2" w:name="_Hlk109216894"/>
      <w:bookmarkStart w:id="3" w:name="_Hlk118274832"/>
      <w:r w:rsidRPr="001217EA">
        <w:lastRenderedPageBreak/>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2E5D15">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CD38DB">
        <w:rPr>
          <w:rFonts w:cs="Calibri"/>
        </w:rPr>
        <w:t>continues to give</w:t>
      </w:r>
      <w:r w:rsidR="00CD38DB" w:rsidRPr="001C56AB">
        <w:rPr>
          <w:rFonts w:cs="Calibri"/>
        </w:rPr>
        <w:t xml:space="preserve"> </w:t>
      </w:r>
      <w:r w:rsidRPr="001C56AB">
        <w:rPr>
          <w:rFonts w:cs="Calibri"/>
        </w:rPr>
        <w:t>considerable weight to community standards and expectations,</w:t>
      </w:r>
      <w:r>
        <w:rPr>
          <w:rFonts w:cs="Calibri"/>
        </w:rPr>
        <w:t xml:space="preserve"> with </w:t>
      </w:r>
      <w:proofErr w:type="gramStart"/>
      <w:r>
        <w:rPr>
          <w:rFonts w:cs="Calibri"/>
        </w:rPr>
        <w:t>particular reference</w:t>
      </w:r>
      <w:proofErr w:type="gramEnd"/>
      <w:r>
        <w:rPr>
          <w:rFonts w:cs="Calibri"/>
        </w:rPr>
        <w:t xml:space="preserve"> to the COVID-19 economic recovery, national and local inflation reporting and wage price index reporting. </w:t>
      </w:r>
      <w:r w:rsidRPr="001C56AB">
        <w:rPr>
          <w:rFonts w:cs="Calibri"/>
        </w:rPr>
        <w:t xml:space="preserve"> </w:t>
      </w:r>
    </w:p>
    <w:p w14:paraId="5507D2E6" w14:textId="739F2C3C" w:rsidR="0047276F" w:rsidRPr="001C56AB" w:rsidRDefault="0047276F" w:rsidP="0047276F">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 so that </w:t>
      </w:r>
      <w:r w:rsidR="002E5D15">
        <w:rPr>
          <w:rFonts w:cs="Calibri"/>
        </w:rPr>
        <w:t>the Territory</w:t>
      </w:r>
      <w:r w:rsidR="002E5D15" w:rsidRPr="001C56AB">
        <w:rPr>
          <w:rFonts w:cs="Calibri"/>
        </w:rPr>
        <w:t xml:space="preserve"> </w:t>
      </w:r>
      <w:r w:rsidRPr="001C56AB">
        <w:rPr>
          <w:rFonts w:cs="Calibri"/>
        </w:rPr>
        <w:t>can continue to attract and retain high calibre individuals to deliver high quality services to the ACT community. In this context, the Tribunal noted the wage policies and recent remuneration determinations by its Commonwealth and State/Territory counterparts.</w:t>
      </w:r>
    </w:p>
    <w:p w14:paraId="2832A91B" w14:textId="6ED91A31" w:rsidR="0047276F" w:rsidRDefault="0047276F" w:rsidP="0047276F">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 xml:space="preserve">the pay increases that were provided to the ACT Public Sector non-executive workforce during 2021 under the Enterprise Agreements. In addition, when considering pay increases for statutory </w:t>
      </w:r>
      <w:proofErr w:type="gramStart"/>
      <w:r w:rsidRPr="001C56AB">
        <w:rPr>
          <w:rFonts w:cs="Calibri"/>
        </w:rPr>
        <w:t>office</w:t>
      </w:r>
      <w:r>
        <w:rPr>
          <w:rFonts w:cs="Calibri"/>
        </w:rPr>
        <w:t>-</w:t>
      </w:r>
      <w:r w:rsidRPr="001C56AB">
        <w:rPr>
          <w:rFonts w:cs="Calibri"/>
        </w:rPr>
        <w:t>holders</w:t>
      </w:r>
      <w:proofErr w:type="gramEnd"/>
      <w:r w:rsidRPr="001C56AB">
        <w:rPr>
          <w:rFonts w:cs="Calibri"/>
        </w:rPr>
        <w:t xml:space="preserve">, the Tribunal </w:t>
      </w:r>
      <w:r>
        <w:rPr>
          <w:rFonts w:cs="Calibri"/>
        </w:rPr>
        <w:t>noted</w:t>
      </w:r>
      <w:r w:rsidRPr="001C56AB">
        <w:rPr>
          <w:rFonts w:cs="Calibri"/>
        </w:rPr>
        <w:t xml:space="preserve"> the pay increases that were provided to executives in the ACT Public Service</w:t>
      </w:r>
      <w:r w:rsidR="002E5D15">
        <w:rPr>
          <w:rFonts w:cs="Calibri"/>
        </w:rPr>
        <w:t xml:space="preserve"> in 202</w:t>
      </w:r>
      <w:r w:rsidR="005C4DE2">
        <w:rPr>
          <w:rFonts w:cs="Calibri"/>
        </w:rPr>
        <w:t>2</w:t>
      </w:r>
      <w:r w:rsidRPr="001C56AB">
        <w:rPr>
          <w:rFonts w:cs="Calibri"/>
        </w:rPr>
        <w:t xml:space="preserve">. </w:t>
      </w:r>
    </w:p>
    <w:p w14:paraId="3A8E4BB3" w14:textId="77777777" w:rsidR="0047276F" w:rsidRPr="001C56AB" w:rsidRDefault="0047276F" w:rsidP="0047276F">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18BC9DDC" w14:textId="6675D266" w:rsidR="0047276F" w:rsidRPr="0047276F" w:rsidRDefault="0047276F" w:rsidP="00807670">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1"/>
    </w:p>
    <w:p w14:paraId="348F97DC" w14:textId="29C22971" w:rsidR="00807670" w:rsidRPr="00807670" w:rsidRDefault="00807670" w:rsidP="00807670">
      <w:pPr>
        <w:spacing w:after="120"/>
        <w:rPr>
          <w:color w:val="000000" w:themeColor="text1"/>
          <w:u w:val="single"/>
        </w:rPr>
      </w:pPr>
      <w:r w:rsidRPr="00807670">
        <w:rPr>
          <w:color w:val="000000" w:themeColor="text1"/>
          <w:u w:val="single"/>
        </w:rPr>
        <w:t>New referrals</w:t>
      </w:r>
    </w:p>
    <w:p w14:paraId="03C19038" w14:textId="77777777" w:rsidR="00807670" w:rsidRPr="00807670" w:rsidRDefault="00807670" w:rsidP="00807670">
      <w:pPr>
        <w:spacing w:after="120"/>
        <w:rPr>
          <w:color w:val="000000" w:themeColor="text1"/>
        </w:rPr>
      </w:pPr>
      <w:r w:rsidRPr="00807670">
        <w:rPr>
          <w:color w:val="000000" w:themeColor="text1"/>
        </w:rPr>
        <w:t xml:space="preserve">The Tribunal received referrals from the Chief Minister to determine the remuneration, </w:t>
      </w:r>
      <w:proofErr w:type="gramStart"/>
      <w:r w:rsidRPr="00807670">
        <w:rPr>
          <w:color w:val="000000" w:themeColor="text1"/>
        </w:rPr>
        <w:t>allowances</w:t>
      </w:r>
      <w:proofErr w:type="gramEnd"/>
      <w:r w:rsidRPr="00807670">
        <w:rPr>
          <w:color w:val="000000" w:themeColor="text1"/>
        </w:rPr>
        <w:t xml:space="preserve"> and other entitlements for each of the following offices:</w:t>
      </w:r>
    </w:p>
    <w:p w14:paraId="33C657C9" w14:textId="7BFE84D4" w:rsidR="00807670" w:rsidRPr="00807670" w:rsidRDefault="0047276F" w:rsidP="00807670">
      <w:pPr>
        <w:pStyle w:val="ListParagraph"/>
        <w:numPr>
          <w:ilvl w:val="0"/>
          <w:numId w:val="23"/>
        </w:numPr>
        <w:spacing w:after="120"/>
        <w:rPr>
          <w:color w:val="000000" w:themeColor="text1"/>
          <w:sz w:val="24"/>
          <w:szCs w:val="24"/>
        </w:rPr>
      </w:pPr>
      <w:r>
        <w:rPr>
          <w:color w:val="000000" w:themeColor="text1"/>
          <w:sz w:val="24"/>
          <w:szCs w:val="24"/>
        </w:rPr>
        <w:t>Registration Standards Advisory Board</w:t>
      </w:r>
      <w:r w:rsidR="00807670" w:rsidRPr="00807670">
        <w:rPr>
          <w:color w:val="000000" w:themeColor="text1"/>
          <w:sz w:val="24"/>
          <w:szCs w:val="24"/>
        </w:rPr>
        <w:t xml:space="preserve">: Chair and </w:t>
      </w:r>
      <w:proofErr w:type="gramStart"/>
      <w:r w:rsidR="00807670" w:rsidRPr="00807670">
        <w:rPr>
          <w:color w:val="000000" w:themeColor="text1"/>
          <w:sz w:val="24"/>
          <w:szCs w:val="24"/>
        </w:rPr>
        <w:t>Members;</w:t>
      </w:r>
      <w:proofErr w:type="gramEnd"/>
    </w:p>
    <w:p w14:paraId="5B2290A3" w14:textId="7DC8C73E" w:rsidR="00807670" w:rsidRPr="00807670" w:rsidRDefault="0047276F" w:rsidP="00807670">
      <w:pPr>
        <w:pStyle w:val="ListParagraph"/>
        <w:numPr>
          <w:ilvl w:val="0"/>
          <w:numId w:val="23"/>
        </w:numPr>
        <w:spacing w:after="120"/>
        <w:rPr>
          <w:color w:val="000000" w:themeColor="text1"/>
          <w:sz w:val="24"/>
          <w:szCs w:val="24"/>
        </w:rPr>
      </w:pPr>
      <w:r>
        <w:rPr>
          <w:color w:val="000000" w:themeColor="text1"/>
          <w:sz w:val="24"/>
          <w:szCs w:val="24"/>
        </w:rPr>
        <w:t>Radiation Advisory Committee</w:t>
      </w:r>
      <w:r w:rsidR="00807670" w:rsidRPr="00807670">
        <w:rPr>
          <w:color w:val="000000" w:themeColor="text1"/>
          <w:sz w:val="24"/>
          <w:szCs w:val="24"/>
        </w:rPr>
        <w:t xml:space="preserve">: </w:t>
      </w:r>
      <w:r>
        <w:rPr>
          <w:color w:val="000000" w:themeColor="text1"/>
          <w:sz w:val="24"/>
          <w:szCs w:val="24"/>
        </w:rPr>
        <w:t xml:space="preserve">Chair and </w:t>
      </w:r>
      <w:proofErr w:type="gramStart"/>
      <w:r>
        <w:rPr>
          <w:color w:val="000000" w:themeColor="text1"/>
          <w:sz w:val="24"/>
          <w:szCs w:val="24"/>
        </w:rPr>
        <w:t>Members</w:t>
      </w:r>
      <w:r w:rsidR="00807670" w:rsidRPr="00807670">
        <w:rPr>
          <w:color w:val="000000" w:themeColor="text1"/>
          <w:sz w:val="24"/>
          <w:szCs w:val="24"/>
        </w:rPr>
        <w:t>;</w:t>
      </w:r>
      <w:proofErr w:type="gramEnd"/>
      <w:r w:rsidR="00807670" w:rsidRPr="00807670">
        <w:rPr>
          <w:color w:val="000000" w:themeColor="text1"/>
          <w:sz w:val="24"/>
          <w:szCs w:val="24"/>
        </w:rPr>
        <w:t xml:space="preserve"> </w:t>
      </w:r>
    </w:p>
    <w:p w14:paraId="58139627" w14:textId="7E04C2B3" w:rsidR="00807670" w:rsidRDefault="0047276F" w:rsidP="00807670">
      <w:pPr>
        <w:pStyle w:val="ListParagraph"/>
        <w:numPr>
          <w:ilvl w:val="0"/>
          <w:numId w:val="23"/>
        </w:numPr>
        <w:spacing w:after="120"/>
        <w:rPr>
          <w:color w:val="000000" w:themeColor="text1"/>
          <w:sz w:val="24"/>
          <w:szCs w:val="24"/>
        </w:rPr>
      </w:pPr>
      <w:r>
        <w:rPr>
          <w:color w:val="000000" w:themeColor="text1"/>
          <w:sz w:val="24"/>
          <w:szCs w:val="24"/>
        </w:rPr>
        <w:t>Canberra Region Medical Education Council</w:t>
      </w:r>
      <w:r w:rsidR="00807670" w:rsidRPr="00807670">
        <w:rPr>
          <w:color w:val="000000" w:themeColor="text1"/>
          <w:sz w:val="24"/>
          <w:szCs w:val="24"/>
        </w:rPr>
        <w:t xml:space="preserve">: Chair </w:t>
      </w:r>
      <w:proofErr w:type="gramStart"/>
      <w:r>
        <w:rPr>
          <w:color w:val="000000" w:themeColor="text1"/>
          <w:sz w:val="24"/>
          <w:szCs w:val="24"/>
        </w:rPr>
        <w:t>only;</w:t>
      </w:r>
      <w:proofErr w:type="gramEnd"/>
      <w:r w:rsidRPr="0047276F">
        <w:rPr>
          <w:color w:val="000000" w:themeColor="text1"/>
          <w:sz w:val="24"/>
          <w:szCs w:val="24"/>
        </w:rPr>
        <w:t xml:space="preserve"> </w:t>
      </w:r>
    </w:p>
    <w:p w14:paraId="386A32E4" w14:textId="5AE1D499" w:rsidR="0047276F" w:rsidRDefault="0047276F" w:rsidP="00807670">
      <w:pPr>
        <w:pStyle w:val="ListParagraph"/>
        <w:numPr>
          <w:ilvl w:val="0"/>
          <w:numId w:val="23"/>
        </w:numPr>
        <w:spacing w:after="120"/>
        <w:rPr>
          <w:color w:val="000000" w:themeColor="text1"/>
          <w:sz w:val="24"/>
          <w:szCs w:val="24"/>
        </w:rPr>
      </w:pPr>
      <w:r>
        <w:rPr>
          <w:color w:val="000000" w:themeColor="text1"/>
          <w:sz w:val="24"/>
          <w:szCs w:val="24"/>
        </w:rPr>
        <w:t>Multi-Hazard Advisory Council: name change only;</w:t>
      </w:r>
      <w:r w:rsidRPr="0047276F">
        <w:rPr>
          <w:color w:val="000000" w:themeColor="text1"/>
          <w:sz w:val="24"/>
          <w:szCs w:val="24"/>
        </w:rPr>
        <w:t xml:space="preserve"> </w:t>
      </w:r>
      <w:r w:rsidRPr="00807670">
        <w:rPr>
          <w:color w:val="000000" w:themeColor="text1"/>
          <w:sz w:val="24"/>
          <w:szCs w:val="24"/>
        </w:rPr>
        <w:t>and</w:t>
      </w:r>
    </w:p>
    <w:p w14:paraId="24A5DCCE" w14:textId="4AFD7FC2" w:rsidR="0047276F" w:rsidRPr="00807670" w:rsidRDefault="0047276F" w:rsidP="00807670">
      <w:pPr>
        <w:pStyle w:val="ListParagraph"/>
        <w:numPr>
          <w:ilvl w:val="0"/>
          <w:numId w:val="23"/>
        </w:numPr>
        <w:spacing w:after="120"/>
        <w:rPr>
          <w:color w:val="000000" w:themeColor="text1"/>
          <w:sz w:val="24"/>
          <w:szCs w:val="24"/>
        </w:rPr>
      </w:pPr>
      <w:r>
        <w:rPr>
          <w:color w:val="000000" w:themeColor="text1"/>
          <w:sz w:val="24"/>
          <w:szCs w:val="24"/>
        </w:rPr>
        <w:t>Priority Investment Program Advisory Panel: Chair and Members.</w:t>
      </w:r>
    </w:p>
    <w:p w14:paraId="27534CF0" w14:textId="1CFE0371" w:rsidR="00536C9C" w:rsidRPr="00D947A9" w:rsidRDefault="00536C9C" w:rsidP="00807670">
      <w:pPr>
        <w:spacing w:after="120"/>
        <w:rPr>
          <w:color w:val="000000" w:themeColor="text1"/>
          <w:szCs w:val="24"/>
        </w:rPr>
      </w:pPr>
      <w:r w:rsidRPr="00D947A9">
        <w:rPr>
          <w:color w:val="000000" w:themeColor="text1"/>
          <w:szCs w:val="24"/>
        </w:rPr>
        <w:t xml:space="preserve">In considering the remuneration, </w:t>
      </w:r>
      <w:proofErr w:type="gramStart"/>
      <w:r w:rsidRPr="00D947A9">
        <w:rPr>
          <w:color w:val="000000" w:themeColor="text1"/>
          <w:szCs w:val="24"/>
        </w:rPr>
        <w:t>allowances</w:t>
      </w:r>
      <w:proofErr w:type="gramEnd"/>
      <w:r w:rsidRPr="00D947A9">
        <w:rPr>
          <w:color w:val="000000" w:themeColor="text1"/>
          <w:szCs w:val="24"/>
        </w:rPr>
        <w:t xml:space="preserve"> and entitlements for these new referrals the Tribunal </w:t>
      </w:r>
      <w:r w:rsidR="001B0770">
        <w:rPr>
          <w:color w:val="000000" w:themeColor="text1"/>
          <w:szCs w:val="24"/>
        </w:rPr>
        <w:t>me</w:t>
      </w:r>
      <w:r w:rsidR="00CD38DB">
        <w:rPr>
          <w:color w:val="000000" w:themeColor="text1"/>
          <w:szCs w:val="24"/>
        </w:rPr>
        <w:t>t</w:t>
      </w:r>
      <w:r w:rsidRPr="00D947A9">
        <w:rPr>
          <w:color w:val="000000" w:themeColor="text1"/>
          <w:szCs w:val="24"/>
        </w:rPr>
        <w:t xml:space="preserve"> with officials from the</w:t>
      </w:r>
      <w:r w:rsidR="0047276F">
        <w:rPr>
          <w:color w:val="000000" w:themeColor="text1"/>
          <w:szCs w:val="24"/>
        </w:rPr>
        <w:t xml:space="preserve"> Education Directorate, Health Directorate,</w:t>
      </w:r>
      <w:r w:rsidRPr="00D947A9">
        <w:rPr>
          <w:color w:val="000000" w:themeColor="text1"/>
          <w:szCs w:val="24"/>
        </w:rPr>
        <w:t xml:space="preserve"> </w:t>
      </w:r>
      <w:r w:rsidR="008B27D1" w:rsidRPr="00D947A9">
        <w:rPr>
          <w:color w:val="000000" w:themeColor="text1"/>
          <w:szCs w:val="24"/>
        </w:rPr>
        <w:t xml:space="preserve">Community </w:t>
      </w:r>
      <w:r w:rsidR="008B27D1" w:rsidRPr="00D947A9">
        <w:rPr>
          <w:color w:val="000000" w:themeColor="text1"/>
          <w:szCs w:val="24"/>
        </w:rPr>
        <w:lastRenderedPageBreak/>
        <w:t>Services Directorate</w:t>
      </w:r>
      <w:r w:rsidR="008B27D1">
        <w:rPr>
          <w:color w:val="000000" w:themeColor="text1"/>
          <w:szCs w:val="24"/>
        </w:rPr>
        <w:t>,</w:t>
      </w:r>
      <w:r w:rsidR="008B27D1" w:rsidRPr="00D947A9">
        <w:rPr>
          <w:color w:val="000000" w:themeColor="text1"/>
          <w:szCs w:val="24"/>
        </w:rPr>
        <w:t xml:space="preserve"> </w:t>
      </w:r>
      <w:r w:rsidRPr="00D947A9">
        <w:rPr>
          <w:color w:val="000000" w:themeColor="text1"/>
          <w:szCs w:val="24"/>
        </w:rPr>
        <w:t xml:space="preserve">Justice and Community Safety Directorate, </w:t>
      </w:r>
      <w:r w:rsidR="0047276F">
        <w:rPr>
          <w:color w:val="000000" w:themeColor="text1"/>
          <w:szCs w:val="24"/>
        </w:rPr>
        <w:t xml:space="preserve">and </w:t>
      </w:r>
      <w:r w:rsidRPr="00D947A9">
        <w:rPr>
          <w:color w:val="000000" w:themeColor="text1"/>
          <w:szCs w:val="24"/>
        </w:rPr>
        <w:t>the Chief Minister, Treasury and Economic Development Directorate respectively.</w:t>
      </w:r>
    </w:p>
    <w:p w14:paraId="02744750" w14:textId="77777777" w:rsidR="00807670" w:rsidRPr="00807670" w:rsidRDefault="00807670" w:rsidP="00807670">
      <w:pPr>
        <w:spacing w:after="120"/>
        <w:rPr>
          <w:color w:val="000000" w:themeColor="text1"/>
          <w:szCs w:val="24"/>
          <w:u w:val="single"/>
        </w:rPr>
      </w:pPr>
      <w:r w:rsidRPr="00807670">
        <w:rPr>
          <w:color w:val="000000" w:themeColor="text1"/>
          <w:szCs w:val="24"/>
          <w:u w:val="single"/>
        </w:rPr>
        <w:t>Other matters</w:t>
      </w:r>
    </w:p>
    <w:p w14:paraId="41E0862E" w14:textId="5CDB121F" w:rsidR="00807670" w:rsidRDefault="00807670" w:rsidP="00807670">
      <w:pPr>
        <w:spacing w:after="120"/>
        <w:rPr>
          <w:color w:val="000000" w:themeColor="text1"/>
          <w:szCs w:val="24"/>
        </w:rPr>
      </w:pPr>
      <w:r w:rsidRPr="00807670">
        <w:rPr>
          <w:color w:val="000000" w:themeColor="text1"/>
          <w:szCs w:val="24"/>
        </w:rPr>
        <w:t xml:space="preserve">The Tribunal received correspondence </w:t>
      </w:r>
      <w:r w:rsidR="0047276F">
        <w:rPr>
          <w:color w:val="000000" w:themeColor="text1"/>
          <w:szCs w:val="24"/>
        </w:rPr>
        <w:t>from</w:t>
      </w:r>
      <w:r w:rsidRPr="00807670">
        <w:rPr>
          <w:color w:val="000000" w:themeColor="text1"/>
          <w:szCs w:val="24"/>
        </w:rPr>
        <w:t xml:space="preserve"> the </w:t>
      </w:r>
      <w:r w:rsidR="0047276F">
        <w:rPr>
          <w:color w:val="000000" w:themeColor="text1"/>
          <w:szCs w:val="24"/>
        </w:rPr>
        <w:t xml:space="preserve">Inspector of Correctional Services, the Chair of the Ministerial Advisory Council on </w:t>
      </w:r>
      <w:proofErr w:type="gramStart"/>
      <w:r w:rsidR="0047276F">
        <w:rPr>
          <w:color w:val="000000" w:themeColor="text1"/>
          <w:szCs w:val="24"/>
        </w:rPr>
        <w:t>Ageing</w:t>
      </w:r>
      <w:proofErr w:type="gramEnd"/>
      <w:r w:rsidR="0047276F">
        <w:rPr>
          <w:color w:val="000000" w:themeColor="text1"/>
          <w:szCs w:val="24"/>
        </w:rPr>
        <w:t xml:space="preserve"> and the Chair of the Suburban Land Agency Board. </w:t>
      </w:r>
    </w:p>
    <w:p w14:paraId="5D885C71" w14:textId="56D00CEE" w:rsidR="00807670" w:rsidRPr="00807670" w:rsidRDefault="00807670" w:rsidP="00807670">
      <w:pPr>
        <w:spacing w:after="120"/>
        <w:rPr>
          <w:color w:val="000000" w:themeColor="text1"/>
          <w:szCs w:val="24"/>
        </w:rPr>
      </w:pPr>
      <w:r w:rsidRPr="00807670">
        <w:rPr>
          <w:color w:val="000000" w:themeColor="text1"/>
          <w:szCs w:val="24"/>
        </w:rPr>
        <w:t>The Tribunal received</w:t>
      </w:r>
      <w:r w:rsidR="00177067">
        <w:rPr>
          <w:color w:val="000000" w:themeColor="text1"/>
          <w:szCs w:val="24"/>
        </w:rPr>
        <w:t xml:space="preserve"> and considered</w:t>
      </w:r>
      <w:r w:rsidRPr="00807670">
        <w:rPr>
          <w:color w:val="000000" w:themeColor="text1"/>
          <w:szCs w:val="24"/>
        </w:rPr>
        <w:t xml:space="preserve"> </w:t>
      </w:r>
      <w:r w:rsidR="00177067">
        <w:rPr>
          <w:color w:val="000000" w:themeColor="text1"/>
          <w:szCs w:val="24"/>
        </w:rPr>
        <w:t xml:space="preserve">an update </w:t>
      </w:r>
      <w:r w:rsidRPr="00807670">
        <w:rPr>
          <w:color w:val="000000" w:themeColor="text1"/>
          <w:szCs w:val="24"/>
        </w:rPr>
        <w:t xml:space="preserve">from the judicial members of the Sentence Administration Board </w:t>
      </w:r>
      <w:r w:rsidR="00177067">
        <w:rPr>
          <w:color w:val="000000" w:themeColor="text1"/>
          <w:szCs w:val="24"/>
        </w:rPr>
        <w:t xml:space="preserve">regarding the Board’s work in the previous 12 months. </w:t>
      </w:r>
    </w:p>
    <w:p w14:paraId="534F41B4" w14:textId="77777777" w:rsidR="00807670" w:rsidRPr="007E4C79" w:rsidRDefault="00807670" w:rsidP="00807670">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22986A63" w14:textId="3F6C1BE0" w:rsidR="00807670" w:rsidRDefault="00177067" w:rsidP="00807670">
      <w:pPr>
        <w:tabs>
          <w:tab w:val="left" w:pos="3780"/>
        </w:tabs>
        <w:rPr>
          <w:szCs w:val="24"/>
          <w:u w:val="single"/>
        </w:rPr>
      </w:pPr>
      <w:bookmarkStart w:id="5" w:name="_Hlk90796943"/>
      <w:r>
        <w:rPr>
          <w:szCs w:val="24"/>
          <w:u w:val="single"/>
        </w:rPr>
        <w:t>Registration Standards</w:t>
      </w:r>
      <w:r w:rsidR="00807670" w:rsidRPr="00F7509F">
        <w:rPr>
          <w:szCs w:val="24"/>
          <w:u w:val="single"/>
        </w:rPr>
        <w:t xml:space="preserve"> Advisory Board</w:t>
      </w:r>
    </w:p>
    <w:p w14:paraId="11B0EED3" w14:textId="2B16A72A" w:rsidR="00E212EC" w:rsidRPr="00177067" w:rsidRDefault="00807670" w:rsidP="00177067">
      <w:pPr>
        <w:spacing w:before="120" w:after="120"/>
        <w:rPr>
          <w:bCs/>
          <w:color w:val="FF0000"/>
          <w:szCs w:val="24"/>
        </w:rPr>
      </w:pPr>
      <w:r w:rsidRPr="00A634B0">
        <w:rPr>
          <w:szCs w:val="24"/>
        </w:rPr>
        <w:t xml:space="preserve">The </w:t>
      </w:r>
      <w:r w:rsidR="00177067">
        <w:rPr>
          <w:szCs w:val="24"/>
        </w:rPr>
        <w:t>Registration Standards</w:t>
      </w:r>
      <w:r>
        <w:rPr>
          <w:szCs w:val="24"/>
        </w:rPr>
        <w:t xml:space="preserve"> Advisory Board </w:t>
      </w:r>
      <w:r w:rsidRPr="00A634B0">
        <w:rPr>
          <w:szCs w:val="24"/>
        </w:rPr>
        <w:t xml:space="preserve">is </w:t>
      </w:r>
      <w:r>
        <w:rPr>
          <w:szCs w:val="24"/>
        </w:rPr>
        <w:t xml:space="preserve">a </w:t>
      </w:r>
      <w:r w:rsidRPr="00A634B0">
        <w:rPr>
          <w:szCs w:val="24"/>
        </w:rPr>
        <w:t xml:space="preserve">statutory body established under the </w:t>
      </w:r>
      <w:r w:rsidR="00177067" w:rsidRPr="0015505E">
        <w:rPr>
          <w:i/>
          <w:iCs/>
          <w:szCs w:val="24"/>
        </w:rPr>
        <w:t>Education Act 2004</w:t>
      </w:r>
      <w:r w:rsidRPr="00A634B0">
        <w:rPr>
          <w:szCs w:val="24"/>
        </w:rPr>
        <w:t xml:space="preserve">. The purpose of the Board is to </w:t>
      </w:r>
      <w:r w:rsidR="00177067">
        <w:rPr>
          <w:color w:val="000000" w:themeColor="text1"/>
          <w:szCs w:val="24"/>
        </w:rPr>
        <w:t xml:space="preserve">oversee and support the introduction of the Non-government School Registration Standards and advise the Minister for Education and Youth Affairs on applications for the establishment of new non-government schools and the expansion of existing non-government schools. </w:t>
      </w:r>
      <w:r>
        <w:rPr>
          <w:szCs w:val="24"/>
        </w:rPr>
        <w:t xml:space="preserve"> </w:t>
      </w:r>
      <w:bookmarkStart w:id="6" w:name="_Hlk118726198"/>
      <w:r>
        <w:rPr>
          <w:szCs w:val="24"/>
        </w:rPr>
        <w:t xml:space="preserve">The Tribunal </w:t>
      </w:r>
      <w:r w:rsidR="00CD38DB">
        <w:rPr>
          <w:szCs w:val="24"/>
        </w:rPr>
        <w:t>d</w:t>
      </w:r>
      <w:r w:rsidR="00655970">
        <w:rPr>
          <w:szCs w:val="24"/>
        </w:rPr>
        <w:t xml:space="preserve">etermines </w:t>
      </w:r>
      <w:r w:rsidRPr="001F0F41">
        <w:rPr>
          <w:color w:val="000000" w:themeColor="text1"/>
          <w:szCs w:val="24"/>
        </w:rPr>
        <w:t xml:space="preserve">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$5</w:t>
      </w:r>
      <w:r w:rsidR="00177067">
        <w:rPr>
          <w:bCs/>
          <w:color w:val="000000" w:themeColor="text1"/>
          <w:szCs w:val="24"/>
        </w:rPr>
        <w:t>9</w:t>
      </w:r>
      <w:r w:rsidRPr="001F0F41">
        <w:rPr>
          <w:bCs/>
          <w:color w:val="000000" w:themeColor="text1"/>
          <w:szCs w:val="24"/>
        </w:rPr>
        <w:t>0 per diem and Members at $</w:t>
      </w:r>
      <w:r w:rsidR="00177067">
        <w:rPr>
          <w:bCs/>
          <w:color w:val="000000" w:themeColor="text1"/>
          <w:szCs w:val="24"/>
        </w:rPr>
        <w:t>505</w:t>
      </w:r>
      <w:r w:rsidRPr="001F0F41">
        <w:rPr>
          <w:bCs/>
          <w:color w:val="000000" w:themeColor="text1"/>
          <w:szCs w:val="24"/>
        </w:rPr>
        <w:t xml:space="preserve"> per diem.</w:t>
      </w:r>
      <w:bookmarkEnd w:id="5"/>
    </w:p>
    <w:p w14:paraId="5E3614EF" w14:textId="43D61EC4" w:rsidR="00807670" w:rsidRPr="00F7509F" w:rsidRDefault="00177067" w:rsidP="00807670">
      <w:pPr>
        <w:tabs>
          <w:tab w:val="left" w:pos="3780"/>
        </w:tabs>
        <w:rPr>
          <w:szCs w:val="24"/>
          <w:u w:val="single"/>
        </w:rPr>
      </w:pPr>
      <w:bookmarkStart w:id="7" w:name="_Hlk90796950"/>
      <w:bookmarkEnd w:id="6"/>
      <w:r>
        <w:rPr>
          <w:szCs w:val="24"/>
          <w:u w:val="single"/>
        </w:rPr>
        <w:t>Radiation Advisory Committee</w:t>
      </w:r>
    </w:p>
    <w:p w14:paraId="19A612F4" w14:textId="7D76C94A" w:rsidR="0015505E" w:rsidRPr="00177067" w:rsidRDefault="00807670" w:rsidP="0015505E">
      <w:pPr>
        <w:spacing w:before="120" w:after="120"/>
        <w:rPr>
          <w:bCs/>
          <w:color w:val="FF0000"/>
          <w:szCs w:val="24"/>
        </w:rPr>
      </w:pPr>
      <w:r w:rsidRPr="00A634B0">
        <w:rPr>
          <w:szCs w:val="24"/>
        </w:rPr>
        <w:t xml:space="preserve">The </w:t>
      </w:r>
      <w:r w:rsidR="00177067">
        <w:rPr>
          <w:szCs w:val="24"/>
        </w:rPr>
        <w:t>Radiation Advisory Committee</w:t>
      </w:r>
      <w:r w:rsidR="0015505E">
        <w:rPr>
          <w:szCs w:val="24"/>
        </w:rPr>
        <w:t xml:space="preserve"> is the formerly named Radiation Council. The Radiation Advisory Committee</w:t>
      </w:r>
      <w:r>
        <w:rPr>
          <w:szCs w:val="24"/>
        </w:rPr>
        <w:t xml:space="preserve"> is a statutory body</w:t>
      </w:r>
      <w:r w:rsidR="0015505E">
        <w:rPr>
          <w:szCs w:val="24"/>
        </w:rPr>
        <w:t xml:space="preserve"> established under the </w:t>
      </w:r>
      <w:r w:rsidR="0015505E" w:rsidRPr="0015505E">
        <w:rPr>
          <w:i/>
          <w:iCs/>
          <w:szCs w:val="24"/>
        </w:rPr>
        <w:t>Radiation Protection Act 2006</w:t>
      </w:r>
      <w:r>
        <w:rPr>
          <w:szCs w:val="24"/>
        </w:rPr>
        <w:t xml:space="preserve"> </w:t>
      </w:r>
      <w:r w:rsidR="0015505E">
        <w:rPr>
          <w:color w:val="000000" w:themeColor="text1"/>
          <w:szCs w:val="24"/>
        </w:rPr>
        <w:t xml:space="preserve">to advise the </w:t>
      </w:r>
      <w:proofErr w:type="gramStart"/>
      <w:r w:rsidR="0015505E">
        <w:rPr>
          <w:color w:val="000000" w:themeColor="text1"/>
          <w:szCs w:val="24"/>
        </w:rPr>
        <w:t>Chief</w:t>
      </w:r>
      <w:proofErr w:type="gramEnd"/>
      <w:r w:rsidR="0015505E">
        <w:rPr>
          <w:color w:val="000000" w:themeColor="text1"/>
          <w:szCs w:val="24"/>
        </w:rPr>
        <w:t xml:space="preserve"> Health Officer on radiation safety and matters relating to radiation.  </w:t>
      </w:r>
      <w:r w:rsidR="0015505E">
        <w:rPr>
          <w:szCs w:val="24"/>
        </w:rPr>
        <w:t xml:space="preserve">The Tribunal </w:t>
      </w:r>
      <w:r w:rsidR="00CD38DB">
        <w:rPr>
          <w:color w:val="000000" w:themeColor="text1"/>
          <w:szCs w:val="24"/>
        </w:rPr>
        <w:t>d</w:t>
      </w:r>
      <w:r w:rsidR="00655970">
        <w:rPr>
          <w:color w:val="000000" w:themeColor="text1"/>
          <w:szCs w:val="24"/>
        </w:rPr>
        <w:t>etermines</w:t>
      </w:r>
      <w:r w:rsidR="00655970" w:rsidRPr="001F0F41">
        <w:rPr>
          <w:color w:val="000000" w:themeColor="text1"/>
          <w:szCs w:val="24"/>
        </w:rPr>
        <w:t xml:space="preserve"> </w:t>
      </w:r>
      <w:r w:rsidR="0015505E" w:rsidRPr="001F0F41">
        <w:rPr>
          <w:color w:val="000000" w:themeColor="text1"/>
          <w:szCs w:val="24"/>
        </w:rPr>
        <w:t xml:space="preserve">that the </w:t>
      </w:r>
      <w:r w:rsidR="0015505E" w:rsidRPr="001F0F41">
        <w:rPr>
          <w:bCs/>
          <w:color w:val="000000" w:themeColor="text1"/>
          <w:szCs w:val="24"/>
        </w:rPr>
        <w:t xml:space="preserve">Chair will be </w:t>
      </w:r>
      <w:r w:rsidR="0015505E" w:rsidRPr="00412E65">
        <w:rPr>
          <w:color w:val="000000" w:themeColor="text1"/>
        </w:rPr>
        <w:t>remunerated</w:t>
      </w:r>
      <w:r w:rsidR="0015505E" w:rsidRPr="001F0F41">
        <w:rPr>
          <w:bCs/>
          <w:color w:val="000000" w:themeColor="text1"/>
          <w:szCs w:val="24"/>
        </w:rPr>
        <w:t xml:space="preserve"> at $5</w:t>
      </w:r>
      <w:r w:rsidR="0015505E">
        <w:rPr>
          <w:bCs/>
          <w:color w:val="000000" w:themeColor="text1"/>
          <w:szCs w:val="24"/>
        </w:rPr>
        <w:t>9</w:t>
      </w:r>
      <w:r w:rsidR="0015505E" w:rsidRPr="001F0F41">
        <w:rPr>
          <w:bCs/>
          <w:color w:val="000000" w:themeColor="text1"/>
          <w:szCs w:val="24"/>
        </w:rPr>
        <w:t>0 per diem and Members at $</w:t>
      </w:r>
      <w:r w:rsidR="0015505E">
        <w:rPr>
          <w:bCs/>
          <w:color w:val="000000" w:themeColor="text1"/>
          <w:szCs w:val="24"/>
        </w:rPr>
        <w:t>505</w:t>
      </w:r>
      <w:r w:rsidR="0015505E" w:rsidRPr="001F0F41">
        <w:rPr>
          <w:bCs/>
          <w:color w:val="000000" w:themeColor="text1"/>
          <w:szCs w:val="24"/>
        </w:rPr>
        <w:t xml:space="preserve"> per diem.</w:t>
      </w:r>
    </w:p>
    <w:p w14:paraId="3A3A61F6" w14:textId="0B544520" w:rsidR="00807670" w:rsidRPr="00F7509F" w:rsidRDefault="0015505E" w:rsidP="0015505E">
      <w:pPr>
        <w:spacing w:before="120" w:after="60"/>
        <w:rPr>
          <w:szCs w:val="24"/>
          <w:u w:val="single"/>
        </w:rPr>
      </w:pPr>
      <w:r>
        <w:rPr>
          <w:szCs w:val="24"/>
          <w:u w:val="single"/>
        </w:rPr>
        <w:t>Canberra Region Medical Education Council</w:t>
      </w:r>
    </w:p>
    <w:p w14:paraId="0BD01D4D" w14:textId="69881562" w:rsidR="00807670" w:rsidRDefault="0015505E" w:rsidP="0015505E">
      <w:pPr>
        <w:spacing w:before="120" w:after="60"/>
        <w:rPr>
          <w:color w:val="000000" w:themeColor="text1"/>
          <w:szCs w:val="24"/>
        </w:rPr>
      </w:pPr>
      <w:r>
        <w:rPr>
          <w:color w:val="000000" w:themeColor="text1"/>
          <w:szCs w:val="24"/>
        </w:rPr>
        <w:t xml:space="preserve">The </w:t>
      </w:r>
      <w:r w:rsidRPr="00D02FB8">
        <w:rPr>
          <w:color w:val="000000" w:themeColor="text1"/>
          <w:szCs w:val="24"/>
        </w:rPr>
        <w:t>Canberra Region Medical Education Council</w:t>
      </w:r>
      <w:r>
        <w:rPr>
          <w:color w:val="000000" w:themeColor="text1"/>
          <w:szCs w:val="24"/>
        </w:rPr>
        <w:t xml:space="preserve"> is a non-statutory body established in 2014 to accredit prevocational (</w:t>
      </w:r>
      <w:proofErr w:type="gramStart"/>
      <w:r>
        <w:rPr>
          <w:color w:val="000000" w:themeColor="text1"/>
          <w:szCs w:val="24"/>
        </w:rPr>
        <w:t>i.e.</w:t>
      </w:r>
      <w:proofErr w:type="gramEnd"/>
      <w:r>
        <w:rPr>
          <w:color w:val="000000" w:themeColor="text1"/>
          <w:szCs w:val="24"/>
        </w:rPr>
        <w:t xml:space="preserve"> intern and resident) medical training positions in the ACT and Southern NSW region. The Council provides expertise and advice to the Minister for Health in medical education and accreditation in medical education and accreditation in the ACT and linked regional networks. Members of the Council already receive remuneration. The Tribunal </w:t>
      </w:r>
      <w:r w:rsidR="00CD38DB">
        <w:rPr>
          <w:color w:val="000000" w:themeColor="text1"/>
          <w:szCs w:val="24"/>
        </w:rPr>
        <w:t>d</w:t>
      </w:r>
      <w:r w:rsidR="00655970">
        <w:rPr>
          <w:color w:val="000000" w:themeColor="text1"/>
          <w:szCs w:val="24"/>
        </w:rPr>
        <w:t xml:space="preserve">etermines </w:t>
      </w:r>
      <w:r>
        <w:rPr>
          <w:color w:val="000000" w:themeColor="text1"/>
          <w:szCs w:val="24"/>
        </w:rPr>
        <w:t>that the Chair will be remunerated at $590 per diem.</w:t>
      </w:r>
      <w:bookmarkEnd w:id="7"/>
    </w:p>
    <w:p w14:paraId="62C0E45D" w14:textId="727D5C47" w:rsidR="0015505E" w:rsidRPr="0015505E" w:rsidRDefault="0015505E" w:rsidP="0015505E">
      <w:pPr>
        <w:spacing w:before="120" w:after="60"/>
        <w:rPr>
          <w:color w:val="000000" w:themeColor="text1"/>
          <w:szCs w:val="24"/>
          <w:u w:val="single"/>
        </w:rPr>
      </w:pPr>
      <w:r w:rsidRPr="0015505E">
        <w:rPr>
          <w:color w:val="000000" w:themeColor="text1"/>
          <w:szCs w:val="24"/>
          <w:u w:val="single"/>
        </w:rPr>
        <w:t>Multi-Hazard Advisory Council</w:t>
      </w:r>
    </w:p>
    <w:p w14:paraId="0EAD5A3D" w14:textId="1840B04B" w:rsidR="0015505E" w:rsidRPr="00177067" w:rsidRDefault="0015505E" w:rsidP="0015505E">
      <w:pPr>
        <w:spacing w:before="120" w:after="120"/>
        <w:rPr>
          <w:bCs/>
          <w:color w:val="FF0000"/>
          <w:szCs w:val="24"/>
        </w:rPr>
      </w:pPr>
      <w:r>
        <w:rPr>
          <w:color w:val="000000" w:themeColor="text1"/>
          <w:szCs w:val="24"/>
        </w:rPr>
        <w:t xml:space="preserve">The Multi-Hazard Advisory Council was formerly named the Bushfire Council. As a result of the 2021 amendments to the </w:t>
      </w:r>
      <w:r w:rsidRPr="00C63D03">
        <w:rPr>
          <w:i/>
          <w:iCs/>
          <w:color w:val="000000" w:themeColor="text1"/>
          <w:szCs w:val="24"/>
        </w:rPr>
        <w:t>Emergencies Act 2004</w:t>
      </w:r>
      <w:r>
        <w:rPr>
          <w:color w:val="000000" w:themeColor="text1"/>
          <w:szCs w:val="24"/>
        </w:rPr>
        <w:t xml:space="preserve"> and the multi-hazard approach to emergency management made by the ACT Emergency Services Agency, the focus of the Council was changed to include multiple hazards including storms, </w:t>
      </w:r>
      <w:proofErr w:type="gramStart"/>
      <w:r>
        <w:rPr>
          <w:color w:val="000000" w:themeColor="text1"/>
          <w:szCs w:val="24"/>
        </w:rPr>
        <w:t>floods</w:t>
      </w:r>
      <w:proofErr w:type="gramEnd"/>
      <w:r>
        <w:rPr>
          <w:color w:val="000000" w:themeColor="text1"/>
          <w:szCs w:val="24"/>
        </w:rPr>
        <w:t xml:space="preserve"> and bushfire. This included a change of name to align to the broader remit. The</w:t>
      </w:r>
      <w:r w:rsidRPr="00D02FB8">
        <w:rPr>
          <w:color w:val="000000" w:themeColor="text1"/>
          <w:szCs w:val="24"/>
        </w:rPr>
        <w:t xml:space="preserve"> Council</w:t>
      </w:r>
      <w:r>
        <w:rPr>
          <w:color w:val="000000" w:themeColor="text1"/>
          <w:szCs w:val="24"/>
        </w:rPr>
        <w:t xml:space="preserve"> is a statutory body established under the </w:t>
      </w:r>
      <w:r w:rsidRPr="00C63D03">
        <w:rPr>
          <w:i/>
          <w:iCs/>
          <w:color w:val="000000" w:themeColor="text1"/>
          <w:szCs w:val="24"/>
        </w:rPr>
        <w:t>Emergencies Act 2004</w:t>
      </w:r>
      <w:r>
        <w:rPr>
          <w:color w:val="000000" w:themeColor="text1"/>
          <w:szCs w:val="24"/>
        </w:rPr>
        <w:t xml:space="preserve"> to advise the Minister for Police and Emergency Services about matters relating to natural hazards. As the functions of the Council remain the same, the Tribunal </w:t>
      </w:r>
      <w:r w:rsidR="00B65395">
        <w:rPr>
          <w:color w:val="000000" w:themeColor="text1"/>
          <w:szCs w:val="24"/>
        </w:rPr>
        <w:t>d</w:t>
      </w:r>
      <w:r w:rsidR="00655970">
        <w:rPr>
          <w:color w:val="000000" w:themeColor="text1"/>
          <w:szCs w:val="24"/>
        </w:rPr>
        <w:t xml:space="preserve">etermines </w:t>
      </w:r>
      <w:r w:rsidRPr="001F0F41">
        <w:rPr>
          <w:color w:val="000000" w:themeColor="text1"/>
          <w:szCs w:val="24"/>
        </w:rPr>
        <w:t xml:space="preserve">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$5</w:t>
      </w:r>
      <w:r>
        <w:rPr>
          <w:bCs/>
          <w:color w:val="000000" w:themeColor="text1"/>
          <w:szCs w:val="24"/>
        </w:rPr>
        <w:t>9</w:t>
      </w:r>
      <w:r w:rsidRPr="001F0F41">
        <w:rPr>
          <w:bCs/>
          <w:color w:val="000000" w:themeColor="text1"/>
          <w:szCs w:val="24"/>
        </w:rPr>
        <w:t>0 per diem and Members at $</w:t>
      </w:r>
      <w:r>
        <w:rPr>
          <w:bCs/>
          <w:color w:val="000000" w:themeColor="text1"/>
          <w:szCs w:val="24"/>
        </w:rPr>
        <w:t>505</w:t>
      </w:r>
      <w:r w:rsidRPr="001F0F41">
        <w:rPr>
          <w:bCs/>
          <w:color w:val="000000" w:themeColor="text1"/>
          <w:szCs w:val="24"/>
        </w:rPr>
        <w:t xml:space="preserve"> per diem.</w:t>
      </w:r>
    </w:p>
    <w:p w14:paraId="624AE482" w14:textId="1A94F06D" w:rsidR="0015505E" w:rsidRPr="0015505E" w:rsidRDefault="0015505E" w:rsidP="0015505E">
      <w:pPr>
        <w:spacing w:before="120" w:after="60"/>
        <w:rPr>
          <w:color w:val="000000" w:themeColor="text1"/>
          <w:szCs w:val="24"/>
          <w:u w:val="single"/>
        </w:rPr>
      </w:pPr>
      <w:r w:rsidRPr="0015505E">
        <w:rPr>
          <w:color w:val="000000" w:themeColor="text1"/>
          <w:szCs w:val="24"/>
          <w:u w:val="single"/>
        </w:rPr>
        <w:t>Priority Investment Program Advisory Panel</w:t>
      </w:r>
    </w:p>
    <w:p w14:paraId="167289CE" w14:textId="21335EBA" w:rsidR="0015505E" w:rsidRPr="00177067" w:rsidRDefault="0015505E" w:rsidP="0015505E">
      <w:pPr>
        <w:spacing w:before="120" w:after="120"/>
        <w:rPr>
          <w:bCs/>
          <w:color w:val="FF0000"/>
          <w:szCs w:val="24"/>
        </w:rPr>
      </w:pPr>
      <w:r>
        <w:rPr>
          <w:color w:val="000000" w:themeColor="text1"/>
          <w:szCs w:val="24"/>
        </w:rPr>
        <w:t xml:space="preserve">The Priority Investment Program Advisory Panel is a non-statutory body established to assess all funding applications under the program and to provide advice to the ACT Government on applications that are considered to meet the requirements for funding. </w:t>
      </w:r>
      <w:r>
        <w:rPr>
          <w:szCs w:val="24"/>
        </w:rPr>
        <w:t xml:space="preserve">The </w:t>
      </w:r>
      <w:r>
        <w:rPr>
          <w:szCs w:val="24"/>
        </w:rPr>
        <w:lastRenderedPageBreak/>
        <w:t xml:space="preserve">Tribunal </w:t>
      </w:r>
      <w:r w:rsidR="00B65395">
        <w:rPr>
          <w:color w:val="000000" w:themeColor="text1"/>
          <w:szCs w:val="24"/>
        </w:rPr>
        <w:t>d</w:t>
      </w:r>
      <w:r w:rsidR="00655970">
        <w:rPr>
          <w:color w:val="000000" w:themeColor="text1"/>
          <w:szCs w:val="24"/>
        </w:rPr>
        <w:t>etermines</w:t>
      </w:r>
      <w:r w:rsidR="00655970" w:rsidRPr="001F0F41">
        <w:rPr>
          <w:color w:val="000000" w:themeColor="text1"/>
          <w:szCs w:val="24"/>
        </w:rPr>
        <w:t xml:space="preserve"> </w:t>
      </w:r>
      <w:r w:rsidRPr="001F0F41">
        <w:rPr>
          <w:color w:val="000000" w:themeColor="text1"/>
          <w:szCs w:val="24"/>
        </w:rPr>
        <w:t xml:space="preserve">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$5</w:t>
      </w:r>
      <w:r>
        <w:rPr>
          <w:bCs/>
          <w:color w:val="000000" w:themeColor="text1"/>
          <w:szCs w:val="24"/>
        </w:rPr>
        <w:t>9</w:t>
      </w:r>
      <w:r w:rsidRPr="001F0F41">
        <w:rPr>
          <w:bCs/>
          <w:color w:val="000000" w:themeColor="text1"/>
          <w:szCs w:val="24"/>
        </w:rPr>
        <w:t>0 per diem and Members at $</w:t>
      </w:r>
      <w:r>
        <w:rPr>
          <w:bCs/>
          <w:color w:val="000000" w:themeColor="text1"/>
          <w:szCs w:val="24"/>
        </w:rPr>
        <w:t>505</w:t>
      </w:r>
      <w:r w:rsidRPr="001F0F41">
        <w:rPr>
          <w:bCs/>
          <w:color w:val="000000" w:themeColor="text1"/>
          <w:szCs w:val="24"/>
        </w:rPr>
        <w:t xml:space="preserve"> per diem.</w:t>
      </w:r>
    </w:p>
    <w:p w14:paraId="7DD879A3" w14:textId="7D10BAA1" w:rsidR="0015505E" w:rsidRPr="00F823AD" w:rsidRDefault="00F823AD" w:rsidP="0015505E">
      <w:pPr>
        <w:spacing w:before="120" w:after="60"/>
        <w:rPr>
          <w:color w:val="000000" w:themeColor="text1"/>
          <w:szCs w:val="24"/>
          <w:u w:val="single"/>
        </w:rPr>
      </w:pPr>
      <w:r w:rsidRPr="00F823AD">
        <w:rPr>
          <w:color w:val="000000" w:themeColor="text1"/>
          <w:szCs w:val="24"/>
          <w:u w:val="single"/>
        </w:rPr>
        <w:t>Inspector of Correctional Services</w:t>
      </w:r>
    </w:p>
    <w:p w14:paraId="234C472C" w14:textId="333BB2CA" w:rsidR="00F823AD" w:rsidRDefault="00F823AD" w:rsidP="00F823AD">
      <w:pPr>
        <w:spacing w:before="120" w:after="60"/>
        <w:rPr>
          <w:color w:val="000000" w:themeColor="text1"/>
          <w:szCs w:val="24"/>
        </w:rPr>
      </w:pPr>
      <w:r>
        <w:rPr>
          <w:color w:val="000000" w:themeColor="text1"/>
          <w:szCs w:val="24"/>
        </w:rPr>
        <w:t xml:space="preserve">The Inspector of Correctional Services is a statutory position established under the </w:t>
      </w:r>
      <w:r w:rsidRPr="00D31F8F">
        <w:rPr>
          <w:i/>
          <w:iCs/>
          <w:szCs w:val="24"/>
        </w:rPr>
        <w:t>Inspector of Correctional Services A</w:t>
      </w:r>
      <w:r w:rsidR="00966D1C">
        <w:rPr>
          <w:i/>
          <w:iCs/>
          <w:szCs w:val="24"/>
        </w:rPr>
        <w:t>ct</w:t>
      </w:r>
      <w:r w:rsidRPr="00D31F8F">
        <w:rPr>
          <w:i/>
          <w:iCs/>
          <w:szCs w:val="24"/>
        </w:rPr>
        <w:t xml:space="preserve"> 2017</w:t>
      </w:r>
      <w:r>
        <w:rPr>
          <w:i/>
          <w:iCs/>
          <w:szCs w:val="24"/>
        </w:rPr>
        <w:t xml:space="preserve"> </w:t>
      </w:r>
      <w:r>
        <w:rPr>
          <w:color w:val="000000" w:themeColor="text1"/>
          <w:szCs w:val="24"/>
        </w:rPr>
        <w:t xml:space="preserve">to provide independent oversight of ACT correctional and youth justice facilities, focusing on continual improvement and prevention of ill-treatment. The Tribunal received a submission from the Inspector </w:t>
      </w:r>
      <w:r>
        <w:rPr>
          <w:iCs/>
          <w:color w:val="000000" w:themeColor="text1"/>
          <w:szCs w:val="24"/>
        </w:rPr>
        <w:t>noting the increase in workload since the establishment of the role and submitting that the Office of the Inspector has been underfunded.</w:t>
      </w:r>
      <w:r w:rsidRPr="00F823AD">
        <w:rPr>
          <w:iCs/>
          <w:color w:val="000000" w:themeColor="text1"/>
          <w:szCs w:val="24"/>
        </w:rPr>
        <w:t xml:space="preserve"> </w:t>
      </w:r>
      <w:r>
        <w:rPr>
          <w:iCs/>
          <w:color w:val="000000" w:themeColor="text1"/>
          <w:szCs w:val="24"/>
        </w:rPr>
        <w:t>The submission further raise</w:t>
      </w:r>
      <w:r w:rsidR="00655970">
        <w:rPr>
          <w:iCs/>
          <w:color w:val="000000" w:themeColor="text1"/>
          <w:szCs w:val="24"/>
        </w:rPr>
        <w:t>d</w:t>
      </w:r>
      <w:r>
        <w:rPr>
          <w:iCs/>
          <w:color w:val="000000" w:themeColor="text1"/>
          <w:szCs w:val="24"/>
        </w:rPr>
        <w:t xml:space="preserve"> issues with the establishment of the position and funding, and </w:t>
      </w:r>
      <w:r w:rsidR="00655970">
        <w:rPr>
          <w:iCs/>
          <w:color w:val="000000" w:themeColor="text1"/>
          <w:szCs w:val="24"/>
        </w:rPr>
        <w:t xml:space="preserve">submitted </w:t>
      </w:r>
      <w:r>
        <w:rPr>
          <w:iCs/>
          <w:color w:val="000000" w:themeColor="text1"/>
          <w:szCs w:val="24"/>
        </w:rPr>
        <w:t>that the Inspector has worked extra hours unpaid due to the salary cap.</w:t>
      </w:r>
      <w:r w:rsidRPr="00661719">
        <w:rPr>
          <w:color w:val="000000" w:themeColor="text1"/>
          <w:szCs w:val="24"/>
        </w:rPr>
        <w:t xml:space="preserve"> </w:t>
      </w:r>
    </w:p>
    <w:p w14:paraId="0B36AD81" w14:textId="474D63AA" w:rsidR="00F823AD" w:rsidRDefault="00FF0908" w:rsidP="00F823AD">
      <w:pPr>
        <w:spacing w:before="120" w:after="60"/>
        <w:rPr>
          <w:color w:val="000000" w:themeColor="text1"/>
          <w:szCs w:val="24"/>
        </w:rPr>
      </w:pPr>
      <w:r>
        <w:t xml:space="preserve">In </w:t>
      </w:r>
      <w:r w:rsidR="00527EA6">
        <w:t>considering the remuneration of the Inspector</w:t>
      </w:r>
      <w:r>
        <w:t>, the Tribunal had regard to the remuneration paid to equivalent positions in other jurisdictions</w:t>
      </w:r>
      <w:r w:rsidR="004266DF">
        <w:t>.</w:t>
      </w:r>
      <w:r>
        <w:t xml:space="preserve"> </w:t>
      </w:r>
      <w:r w:rsidR="004266DF">
        <w:t>T</w:t>
      </w:r>
      <w:r>
        <w:t xml:space="preserve">he Tribunal </w:t>
      </w:r>
      <w:r w:rsidR="00655970">
        <w:t xml:space="preserve">also </w:t>
      </w:r>
      <w:r>
        <w:t xml:space="preserve">noted that the </w:t>
      </w:r>
      <w:r w:rsidR="00527EA6">
        <w:t>Inspecto</w:t>
      </w:r>
      <w:r>
        <w:t xml:space="preserve">r’s jurisdiction has increased </w:t>
      </w:r>
      <w:r w:rsidR="004266DF">
        <w:t>to include</w:t>
      </w:r>
      <w:r>
        <w:t xml:space="preserve"> </w:t>
      </w:r>
      <w:proofErr w:type="spellStart"/>
      <w:r>
        <w:t>Bimberi</w:t>
      </w:r>
      <w:proofErr w:type="spellEnd"/>
      <w:r w:rsidR="00527EA6">
        <w:t xml:space="preserve"> Youth Justice Centre</w:t>
      </w:r>
      <w:r>
        <w:t>.</w:t>
      </w:r>
      <w:r>
        <w:rPr>
          <w:color w:val="000000" w:themeColor="text1"/>
          <w:szCs w:val="24"/>
        </w:rPr>
        <w:t xml:space="preserve"> T</w:t>
      </w:r>
      <w:r w:rsidR="00F823AD">
        <w:rPr>
          <w:color w:val="000000" w:themeColor="text1"/>
          <w:szCs w:val="24"/>
        </w:rPr>
        <w:t xml:space="preserve">he Tribunal </w:t>
      </w:r>
      <w:r w:rsidR="001B0770">
        <w:rPr>
          <w:color w:val="000000" w:themeColor="text1"/>
          <w:szCs w:val="24"/>
        </w:rPr>
        <w:t>met</w:t>
      </w:r>
      <w:r w:rsidR="00F823AD">
        <w:rPr>
          <w:color w:val="000000" w:themeColor="text1"/>
          <w:szCs w:val="24"/>
        </w:rPr>
        <w:t xml:space="preserve"> with officials from the </w:t>
      </w:r>
      <w:r w:rsidR="00F823AD" w:rsidRPr="00D947A9">
        <w:rPr>
          <w:color w:val="000000" w:themeColor="text1"/>
          <w:szCs w:val="24"/>
        </w:rPr>
        <w:t>Justice and Community Safety Directorate</w:t>
      </w:r>
      <w:r w:rsidR="00F823AD">
        <w:rPr>
          <w:color w:val="000000" w:themeColor="text1"/>
          <w:szCs w:val="24"/>
        </w:rPr>
        <w:t>.</w:t>
      </w:r>
      <w:r w:rsidR="00BA2257" w:rsidRPr="00BA2257">
        <w:t xml:space="preserve"> </w:t>
      </w:r>
    </w:p>
    <w:p w14:paraId="62BDC2DA" w14:textId="4E98171C" w:rsidR="00F823AD" w:rsidRDefault="00FF0908" w:rsidP="00F823AD">
      <w:pPr>
        <w:spacing w:after="120"/>
      </w:pPr>
      <w:r>
        <w:t>Consequently, t</w:t>
      </w:r>
      <w:r w:rsidR="00F823AD">
        <w:t xml:space="preserve">he Tribunal </w:t>
      </w:r>
      <w:r w:rsidR="00B65395">
        <w:t>d</w:t>
      </w:r>
      <w:r w:rsidR="00655970">
        <w:t xml:space="preserve">etermines </w:t>
      </w:r>
      <w:r w:rsidR="00F823AD">
        <w:t xml:space="preserve">that the remuneration of the Inspector of Correctional Services </w:t>
      </w:r>
      <w:r>
        <w:t>be increased to</w:t>
      </w:r>
      <w:r w:rsidR="00F823AD">
        <w:t xml:space="preserve"> $</w:t>
      </w:r>
      <w:r w:rsidR="00FE0799">
        <w:t xml:space="preserve">1,038 per </w:t>
      </w:r>
      <w:r w:rsidR="0095146B">
        <w:t>diem but</w:t>
      </w:r>
      <w:r w:rsidR="00655970">
        <w:t xml:space="preserve"> </w:t>
      </w:r>
      <w:r w:rsidR="00BA2257">
        <w:t xml:space="preserve">is </w:t>
      </w:r>
      <w:r w:rsidR="00FE0799">
        <w:t>not to exceed $238,765 per annum</w:t>
      </w:r>
      <w:r w:rsidR="00F823AD">
        <w:t>.</w:t>
      </w:r>
      <w:r w:rsidR="00BA2257">
        <w:t xml:space="preserve"> </w:t>
      </w:r>
    </w:p>
    <w:p w14:paraId="577947A1" w14:textId="0C7359A3" w:rsidR="00F823AD" w:rsidRPr="00F823AD" w:rsidRDefault="00F823AD" w:rsidP="00F823AD">
      <w:pPr>
        <w:spacing w:before="120" w:after="60"/>
        <w:rPr>
          <w:color w:val="000000" w:themeColor="text1"/>
          <w:szCs w:val="24"/>
          <w:u w:val="single"/>
        </w:rPr>
      </w:pPr>
      <w:r w:rsidRPr="00F823AD">
        <w:rPr>
          <w:color w:val="000000" w:themeColor="text1"/>
          <w:szCs w:val="24"/>
          <w:u w:val="single"/>
        </w:rPr>
        <w:t>Ministerial Advisory Council on Ageing</w:t>
      </w:r>
    </w:p>
    <w:p w14:paraId="7CEBA1DE" w14:textId="53A145AA" w:rsidR="00F823AD" w:rsidRDefault="00F823AD" w:rsidP="00F823AD">
      <w:pPr>
        <w:spacing w:before="120" w:after="60"/>
        <w:rPr>
          <w:color w:val="000000" w:themeColor="text1"/>
          <w:szCs w:val="24"/>
        </w:rPr>
      </w:pPr>
      <w:r>
        <w:rPr>
          <w:color w:val="000000" w:themeColor="text1"/>
          <w:szCs w:val="24"/>
        </w:rPr>
        <w:t>The Ministerial Advisory</w:t>
      </w:r>
      <w:r w:rsidRPr="00D02FB8">
        <w:rPr>
          <w:color w:val="000000" w:themeColor="text1"/>
          <w:szCs w:val="24"/>
        </w:rPr>
        <w:t xml:space="preserve"> Council</w:t>
      </w:r>
      <w:r>
        <w:rPr>
          <w:color w:val="000000" w:themeColor="text1"/>
          <w:szCs w:val="24"/>
        </w:rPr>
        <w:t xml:space="preserve"> on Ageing is a non-statutory body established to provide advice to the ACT Government on issues affecting older people in the ACT. The Tribunal received a submission from the Chair of the Council requesting for Members of the Council be remunerated</w:t>
      </w:r>
      <w:r w:rsidR="00C12FB4">
        <w:rPr>
          <w:color w:val="000000" w:themeColor="text1"/>
          <w:szCs w:val="24"/>
        </w:rPr>
        <w:t xml:space="preserve"> due to the </w:t>
      </w:r>
      <w:r w:rsidR="00655970">
        <w:rPr>
          <w:color w:val="000000" w:themeColor="text1"/>
          <w:szCs w:val="24"/>
        </w:rPr>
        <w:t xml:space="preserve">nature and quality of the </w:t>
      </w:r>
      <w:r w:rsidR="00C12FB4">
        <w:rPr>
          <w:color w:val="000000" w:themeColor="text1"/>
          <w:szCs w:val="24"/>
        </w:rPr>
        <w:t xml:space="preserve">work they produce and </w:t>
      </w:r>
      <w:r w:rsidR="00655970">
        <w:rPr>
          <w:color w:val="000000" w:themeColor="text1"/>
          <w:szCs w:val="24"/>
        </w:rPr>
        <w:t xml:space="preserve">the </w:t>
      </w:r>
      <w:r w:rsidR="00C12FB4">
        <w:rPr>
          <w:color w:val="000000" w:themeColor="text1"/>
          <w:szCs w:val="24"/>
        </w:rPr>
        <w:t>meetings they are required to attend</w:t>
      </w:r>
      <w:r>
        <w:rPr>
          <w:color w:val="000000" w:themeColor="text1"/>
          <w:szCs w:val="24"/>
        </w:rPr>
        <w:t>. The Chair is already remunerated.</w:t>
      </w:r>
      <w:r w:rsidR="0095146B">
        <w:rPr>
          <w:color w:val="000000" w:themeColor="text1"/>
          <w:szCs w:val="24"/>
        </w:rPr>
        <w:t xml:space="preserve"> The</w:t>
      </w:r>
      <w:r>
        <w:rPr>
          <w:color w:val="000000" w:themeColor="text1"/>
          <w:szCs w:val="24"/>
        </w:rPr>
        <w:t xml:space="preserve"> </w:t>
      </w:r>
      <w:r>
        <w:rPr>
          <w:szCs w:val="24"/>
        </w:rPr>
        <w:t xml:space="preserve">Tribunal </w:t>
      </w:r>
      <w:r w:rsidR="00CD38DB">
        <w:rPr>
          <w:color w:val="000000" w:themeColor="text1"/>
          <w:szCs w:val="24"/>
        </w:rPr>
        <w:t>d</w:t>
      </w:r>
      <w:r w:rsidR="00655970">
        <w:rPr>
          <w:color w:val="000000" w:themeColor="text1"/>
          <w:szCs w:val="24"/>
        </w:rPr>
        <w:t>etermines</w:t>
      </w:r>
      <w:r w:rsidR="00655970" w:rsidRPr="001F0F41">
        <w:rPr>
          <w:color w:val="000000" w:themeColor="text1"/>
          <w:szCs w:val="24"/>
        </w:rPr>
        <w:t xml:space="preserve"> </w:t>
      </w:r>
      <w:r w:rsidRPr="001F0F41">
        <w:rPr>
          <w:color w:val="000000" w:themeColor="text1"/>
          <w:szCs w:val="24"/>
        </w:rPr>
        <w:t xml:space="preserve">that </w:t>
      </w:r>
      <w:r w:rsidR="00C12FB4" w:rsidRPr="001F0F41">
        <w:rPr>
          <w:bCs/>
          <w:color w:val="000000" w:themeColor="text1"/>
          <w:szCs w:val="24"/>
        </w:rPr>
        <w:t xml:space="preserve">Members </w:t>
      </w:r>
      <w:r w:rsidR="00655970">
        <w:rPr>
          <w:bCs/>
          <w:color w:val="000000" w:themeColor="text1"/>
          <w:szCs w:val="24"/>
        </w:rPr>
        <w:t>are to</w:t>
      </w:r>
      <w:r w:rsidR="00655970" w:rsidRPr="001F0F41">
        <w:rPr>
          <w:bCs/>
          <w:color w:val="000000" w:themeColor="text1"/>
          <w:szCs w:val="24"/>
        </w:rPr>
        <w:t xml:space="preserve"> </w:t>
      </w:r>
      <w:r w:rsidRPr="001F0F41">
        <w:rPr>
          <w:bCs/>
          <w:color w:val="000000" w:themeColor="text1"/>
          <w:szCs w:val="24"/>
        </w:rPr>
        <w:t xml:space="preserve">be </w:t>
      </w:r>
      <w:r w:rsidRPr="00412E65">
        <w:rPr>
          <w:color w:val="000000" w:themeColor="text1"/>
        </w:rPr>
        <w:t>remunerated</w:t>
      </w:r>
      <w:r w:rsidRPr="001F0F41">
        <w:rPr>
          <w:bCs/>
          <w:color w:val="000000" w:themeColor="text1"/>
          <w:szCs w:val="24"/>
        </w:rPr>
        <w:t xml:space="preserve"> at $</w:t>
      </w:r>
      <w:r>
        <w:rPr>
          <w:bCs/>
          <w:color w:val="000000" w:themeColor="text1"/>
          <w:szCs w:val="24"/>
        </w:rPr>
        <w:t>505</w:t>
      </w:r>
      <w:r w:rsidRPr="001F0F41">
        <w:rPr>
          <w:bCs/>
          <w:color w:val="000000" w:themeColor="text1"/>
          <w:szCs w:val="24"/>
        </w:rPr>
        <w:t xml:space="preserve"> per diem.</w:t>
      </w:r>
    </w:p>
    <w:p w14:paraId="40427D2F" w14:textId="052BDC8B" w:rsidR="00F823AD" w:rsidRPr="00C12FB4" w:rsidRDefault="00C12FB4" w:rsidP="00F823AD">
      <w:pPr>
        <w:spacing w:before="120" w:after="60"/>
        <w:rPr>
          <w:color w:val="000000" w:themeColor="text1"/>
          <w:szCs w:val="24"/>
          <w:u w:val="single"/>
        </w:rPr>
      </w:pPr>
      <w:r w:rsidRPr="00C12FB4">
        <w:rPr>
          <w:color w:val="000000" w:themeColor="text1"/>
          <w:szCs w:val="24"/>
          <w:u w:val="single"/>
        </w:rPr>
        <w:t>Suburban Land Agency Board</w:t>
      </w:r>
    </w:p>
    <w:p w14:paraId="33E48D8D" w14:textId="3C5E6CEA" w:rsidR="00C12FB4" w:rsidRDefault="00C12FB4" w:rsidP="00F823AD">
      <w:pPr>
        <w:spacing w:before="120" w:after="60"/>
        <w:rPr>
          <w:color w:val="000000" w:themeColor="text1"/>
          <w:szCs w:val="24"/>
        </w:rPr>
      </w:pPr>
      <w:r>
        <w:rPr>
          <w:color w:val="000000" w:themeColor="text1"/>
          <w:szCs w:val="24"/>
        </w:rPr>
        <w:t>The Suburban Land Agency Board is a statutory body established in 2017 to encourage and promote inclusive communities, suburban development that supports affordable l</w:t>
      </w:r>
      <w:r w:rsidR="00664F28">
        <w:rPr>
          <w:color w:val="000000" w:themeColor="text1"/>
          <w:szCs w:val="24"/>
        </w:rPr>
        <w:t>i</w:t>
      </w:r>
      <w:r>
        <w:rPr>
          <w:color w:val="000000" w:themeColor="text1"/>
          <w:szCs w:val="24"/>
        </w:rPr>
        <w:t xml:space="preserve">ving and social inclusion, and urban renewal among other </w:t>
      </w:r>
      <w:r w:rsidR="00655970">
        <w:rPr>
          <w:color w:val="000000" w:themeColor="text1"/>
          <w:szCs w:val="24"/>
        </w:rPr>
        <w:t>responsibilities</w:t>
      </w:r>
      <w:r>
        <w:rPr>
          <w:color w:val="000000" w:themeColor="text1"/>
          <w:szCs w:val="24"/>
        </w:rPr>
        <w:t xml:space="preserve">. </w:t>
      </w:r>
      <w:r w:rsidR="00664F28">
        <w:rPr>
          <w:color w:val="000000" w:themeColor="text1"/>
          <w:szCs w:val="24"/>
        </w:rPr>
        <w:t xml:space="preserve">The Tribunal received a submission from the Chair of the Board </w:t>
      </w:r>
      <w:r w:rsidR="00B44BCB">
        <w:rPr>
          <w:color w:val="000000" w:themeColor="text1"/>
          <w:szCs w:val="24"/>
        </w:rPr>
        <w:t>contending</w:t>
      </w:r>
      <w:r w:rsidR="00664F28">
        <w:rPr>
          <w:iCs/>
          <w:color w:val="000000" w:themeColor="text1"/>
          <w:szCs w:val="24"/>
        </w:rPr>
        <w:t xml:space="preserve"> that the remuneration of the Board be increased commensurate with the increases provided to Director-Generals and SES since 2017.</w:t>
      </w:r>
      <w:r w:rsidR="004B5255">
        <w:rPr>
          <w:iCs/>
          <w:color w:val="000000" w:themeColor="text1"/>
          <w:szCs w:val="24"/>
        </w:rPr>
        <w:t xml:space="preserve"> However,</w:t>
      </w:r>
      <w:r w:rsidR="00664F28">
        <w:rPr>
          <w:iCs/>
          <w:color w:val="000000" w:themeColor="text1"/>
          <w:szCs w:val="24"/>
        </w:rPr>
        <w:t xml:space="preserve"> </w:t>
      </w:r>
      <w:r w:rsidR="004B5255">
        <w:rPr>
          <w:iCs/>
          <w:color w:val="000000" w:themeColor="text1"/>
          <w:szCs w:val="24"/>
        </w:rPr>
        <w:t>t</w:t>
      </w:r>
      <w:r w:rsidR="00664F28">
        <w:rPr>
          <w:iCs/>
          <w:color w:val="000000" w:themeColor="text1"/>
          <w:szCs w:val="24"/>
        </w:rPr>
        <w:t>he Tribunal is</w:t>
      </w:r>
      <w:r w:rsidR="00B44BCB">
        <w:rPr>
          <w:iCs/>
          <w:color w:val="000000" w:themeColor="text1"/>
          <w:szCs w:val="24"/>
        </w:rPr>
        <w:t xml:space="preserve"> </w:t>
      </w:r>
      <w:r w:rsidR="00664F28">
        <w:rPr>
          <w:iCs/>
          <w:color w:val="000000" w:themeColor="text1"/>
          <w:szCs w:val="24"/>
        </w:rPr>
        <w:t>satisfied that</w:t>
      </w:r>
      <w:r w:rsidR="00B44BCB">
        <w:rPr>
          <w:iCs/>
          <w:color w:val="000000" w:themeColor="text1"/>
          <w:szCs w:val="24"/>
        </w:rPr>
        <w:t xml:space="preserve"> the previous</w:t>
      </w:r>
      <w:r w:rsidR="00664F28">
        <w:rPr>
          <w:iCs/>
          <w:color w:val="000000" w:themeColor="text1"/>
          <w:szCs w:val="24"/>
        </w:rPr>
        <w:t xml:space="preserve"> increases provided to the Suburban Land Agency Board have been appropriate. </w:t>
      </w:r>
      <w:r w:rsidR="004B5255">
        <w:rPr>
          <w:iCs/>
          <w:color w:val="000000" w:themeColor="text1"/>
          <w:szCs w:val="24"/>
        </w:rPr>
        <w:t>Further</w:t>
      </w:r>
      <w:r w:rsidR="00655970">
        <w:rPr>
          <w:iCs/>
          <w:color w:val="000000" w:themeColor="text1"/>
          <w:szCs w:val="24"/>
        </w:rPr>
        <w:t>,</w:t>
      </w:r>
      <w:r w:rsidR="00CD38DB">
        <w:rPr>
          <w:iCs/>
          <w:color w:val="000000" w:themeColor="text1"/>
          <w:szCs w:val="24"/>
        </w:rPr>
        <w:t xml:space="preserve"> </w:t>
      </w:r>
      <w:r w:rsidR="00655970">
        <w:rPr>
          <w:iCs/>
          <w:color w:val="000000" w:themeColor="text1"/>
          <w:szCs w:val="24"/>
        </w:rPr>
        <w:t>c</w:t>
      </w:r>
      <w:r w:rsidR="00655970">
        <w:rPr>
          <w:iCs/>
          <w:vanish/>
          <w:color w:val="000000" w:themeColor="text1"/>
          <w:szCs w:val="24"/>
        </w:rPr>
        <w:t>owever,c</w:t>
      </w:r>
      <w:r w:rsidR="00B44BCB">
        <w:rPr>
          <w:iCs/>
          <w:color w:val="000000" w:themeColor="text1"/>
          <w:szCs w:val="24"/>
        </w:rPr>
        <w:t xml:space="preserve">onsistent with other increases provided to office holders covered by this </w:t>
      </w:r>
      <w:r w:rsidR="00655970">
        <w:rPr>
          <w:iCs/>
          <w:color w:val="000000" w:themeColor="text1"/>
          <w:szCs w:val="24"/>
        </w:rPr>
        <w:t>Determination</w:t>
      </w:r>
      <w:r w:rsidR="00B44BCB">
        <w:rPr>
          <w:iCs/>
          <w:color w:val="000000" w:themeColor="text1"/>
          <w:szCs w:val="24"/>
        </w:rPr>
        <w:t>, t</w:t>
      </w:r>
      <w:r w:rsidR="00664F28">
        <w:rPr>
          <w:iCs/>
          <w:color w:val="000000" w:themeColor="text1"/>
          <w:szCs w:val="24"/>
        </w:rPr>
        <w:t xml:space="preserve">he Tribunal </w:t>
      </w:r>
      <w:r w:rsidR="00B65395">
        <w:rPr>
          <w:iCs/>
          <w:color w:val="000000" w:themeColor="text1"/>
          <w:szCs w:val="24"/>
        </w:rPr>
        <w:t>d</w:t>
      </w:r>
      <w:r w:rsidR="00655970">
        <w:rPr>
          <w:iCs/>
          <w:color w:val="000000" w:themeColor="text1"/>
          <w:szCs w:val="24"/>
        </w:rPr>
        <w:t xml:space="preserve">etermines </w:t>
      </w:r>
      <w:r w:rsidR="00664F28">
        <w:rPr>
          <w:iCs/>
          <w:color w:val="000000" w:themeColor="text1"/>
          <w:szCs w:val="24"/>
        </w:rPr>
        <w:t xml:space="preserve">to increase the remuneration of the </w:t>
      </w:r>
      <w:r w:rsidR="00655970" w:rsidRPr="007C51B3">
        <w:rPr>
          <w:iCs/>
          <w:color w:val="000000" w:themeColor="text1"/>
          <w:szCs w:val="24"/>
        </w:rPr>
        <w:t xml:space="preserve">Chair </w:t>
      </w:r>
      <w:r w:rsidR="00655970" w:rsidRPr="0095146B">
        <w:rPr>
          <w:iCs/>
          <w:color w:val="000000" w:themeColor="text1"/>
          <w:szCs w:val="24"/>
        </w:rPr>
        <w:t xml:space="preserve">and </w:t>
      </w:r>
      <w:r w:rsidR="0095146B" w:rsidRPr="0095146B">
        <w:rPr>
          <w:iCs/>
          <w:color w:val="000000" w:themeColor="text1"/>
          <w:szCs w:val="24"/>
        </w:rPr>
        <w:t>members of</w:t>
      </w:r>
      <w:r w:rsidR="00655970">
        <w:rPr>
          <w:iCs/>
          <w:color w:val="000000" w:themeColor="text1"/>
          <w:szCs w:val="24"/>
        </w:rPr>
        <w:t xml:space="preserve"> the </w:t>
      </w:r>
      <w:r w:rsidR="00664F28">
        <w:rPr>
          <w:iCs/>
          <w:color w:val="000000" w:themeColor="text1"/>
          <w:szCs w:val="24"/>
        </w:rPr>
        <w:t xml:space="preserve">Board by </w:t>
      </w:r>
      <w:r w:rsidR="00FE0799">
        <w:rPr>
          <w:iCs/>
          <w:color w:val="000000" w:themeColor="text1"/>
          <w:szCs w:val="24"/>
        </w:rPr>
        <w:t>3</w:t>
      </w:r>
      <w:r w:rsidR="00664F28">
        <w:rPr>
          <w:iCs/>
          <w:color w:val="000000" w:themeColor="text1"/>
          <w:szCs w:val="24"/>
        </w:rPr>
        <w:t xml:space="preserve"> per cent</w:t>
      </w:r>
      <w:r w:rsidR="00FE0799">
        <w:rPr>
          <w:iCs/>
          <w:color w:val="000000" w:themeColor="text1"/>
          <w:szCs w:val="24"/>
        </w:rPr>
        <w:t>, rounded up to the nearest $5</w:t>
      </w:r>
      <w:r w:rsidR="00664F28">
        <w:rPr>
          <w:iCs/>
          <w:color w:val="000000" w:themeColor="text1"/>
          <w:szCs w:val="24"/>
        </w:rPr>
        <w:t>.</w:t>
      </w:r>
    </w:p>
    <w:p w14:paraId="4A00DC7A" w14:textId="77777777" w:rsidR="00807670" w:rsidRPr="00F7509F" w:rsidRDefault="00807670" w:rsidP="00807670">
      <w:pPr>
        <w:tabs>
          <w:tab w:val="left" w:pos="3780"/>
        </w:tabs>
        <w:rPr>
          <w:szCs w:val="24"/>
          <w:u w:val="single"/>
        </w:rPr>
      </w:pPr>
      <w:r>
        <w:rPr>
          <w:szCs w:val="24"/>
          <w:u w:val="single"/>
        </w:rPr>
        <w:t>Sentence Administration Board</w:t>
      </w:r>
    </w:p>
    <w:p w14:paraId="32ED5EC9" w14:textId="6771F65F" w:rsidR="00412E65" w:rsidRDefault="00527EA6" w:rsidP="00664F28">
      <w:pPr>
        <w:spacing w:before="120" w:after="120"/>
        <w:rPr>
          <w:szCs w:val="24"/>
          <w:u w:val="single"/>
        </w:rPr>
      </w:pPr>
      <w:r w:rsidRPr="005C4DE2">
        <w:rPr>
          <w:color w:val="000000" w:themeColor="text1"/>
        </w:rPr>
        <w:t xml:space="preserve">In 2021, the Tribunal undertook a further examination of the remuneration, </w:t>
      </w:r>
      <w:proofErr w:type="gramStart"/>
      <w:r w:rsidRPr="005C4DE2">
        <w:rPr>
          <w:color w:val="000000" w:themeColor="text1"/>
        </w:rPr>
        <w:t>allowances</w:t>
      </w:r>
      <w:proofErr w:type="gramEnd"/>
      <w:r w:rsidRPr="005C4DE2">
        <w:rPr>
          <w:color w:val="000000" w:themeColor="text1"/>
        </w:rPr>
        <w:t xml:space="preserve"> and other entitlements for the Sentence Administration Board. At that time, the Tribunal increased the remuneration of the Board.</w:t>
      </w:r>
      <w:r>
        <w:rPr>
          <w:color w:val="000000" w:themeColor="text1"/>
        </w:rPr>
        <w:t xml:space="preserve"> </w:t>
      </w:r>
      <w:r w:rsidR="00664F28">
        <w:rPr>
          <w:color w:val="000000" w:themeColor="text1"/>
        </w:rPr>
        <w:t xml:space="preserve">In December 2021 following the Spring Sitting, </w:t>
      </w:r>
      <w:r w:rsidR="00E212EC" w:rsidRPr="00C730E6">
        <w:rPr>
          <w:color w:val="000000" w:themeColor="text1"/>
        </w:rPr>
        <w:t xml:space="preserve">the Tribunal </w:t>
      </w:r>
      <w:r w:rsidR="00664F28">
        <w:rPr>
          <w:color w:val="000000" w:themeColor="text1"/>
        </w:rPr>
        <w:t xml:space="preserve">requested an update from the Sentence Administration Board regarding the 2021-2022 sitting days of the Board. Correspondence was received from the Chair of the Board detailing the information as requested by the Tribunal. The Tribunal </w:t>
      </w:r>
      <w:r w:rsidR="00C220D8">
        <w:rPr>
          <w:color w:val="000000" w:themeColor="text1"/>
        </w:rPr>
        <w:t>determines</w:t>
      </w:r>
      <w:r w:rsidR="00664F28">
        <w:rPr>
          <w:color w:val="000000" w:themeColor="text1"/>
        </w:rPr>
        <w:t xml:space="preserve"> to increase the remuneration for the Sentence Administration Board by </w:t>
      </w:r>
      <w:r w:rsidR="00FE0799">
        <w:rPr>
          <w:color w:val="000000" w:themeColor="text1"/>
        </w:rPr>
        <w:t>3</w:t>
      </w:r>
      <w:r w:rsidR="00664F28">
        <w:rPr>
          <w:color w:val="000000" w:themeColor="text1"/>
        </w:rPr>
        <w:t xml:space="preserve"> per cent</w:t>
      </w:r>
      <w:r w:rsidR="00FE0799">
        <w:rPr>
          <w:color w:val="000000" w:themeColor="text1"/>
        </w:rPr>
        <w:t>, rounded up to the nearest $5</w:t>
      </w:r>
      <w:r w:rsidR="00664F28">
        <w:rPr>
          <w:color w:val="000000" w:themeColor="text1"/>
        </w:rPr>
        <w:t>.</w:t>
      </w:r>
    </w:p>
    <w:p w14:paraId="2B547C10" w14:textId="25D336E3" w:rsidR="00807670" w:rsidRPr="00B67391" w:rsidRDefault="00807670" w:rsidP="00807670">
      <w:pPr>
        <w:tabs>
          <w:tab w:val="left" w:pos="3780"/>
        </w:tabs>
        <w:rPr>
          <w:szCs w:val="24"/>
          <w:u w:val="single"/>
        </w:rPr>
      </w:pPr>
      <w:r w:rsidRPr="00B67391">
        <w:rPr>
          <w:szCs w:val="24"/>
          <w:u w:val="single"/>
        </w:rPr>
        <w:lastRenderedPageBreak/>
        <w:t>Other Part-time Public Office Holders</w:t>
      </w:r>
    </w:p>
    <w:p w14:paraId="63284DF9" w14:textId="684765AD" w:rsidR="00807670" w:rsidRDefault="00807670" w:rsidP="00412E65">
      <w:pPr>
        <w:spacing w:before="120" w:after="120"/>
        <w:rPr>
          <w:color w:val="000000" w:themeColor="text1"/>
          <w:szCs w:val="24"/>
        </w:rPr>
      </w:pPr>
      <w:r w:rsidRPr="00912464">
        <w:rPr>
          <w:szCs w:val="24"/>
        </w:rPr>
        <w:t xml:space="preserve">All other </w:t>
      </w:r>
      <w:r w:rsidRPr="00C50EE1">
        <w:rPr>
          <w:color w:val="000000" w:themeColor="text1"/>
          <w:szCs w:val="24"/>
        </w:rPr>
        <w:t xml:space="preserve">part-time public office holders </w:t>
      </w:r>
      <w:r w:rsidR="00414872">
        <w:rPr>
          <w:color w:val="000000" w:themeColor="text1"/>
          <w:szCs w:val="24"/>
        </w:rPr>
        <w:t xml:space="preserve">being considered as part of the 2022 Spring Sitting </w:t>
      </w:r>
      <w:r w:rsidRPr="00C50EE1">
        <w:rPr>
          <w:color w:val="000000" w:themeColor="text1"/>
          <w:szCs w:val="24"/>
        </w:rPr>
        <w:t xml:space="preserve">will receive a </w:t>
      </w:r>
      <w:r w:rsidR="00FE0799">
        <w:rPr>
          <w:color w:val="000000" w:themeColor="text1"/>
          <w:szCs w:val="24"/>
        </w:rPr>
        <w:t>3</w:t>
      </w:r>
      <w:r w:rsidR="00664F28">
        <w:rPr>
          <w:color w:val="000000" w:themeColor="text1"/>
          <w:szCs w:val="24"/>
        </w:rPr>
        <w:t xml:space="preserve"> per cent</w:t>
      </w:r>
      <w:r w:rsidRPr="00C50EE1">
        <w:rPr>
          <w:color w:val="000000" w:themeColor="text1"/>
          <w:szCs w:val="24"/>
        </w:rPr>
        <w:t xml:space="preserve"> increase</w:t>
      </w:r>
      <w:r>
        <w:rPr>
          <w:color w:val="000000" w:themeColor="text1"/>
          <w:szCs w:val="24"/>
        </w:rPr>
        <w:t xml:space="preserve">, </w:t>
      </w:r>
      <w:r w:rsidRPr="00C50EE1">
        <w:rPr>
          <w:color w:val="000000" w:themeColor="text1"/>
          <w:szCs w:val="24"/>
        </w:rPr>
        <w:t xml:space="preserve">rounded up to the nearest $5, effective from </w:t>
      </w:r>
      <w:r w:rsidRPr="007C51B3">
        <w:rPr>
          <w:color w:val="000000" w:themeColor="text1"/>
          <w:szCs w:val="24"/>
        </w:rPr>
        <w:t xml:space="preserve">1 November </w:t>
      </w:r>
      <w:r w:rsidRPr="0095146B">
        <w:rPr>
          <w:color w:val="000000" w:themeColor="text1"/>
          <w:szCs w:val="24"/>
        </w:rPr>
        <w:t>202</w:t>
      </w:r>
      <w:r w:rsidR="00664F28" w:rsidRPr="0095146B">
        <w:rPr>
          <w:color w:val="000000" w:themeColor="text1"/>
          <w:szCs w:val="24"/>
        </w:rPr>
        <w:t>2</w:t>
      </w:r>
      <w:r w:rsidRPr="0095146B">
        <w:rPr>
          <w:color w:val="000000" w:themeColor="text1"/>
          <w:szCs w:val="24"/>
        </w:rPr>
        <w:t>.</w:t>
      </w:r>
      <w:r w:rsidRPr="00C50EE1">
        <w:rPr>
          <w:color w:val="000000" w:themeColor="text1"/>
          <w:szCs w:val="24"/>
        </w:rPr>
        <w:t xml:space="preserve"> </w:t>
      </w:r>
    </w:p>
    <w:p w14:paraId="1C443355" w14:textId="28054722" w:rsidR="00807670" w:rsidRPr="00507612" w:rsidRDefault="00807670" w:rsidP="00807670">
      <w:pPr>
        <w:spacing w:before="120" w:after="60"/>
        <w:rPr>
          <w:szCs w:val="24"/>
        </w:rPr>
      </w:pPr>
      <w:r w:rsidRPr="00507612">
        <w:rPr>
          <w:szCs w:val="24"/>
        </w:rPr>
        <w:t>The retrospective application of this Determination</w:t>
      </w:r>
      <w:r w:rsidR="00527EA6">
        <w:rPr>
          <w:szCs w:val="24"/>
        </w:rPr>
        <w:t xml:space="preserve"> to 1 November 2022</w:t>
      </w:r>
      <w:r w:rsidRPr="00507612">
        <w:rPr>
          <w:szCs w:val="24"/>
        </w:rPr>
        <w:t xml:space="preserve"> does not affect the rights of a person (other than the ACT Government) in a manner prejudicial to that person, nor does it impose any liability on such person.</w:t>
      </w:r>
    </w:p>
    <w:p w14:paraId="1E216E56" w14:textId="77777777" w:rsidR="006257C0" w:rsidRDefault="006257C0" w:rsidP="00AA0031">
      <w:pPr>
        <w:rPr>
          <w:szCs w:val="24"/>
        </w:rPr>
      </w:pPr>
    </w:p>
    <w:p w14:paraId="56684822" w14:textId="46377B46" w:rsidR="00AE696C" w:rsidRDefault="00D0397E" w:rsidP="00A41965">
      <w:pPr>
        <w:ind w:left="360"/>
        <w:jc w:val="right"/>
        <w:rPr>
          <w:sz w:val="22"/>
          <w:szCs w:val="22"/>
        </w:rPr>
      </w:pPr>
      <w:r>
        <w:rPr>
          <w:szCs w:val="24"/>
        </w:rPr>
        <w:t xml:space="preserve">15 </w:t>
      </w:r>
      <w:r w:rsidR="00FE0799">
        <w:rPr>
          <w:szCs w:val="24"/>
        </w:rPr>
        <w:t>Dec</w:t>
      </w:r>
      <w:r w:rsidR="00664F28">
        <w:rPr>
          <w:szCs w:val="24"/>
        </w:rPr>
        <w:t>ember</w:t>
      </w:r>
      <w:r w:rsidR="006D45E1">
        <w:rPr>
          <w:szCs w:val="24"/>
        </w:rPr>
        <w:t xml:space="preserve"> 202</w:t>
      </w:r>
      <w:r w:rsidR="00664F28">
        <w:rPr>
          <w:szCs w:val="24"/>
        </w:rPr>
        <w:t>2</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22C46C6E" w14:textId="77777777" w:rsidR="001F0EA2" w:rsidRDefault="001F0EA2" w:rsidP="001F0EA2">
      <w:pPr>
        <w:spacing w:before="120"/>
        <w:rPr>
          <w:rFonts w:cs="Arial"/>
        </w:rPr>
      </w:pPr>
    </w:p>
    <w:p w14:paraId="6480728E" w14:textId="77777777" w:rsidR="001F0EA2" w:rsidRPr="00D62589" w:rsidRDefault="001F0EA2" w:rsidP="001F0EA2">
      <w:pPr>
        <w:spacing w:before="120"/>
        <w:rPr>
          <w:rFonts w:cs="Arial"/>
          <w:sz w:val="28"/>
          <w:szCs w:val="28"/>
        </w:rPr>
      </w:pPr>
      <w:r>
        <w:rPr>
          <w:rFonts w:cs="Arial"/>
          <w:noProof/>
          <w:lang w:eastAsia="en-AU"/>
        </w:rPr>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2EB78D13" w14:textId="77777777" w:rsidR="001F0EA2" w:rsidRPr="00BC60C7" w:rsidRDefault="001F0EA2" w:rsidP="001F0EA2">
      <w:pPr>
        <w:pStyle w:val="Heading1"/>
      </w:pPr>
      <w:r w:rsidRPr="00BC60C7">
        <w:t xml:space="preserve">Part-time Public Office Holders </w:t>
      </w:r>
    </w:p>
    <w:p w14:paraId="52ABE36C" w14:textId="6C00DF4E" w:rsidR="001F0EA2" w:rsidRPr="008879E2" w:rsidRDefault="001F0EA2" w:rsidP="001F0EA2">
      <w:pPr>
        <w:pStyle w:val="Heading1"/>
        <w:rPr>
          <w:color w:val="000000" w:themeColor="text1"/>
        </w:rPr>
      </w:pPr>
      <w:r w:rsidRPr="00004120">
        <w:rPr>
          <w:color w:val="000000" w:themeColor="text1"/>
        </w:rPr>
        <w:t xml:space="preserve">Determination </w:t>
      </w:r>
      <w:r w:rsidR="00412E65" w:rsidRPr="00004120">
        <w:rPr>
          <w:color w:val="000000" w:themeColor="text1"/>
        </w:rPr>
        <w:t>13</w:t>
      </w:r>
      <w:r w:rsidR="00D568D6" w:rsidRPr="00004120">
        <w:rPr>
          <w:color w:val="000000" w:themeColor="text1"/>
        </w:rPr>
        <w:t xml:space="preserve"> </w:t>
      </w:r>
      <w:r w:rsidRPr="008879E2">
        <w:rPr>
          <w:color w:val="000000" w:themeColor="text1"/>
        </w:rPr>
        <w:t>of 20</w:t>
      </w:r>
      <w:r w:rsidR="006D45E1">
        <w:rPr>
          <w:color w:val="000000" w:themeColor="text1"/>
        </w:rPr>
        <w:t>2</w:t>
      </w:r>
      <w:r w:rsidR="00664F28">
        <w:rPr>
          <w:color w:val="000000" w:themeColor="text1"/>
        </w:rPr>
        <w:t>2</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1F0EA2">
      <w:pPr>
        <w:pStyle w:val="N-line3"/>
        <w:pBdr>
          <w:top w:val="single" w:sz="12" w:space="1" w:color="auto"/>
          <w:bottom w:val="none" w:sz="0" w:space="0" w:color="auto"/>
        </w:pBdr>
        <w:spacing w:before="120" w:after="60"/>
        <w:rPr>
          <w:szCs w:val="24"/>
        </w:rPr>
      </w:pPr>
    </w:p>
    <w:p w14:paraId="3C749929" w14:textId="77777777" w:rsidR="001F0EA2" w:rsidRPr="00294FE9" w:rsidRDefault="001F0EA2" w:rsidP="001F0EA2">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6024868B" w14:textId="6B3BB88A"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instrument</w:t>
      </w:r>
      <w:r w:rsidR="006D45E1">
        <w:rPr>
          <w:color w:val="000000" w:themeColor="text1"/>
          <w:szCs w:val="24"/>
        </w:rPr>
        <w:t xml:space="preserve"> is taken to have </w:t>
      </w:r>
      <w:r w:rsidR="000772F7">
        <w:rPr>
          <w:color w:val="000000" w:themeColor="text1"/>
          <w:szCs w:val="24"/>
        </w:rPr>
        <w:t>commence</w:t>
      </w:r>
      <w:r w:rsidR="006D45E1">
        <w:rPr>
          <w:color w:val="000000" w:themeColor="text1"/>
          <w:szCs w:val="24"/>
        </w:rPr>
        <w:t>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6D45E1">
        <w:rPr>
          <w:color w:val="000000" w:themeColor="text1"/>
          <w:szCs w:val="24"/>
        </w:rPr>
        <w:t>2</w:t>
      </w:r>
      <w:r w:rsidR="00664F28">
        <w:rPr>
          <w:color w:val="000000" w:themeColor="text1"/>
          <w:szCs w:val="24"/>
        </w:rPr>
        <w:t>2</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2B3ACA47"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1. </w:t>
      </w:r>
    </w:p>
    <w:p w14:paraId="19CBDAAA" w14:textId="77777777" w:rsidR="001F0EA2" w:rsidRPr="0077128F" w:rsidRDefault="001F0EA2" w:rsidP="001F0EA2">
      <w:pPr>
        <w:pStyle w:val="Heading4"/>
        <w:spacing w:before="120" w:after="60"/>
      </w:pPr>
      <w:r w:rsidRPr="0077128F">
        <w:t>Table 1: Remuneration rates for Part-time Holders of Public Office</w:t>
      </w:r>
    </w:p>
    <w:p w14:paraId="3C905E1C" w14:textId="77777777" w:rsidR="001F0EA2" w:rsidRPr="0077128F" w:rsidRDefault="001F0EA2" w:rsidP="001F0EA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12"/>
        <w:gridCol w:w="1681"/>
        <w:gridCol w:w="6"/>
        <w:gridCol w:w="1675"/>
        <w:gridCol w:w="13"/>
      </w:tblGrid>
      <w:tr w:rsidR="00B242F4" w:rsidRPr="0077128F" w14:paraId="3FDE59B6" w14:textId="34ABBE0B" w:rsidTr="0003415E">
        <w:trPr>
          <w:trHeight w:val="300"/>
          <w:tblHeader/>
          <w:jc w:val="center"/>
        </w:trPr>
        <w:tc>
          <w:tcPr>
            <w:tcW w:w="2830" w:type="dxa"/>
            <w:shd w:val="clear" w:color="auto" w:fill="auto"/>
            <w:hideMark/>
          </w:tcPr>
          <w:p w14:paraId="6C6144BA" w14:textId="77777777" w:rsidR="009E484F" w:rsidRPr="0077128F" w:rsidRDefault="009E484F" w:rsidP="001F0EA2">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1F0EA2">
            <w:pPr>
              <w:pStyle w:val="Heading5"/>
              <w:rPr>
                <w:b w:val="0"/>
                <w:color w:val="auto"/>
                <w:sz w:val="22"/>
                <w:szCs w:val="22"/>
              </w:rPr>
            </w:pPr>
            <w:r w:rsidRPr="0077128F">
              <w:rPr>
                <w:color w:val="auto"/>
                <w:sz w:val="22"/>
                <w:szCs w:val="22"/>
              </w:rPr>
              <w:t>Board, committee etc</w:t>
            </w:r>
          </w:p>
        </w:tc>
        <w:tc>
          <w:tcPr>
            <w:tcW w:w="2812" w:type="dxa"/>
            <w:shd w:val="clear" w:color="auto" w:fill="auto"/>
            <w:hideMark/>
          </w:tcPr>
          <w:p w14:paraId="2DBE43F5" w14:textId="77777777" w:rsidR="009E484F" w:rsidRPr="0077128F" w:rsidRDefault="009E484F" w:rsidP="001F0EA2">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1F0EA2">
            <w:pPr>
              <w:pStyle w:val="Heading5"/>
              <w:rPr>
                <w:color w:val="auto"/>
                <w:sz w:val="22"/>
                <w:szCs w:val="22"/>
              </w:rPr>
            </w:pPr>
            <w:r w:rsidRPr="0077128F">
              <w:rPr>
                <w:color w:val="auto"/>
                <w:sz w:val="22"/>
                <w:szCs w:val="22"/>
              </w:rPr>
              <w:t xml:space="preserve">Position </w:t>
            </w:r>
          </w:p>
        </w:tc>
        <w:tc>
          <w:tcPr>
            <w:tcW w:w="1687" w:type="dxa"/>
            <w:gridSpan w:val="2"/>
            <w:shd w:val="clear" w:color="auto" w:fill="auto"/>
            <w:noWrap/>
            <w:hideMark/>
          </w:tcPr>
          <w:p w14:paraId="33405F7B" w14:textId="1F9B5CF5" w:rsidR="009E484F" w:rsidRPr="0077128F" w:rsidRDefault="009E484F" w:rsidP="002C658A">
            <w:pPr>
              <w:pStyle w:val="Heading5"/>
              <w:contextualSpacing/>
              <w:rPr>
                <w:color w:val="auto"/>
                <w:sz w:val="22"/>
                <w:szCs w:val="22"/>
              </w:rPr>
            </w:pPr>
            <w:r w:rsidRPr="0077128F">
              <w:rPr>
                <w:color w:val="auto"/>
                <w:sz w:val="22"/>
                <w:szCs w:val="22"/>
              </w:rPr>
              <w:t>COLUMN 3</w:t>
            </w:r>
          </w:p>
          <w:p w14:paraId="479BD244" w14:textId="2649DCDA" w:rsidR="009E484F" w:rsidRPr="0077128F" w:rsidRDefault="005C15D6" w:rsidP="002C658A">
            <w:pPr>
              <w:pStyle w:val="Heading5"/>
              <w:contextualSpacing/>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688" w:type="dxa"/>
            <w:gridSpan w:val="2"/>
          </w:tcPr>
          <w:p w14:paraId="3BA686BC" w14:textId="212146EE" w:rsidR="009E484F" w:rsidRPr="0077128F" w:rsidRDefault="009E484F" w:rsidP="002C658A">
            <w:pPr>
              <w:pStyle w:val="Heading5"/>
              <w:contextualSpacing/>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B242F4" w:rsidRPr="0077128F" w14:paraId="76FD9D80" w14:textId="7E8BB2DC" w:rsidTr="0003415E">
        <w:trPr>
          <w:trHeight w:val="330"/>
          <w:jc w:val="center"/>
        </w:trPr>
        <w:tc>
          <w:tcPr>
            <w:tcW w:w="2830" w:type="dxa"/>
            <w:shd w:val="clear" w:color="auto" w:fill="auto"/>
          </w:tcPr>
          <w:p w14:paraId="237F1778" w14:textId="2DEF5483" w:rsidR="009E484F" w:rsidRPr="0077128F" w:rsidRDefault="009E484F" w:rsidP="001F0EA2">
            <w:pPr>
              <w:rPr>
                <w:sz w:val="22"/>
                <w:szCs w:val="22"/>
                <w:lang w:eastAsia="en-AU"/>
              </w:rPr>
            </w:pPr>
            <w:r w:rsidRPr="0077128F">
              <w:rPr>
                <w:sz w:val="22"/>
                <w:szCs w:val="22"/>
                <w:lang w:eastAsia="en-AU"/>
              </w:rPr>
              <w:t>ACT Region Catchment Management Coordination Group</w:t>
            </w:r>
          </w:p>
        </w:tc>
        <w:tc>
          <w:tcPr>
            <w:tcW w:w="2812" w:type="dxa"/>
            <w:shd w:val="clear" w:color="auto" w:fill="auto"/>
          </w:tcPr>
          <w:p w14:paraId="5DB4184E" w14:textId="32F88239" w:rsidR="009E484F" w:rsidRPr="0077128F" w:rsidRDefault="009E484F" w:rsidP="001F0EA2">
            <w:pPr>
              <w:rPr>
                <w:sz w:val="22"/>
                <w:szCs w:val="22"/>
                <w:lang w:eastAsia="en-AU"/>
              </w:rPr>
            </w:pPr>
            <w:r w:rsidRPr="0077128F">
              <w:rPr>
                <w:sz w:val="22"/>
                <w:szCs w:val="22"/>
                <w:lang w:eastAsia="en-AU"/>
              </w:rPr>
              <w:t xml:space="preserve">Chair </w:t>
            </w:r>
          </w:p>
          <w:p w14:paraId="61154DA3" w14:textId="02A884A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A1AB10A" w14:textId="17C09906" w:rsidR="00CE1EFA" w:rsidRPr="0077128F" w:rsidRDefault="00CE1EFA" w:rsidP="002C658A">
            <w:pPr>
              <w:jc w:val="center"/>
              <w:rPr>
                <w:bCs/>
                <w:sz w:val="22"/>
                <w:szCs w:val="22"/>
                <w:lang w:eastAsia="en-AU"/>
              </w:rPr>
            </w:pPr>
            <w:r w:rsidRPr="0077128F">
              <w:rPr>
                <w:bCs/>
                <w:sz w:val="22"/>
                <w:szCs w:val="22"/>
              </w:rPr>
              <w:t>$</w:t>
            </w:r>
            <w:r w:rsidR="00664F28">
              <w:rPr>
                <w:bCs/>
                <w:sz w:val="22"/>
                <w:szCs w:val="22"/>
              </w:rPr>
              <w:t>590</w:t>
            </w:r>
          </w:p>
          <w:p w14:paraId="6A09047A" w14:textId="17FAA390" w:rsidR="009E484F" w:rsidRPr="0077128F" w:rsidRDefault="00CE1EFA" w:rsidP="000C1091">
            <w:pPr>
              <w:jc w:val="center"/>
              <w:rPr>
                <w:bCs/>
                <w:sz w:val="22"/>
                <w:szCs w:val="22"/>
                <w:lang w:eastAsia="en-AU"/>
              </w:rPr>
            </w:pPr>
            <w:r w:rsidRPr="0077128F">
              <w:rPr>
                <w:bCs/>
                <w:sz w:val="22"/>
                <w:szCs w:val="22"/>
              </w:rPr>
              <w:t>$</w:t>
            </w:r>
            <w:r w:rsidR="00664F28">
              <w:rPr>
                <w:bCs/>
                <w:sz w:val="22"/>
                <w:szCs w:val="22"/>
              </w:rPr>
              <w:t>505</w:t>
            </w:r>
          </w:p>
        </w:tc>
        <w:tc>
          <w:tcPr>
            <w:tcW w:w="1688" w:type="dxa"/>
            <w:gridSpan w:val="2"/>
            <w:shd w:val="clear" w:color="auto" w:fill="auto"/>
          </w:tcPr>
          <w:p w14:paraId="1F1A4C6C" w14:textId="77777777" w:rsidR="009E484F" w:rsidRPr="0077128F" w:rsidRDefault="00D81DFD" w:rsidP="002C658A">
            <w:pPr>
              <w:jc w:val="center"/>
              <w:rPr>
                <w:sz w:val="22"/>
                <w:szCs w:val="22"/>
                <w:lang w:eastAsia="en-AU"/>
              </w:rPr>
            </w:pPr>
            <w:r w:rsidRPr="0077128F">
              <w:rPr>
                <w:sz w:val="22"/>
                <w:szCs w:val="22"/>
                <w:lang w:eastAsia="en-AU"/>
              </w:rPr>
              <w:t>-</w:t>
            </w:r>
          </w:p>
          <w:p w14:paraId="50599696" w14:textId="4EF286E0" w:rsidR="00D81DFD" w:rsidRPr="0077128F" w:rsidRDefault="00D81DFD" w:rsidP="002C658A">
            <w:pPr>
              <w:jc w:val="center"/>
              <w:rPr>
                <w:strike/>
                <w:sz w:val="22"/>
                <w:szCs w:val="22"/>
                <w:lang w:eastAsia="en-AU"/>
              </w:rPr>
            </w:pPr>
            <w:r w:rsidRPr="0077128F">
              <w:rPr>
                <w:sz w:val="22"/>
                <w:szCs w:val="22"/>
                <w:lang w:eastAsia="en-AU"/>
              </w:rPr>
              <w:t>-</w:t>
            </w:r>
          </w:p>
        </w:tc>
      </w:tr>
      <w:tr w:rsidR="00646316" w:rsidRPr="0077128F" w14:paraId="4F2042B0" w14:textId="77777777" w:rsidTr="0003415E">
        <w:trPr>
          <w:trHeight w:val="594"/>
          <w:jc w:val="center"/>
        </w:trPr>
        <w:tc>
          <w:tcPr>
            <w:tcW w:w="2830" w:type="dxa"/>
            <w:shd w:val="clear" w:color="auto" w:fill="auto"/>
          </w:tcPr>
          <w:p w14:paraId="5CAB47D9" w14:textId="0F6F81A2" w:rsidR="00646316" w:rsidRPr="0077128F" w:rsidRDefault="00646316" w:rsidP="00D81DFD">
            <w:pPr>
              <w:rPr>
                <w:sz w:val="22"/>
                <w:szCs w:val="22"/>
                <w:lang w:eastAsia="en-AU"/>
              </w:rPr>
            </w:pPr>
            <w:r w:rsidRPr="0077128F">
              <w:rPr>
                <w:sz w:val="22"/>
                <w:szCs w:val="22"/>
                <w:lang w:eastAsia="en-AU"/>
              </w:rPr>
              <w:t>ACT Natural Resource Management (NRM) Council</w:t>
            </w:r>
          </w:p>
        </w:tc>
        <w:tc>
          <w:tcPr>
            <w:tcW w:w="2812" w:type="dxa"/>
            <w:shd w:val="clear" w:color="auto" w:fill="auto"/>
          </w:tcPr>
          <w:p w14:paraId="577D306A" w14:textId="77777777" w:rsidR="00646316" w:rsidRPr="0077128F" w:rsidRDefault="00646316" w:rsidP="001F0EA2">
            <w:pPr>
              <w:rPr>
                <w:sz w:val="22"/>
                <w:szCs w:val="22"/>
                <w:lang w:eastAsia="en-AU"/>
              </w:rPr>
            </w:pPr>
            <w:r w:rsidRPr="0077128F">
              <w:rPr>
                <w:sz w:val="22"/>
                <w:szCs w:val="22"/>
                <w:lang w:eastAsia="en-AU"/>
              </w:rPr>
              <w:t xml:space="preserve">Chair </w:t>
            </w:r>
          </w:p>
          <w:p w14:paraId="31F037FC" w14:textId="78B73F13"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0C0AB2A" w14:textId="77777777" w:rsidR="00664F28" w:rsidRPr="0077128F" w:rsidRDefault="00664F28" w:rsidP="00664F28">
            <w:pPr>
              <w:jc w:val="center"/>
              <w:rPr>
                <w:bCs/>
                <w:sz w:val="22"/>
                <w:szCs w:val="22"/>
                <w:lang w:eastAsia="en-AU"/>
              </w:rPr>
            </w:pPr>
            <w:r w:rsidRPr="0077128F">
              <w:rPr>
                <w:bCs/>
                <w:sz w:val="22"/>
                <w:szCs w:val="22"/>
              </w:rPr>
              <w:t>$</w:t>
            </w:r>
            <w:r>
              <w:rPr>
                <w:bCs/>
                <w:sz w:val="22"/>
                <w:szCs w:val="22"/>
              </w:rPr>
              <w:t>590</w:t>
            </w:r>
          </w:p>
          <w:p w14:paraId="67A08474" w14:textId="0A735BB4" w:rsidR="00646316" w:rsidRPr="0077128F" w:rsidRDefault="00664F28" w:rsidP="00664F28">
            <w:pPr>
              <w:jc w:val="center"/>
              <w:rPr>
                <w:bCs/>
                <w:sz w:val="22"/>
                <w:szCs w:val="22"/>
                <w:lang w:eastAsia="en-AU"/>
              </w:rPr>
            </w:pPr>
            <w:r w:rsidRPr="0077128F">
              <w:rPr>
                <w:bCs/>
                <w:sz w:val="22"/>
                <w:szCs w:val="22"/>
              </w:rPr>
              <w:t>$</w:t>
            </w:r>
            <w:r>
              <w:rPr>
                <w:bCs/>
                <w:sz w:val="22"/>
                <w:szCs w:val="22"/>
              </w:rPr>
              <w:t>505</w:t>
            </w:r>
          </w:p>
        </w:tc>
        <w:tc>
          <w:tcPr>
            <w:tcW w:w="1688" w:type="dxa"/>
            <w:gridSpan w:val="2"/>
            <w:shd w:val="clear" w:color="auto" w:fill="auto"/>
          </w:tcPr>
          <w:p w14:paraId="0BDCFA9C" w14:textId="77777777" w:rsidR="00646316" w:rsidRPr="0077128F" w:rsidRDefault="00646316" w:rsidP="002C658A">
            <w:pPr>
              <w:jc w:val="center"/>
            </w:pPr>
            <w:r w:rsidRPr="0077128F">
              <w:t>-</w:t>
            </w:r>
          </w:p>
          <w:p w14:paraId="1406420A" w14:textId="3786EF7A" w:rsidR="00646316" w:rsidRPr="0077128F" w:rsidRDefault="00646316" w:rsidP="002C658A">
            <w:pPr>
              <w:jc w:val="center"/>
            </w:pPr>
            <w:r w:rsidRPr="0077128F">
              <w:t>-</w:t>
            </w:r>
          </w:p>
        </w:tc>
      </w:tr>
      <w:tr w:rsidR="0003415E" w:rsidRPr="0077128F" w14:paraId="20E29067" w14:textId="77777777" w:rsidTr="0003415E">
        <w:trPr>
          <w:trHeight w:val="594"/>
          <w:jc w:val="center"/>
        </w:trPr>
        <w:tc>
          <w:tcPr>
            <w:tcW w:w="2830" w:type="dxa"/>
            <w:shd w:val="clear" w:color="auto" w:fill="auto"/>
          </w:tcPr>
          <w:p w14:paraId="284CF5CA" w14:textId="1352734A" w:rsidR="0003415E" w:rsidRPr="0077128F" w:rsidRDefault="0003415E" w:rsidP="00D81DFD">
            <w:pPr>
              <w:rPr>
                <w:sz w:val="22"/>
                <w:szCs w:val="22"/>
                <w:lang w:eastAsia="en-AU"/>
              </w:rPr>
            </w:pPr>
            <w:r w:rsidRPr="0077128F">
              <w:rPr>
                <w:sz w:val="22"/>
                <w:szCs w:val="22"/>
                <w:lang w:eastAsia="en-AU"/>
              </w:rPr>
              <w:t>ACT Judicial Council</w:t>
            </w:r>
          </w:p>
        </w:tc>
        <w:tc>
          <w:tcPr>
            <w:tcW w:w="2812" w:type="dxa"/>
            <w:shd w:val="clear" w:color="auto" w:fill="auto"/>
          </w:tcPr>
          <w:p w14:paraId="2B7E0CE4" w14:textId="31B73255" w:rsidR="0003415E" w:rsidRPr="0077128F" w:rsidRDefault="0003415E" w:rsidP="001F0EA2">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687" w:type="dxa"/>
            <w:gridSpan w:val="2"/>
            <w:shd w:val="clear" w:color="auto" w:fill="auto"/>
            <w:noWrap/>
          </w:tcPr>
          <w:p w14:paraId="78EA9F60" w14:textId="185DF758" w:rsidR="0003415E" w:rsidRPr="0077128F" w:rsidRDefault="000C1091" w:rsidP="002C658A">
            <w:pPr>
              <w:jc w:val="center"/>
              <w:rPr>
                <w:bCs/>
                <w:sz w:val="22"/>
                <w:szCs w:val="22"/>
              </w:rPr>
            </w:pPr>
            <w:r>
              <w:rPr>
                <w:bCs/>
                <w:sz w:val="22"/>
                <w:szCs w:val="22"/>
              </w:rPr>
              <w:t>$</w:t>
            </w:r>
            <w:r w:rsidR="00B353FA" w:rsidRPr="0077128F">
              <w:rPr>
                <w:bCs/>
                <w:sz w:val="22"/>
                <w:szCs w:val="22"/>
              </w:rPr>
              <w:t>8</w:t>
            </w:r>
            <w:r w:rsidR="00664F28">
              <w:rPr>
                <w:bCs/>
                <w:sz w:val="22"/>
                <w:szCs w:val="22"/>
              </w:rPr>
              <w:t>25</w:t>
            </w:r>
          </w:p>
          <w:p w14:paraId="1DC15DBF" w14:textId="769612DE" w:rsidR="0003415E" w:rsidRPr="0077128F" w:rsidRDefault="000C1091" w:rsidP="002C658A">
            <w:pPr>
              <w:jc w:val="center"/>
              <w:rPr>
                <w:bCs/>
                <w:sz w:val="22"/>
                <w:szCs w:val="22"/>
              </w:rPr>
            </w:pPr>
            <w:r>
              <w:rPr>
                <w:bCs/>
                <w:sz w:val="22"/>
                <w:szCs w:val="22"/>
              </w:rPr>
              <w:t>$</w:t>
            </w:r>
            <w:r w:rsidR="00B353FA" w:rsidRPr="0077128F">
              <w:rPr>
                <w:bCs/>
                <w:sz w:val="22"/>
                <w:szCs w:val="22"/>
              </w:rPr>
              <w:t>8</w:t>
            </w:r>
            <w:r w:rsidR="00664F28">
              <w:rPr>
                <w:bCs/>
                <w:sz w:val="22"/>
                <w:szCs w:val="22"/>
              </w:rPr>
              <w:t>25</w:t>
            </w:r>
          </w:p>
        </w:tc>
        <w:tc>
          <w:tcPr>
            <w:tcW w:w="1688" w:type="dxa"/>
            <w:gridSpan w:val="2"/>
            <w:shd w:val="clear" w:color="auto" w:fill="auto"/>
          </w:tcPr>
          <w:p w14:paraId="1E3636D7" w14:textId="77777777" w:rsidR="0003415E" w:rsidRPr="0077128F" w:rsidRDefault="0003415E" w:rsidP="002C658A">
            <w:pPr>
              <w:jc w:val="center"/>
            </w:pPr>
          </w:p>
        </w:tc>
      </w:tr>
      <w:tr w:rsidR="00646316" w:rsidRPr="0077128F" w14:paraId="41D50571" w14:textId="17F2CB4A" w:rsidTr="0003415E">
        <w:trPr>
          <w:trHeight w:val="844"/>
          <w:jc w:val="center"/>
        </w:trPr>
        <w:tc>
          <w:tcPr>
            <w:tcW w:w="2830" w:type="dxa"/>
            <w:shd w:val="clear" w:color="auto" w:fill="auto"/>
          </w:tcPr>
          <w:p w14:paraId="0757415B" w14:textId="7231B0D3" w:rsidR="00646316" w:rsidRPr="0077128F" w:rsidRDefault="00646316" w:rsidP="001F0EA2">
            <w:pPr>
              <w:rPr>
                <w:sz w:val="22"/>
                <w:szCs w:val="22"/>
                <w:lang w:eastAsia="en-AU"/>
              </w:rPr>
            </w:pPr>
            <w:r w:rsidRPr="0077128F">
              <w:rPr>
                <w:sz w:val="22"/>
                <w:szCs w:val="22"/>
                <w:lang w:eastAsia="en-AU"/>
              </w:rPr>
              <w:t>Aboriginal and Torres Strait Islander Elected Body</w:t>
            </w:r>
          </w:p>
        </w:tc>
        <w:tc>
          <w:tcPr>
            <w:tcW w:w="2812" w:type="dxa"/>
            <w:shd w:val="clear" w:color="auto" w:fill="auto"/>
          </w:tcPr>
          <w:p w14:paraId="1A10D9A6" w14:textId="77777777" w:rsidR="00646316" w:rsidRPr="0077128F" w:rsidRDefault="00646316" w:rsidP="00B04093">
            <w:pPr>
              <w:rPr>
                <w:sz w:val="22"/>
                <w:szCs w:val="22"/>
                <w:lang w:eastAsia="en-AU"/>
              </w:rPr>
            </w:pPr>
            <w:r w:rsidRPr="0077128F">
              <w:rPr>
                <w:sz w:val="22"/>
                <w:szCs w:val="22"/>
                <w:lang w:eastAsia="en-AU"/>
              </w:rPr>
              <w:t xml:space="preserve">Chair </w:t>
            </w:r>
          </w:p>
          <w:p w14:paraId="137A6F14" w14:textId="77777777" w:rsidR="00646316" w:rsidRPr="0077128F" w:rsidRDefault="00646316" w:rsidP="001F0EA2">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D08A5" w14:textId="77777777" w:rsidR="00646316" w:rsidRPr="0077128F" w:rsidRDefault="00646316" w:rsidP="002C658A">
            <w:pPr>
              <w:jc w:val="center"/>
              <w:rPr>
                <w:sz w:val="22"/>
                <w:szCs w:val="22"/>
                <w:lang w:eastAsia="en-AU"/>
              </w:rPr>
            </w:pPr>
            <w:r w:rsidRPr="0077128F">
              <w:rPr>
                <w:sz w:val="22"/>
                <w:szCs w:val="22"/>
                <w:lang w:eastAsia="en-AU"/>
              </w:rPr>
              <w:t>-</w:t>
            </w:r>
          </w:p>
          <w:p w14:paraId="0321A00D" w14:textId="77777777" w:rsidR="00646316" w:rsidRPr="0077128F" w:rsidRDefault="00646316" w:rsidP="002C658A">
            <w:pPr>
              <w:jc w:val="center"/>
              <w:rPr>
                <w:sz w:val="22"/>
                <w:szCs w:val="22"/>
                <w:lang w:eastAsia="en-AU"/>
              </w:rPr>
            </w:pPr>
            <w:r w:rsidRPr="0077128F">
              <w:rPr>
                <w:sz w:val="22"/>
                <w:szCs w:val="22"/>
                <w:lang w:eastAsia="en-AU"/>
              </w:rPr>
              <w:t>-</w:t>
            </w:r>
          </w:p>
          <w:p w14:paraId="0170074F" w14:textId="3C05BABC" w:rsidR="00646316" w:rsidRPr="0077128F" w:rsidRDefault="00646316" w:rsidP="002C658A">
            <w:pPr>
              <w:jc w:val="center"/>
              <w:rPr>
                <w:strike/>
                <w:sz w:val="22"/>
                <w:szCs w:val="22"/>
                <w:lang w:eastAsia="en-AU"/>
              </w:rPr>
            </w:pPr>
            <w:r w:rsidRPr="0077128F">
              <w:rPr>
                <w:sz w:val="22"/>
                <w:szCs w:val="22"/>
                <w:lang w:eastAsia="en-AU"/>
              </w:rPr>
              <w:t>-</w:t>
            </w:r>
          </w:p>
        </w:tc>
        <w:tc>
          <w:tcPr>
            <w:tcW w:w="1688" w:type="dxa"/>
            <w:gridSpan w:val="2"/>
            <w:shd w:val="clear" w:color="auto" w:fill="auto"/>
          </w:tcPr>
          <w:p w14:paraId="6186BE33" w14:textId="203A9D93"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3</w:t>
            </w:r>
            <w:r w:rsidR="00296751">
              <w:rPr>
                <w:bCs/>
                <w:color w:val="000000" w:themeColor="text1"/>
                <w:sz w:val="22"/>
                <w:szCs w:val="22"/>
              </w:rPr>
              <w:t>4</w:t>
            </w:r>
            <w:r w:rsidR="000C1091">
              <w:rPr>
                <w:bCs/>
                <w:color w:val="000000" w:themeColor="text1"/>
                <w:sz w:val="22"/>
                <w:szCs w:val="22"/>
              </w:rPr>
              <w:t>,40</w:t>
            </w:r>
            <w:r w:rsidR="00296751">
              <w:rPr>
                <w:bCs/>
                <w:color w:val="000000" w:themeColor="text1"/>
                <w:sz w:val="22"/>
                <w:szCs w:val="22"/>
              </w:rPr>
              <w:t>5</w:t>
            </w:r>
          </w:p>
          <w:p w14:paraId="093BA051" w14:textId="3F1584FE"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2</w:t>
            </w:r>
            <w:r w:rsidR="00296751">
              <w:rPr>
                <w:bCs/>
                <w:color w:val="000000" w:themeColor="text1"/>
                <w:sz w:val="22"/>
                <w:szCs w:val="22"/>
              </w:rPr>
              <w:t>7</w:t>
            </w:r>
            <w:r w:rsidR="000C1091">
              <w:rPr>
                <w:bCs/>
                <w:color w:val="000000" w:themeColor="text1"/>
                <w:sz w:val="22"/>
                <w:szCs w:val="22"/>
              </w:rPr>
              <w:t>,</w:t>
            </w:r>
            <w:r w:rsidR="00296751">
              <w:rPr>
                <w:bCs/>
                <w:color w:val="000000" w:themeColor="text1"/>
                <w:sz w:val="22"/>
                <w:szCs w:val="22"/>
              </w:rPr>
              <w:t>5</w:t>
            </w:r>
            <w:r w:rsidR="000C1091">
              <w:rPr>
                <w:bCs/>
                <w:color w:val="000000" w:themeColor="text1"/>
                <w:sz w:val="22"/>
                <w:szCs w:val="22"/>
              </w:rPr>
              <w:t>3</w:t>
            </w:r>
            <w:r w:rsidR="00296751">
              <w:rPr>
                <w:bCs/>
                <w:color w:val="000000" w:themeColor="text1"/>
                <w:sz w:val="22"/>
                <w:szCs w:val="22"/>
              </w:rPr>
              <w:t>5</w:t>
            </w:r>
          </w:p>
          <w:p w14:paraId="586DA4B5" w14:textId="50EDC965" w:rsidR="00646316" w:rsidRPr="00E074DF" w:rsidRDefault="00BC540D" w:rsidP="000C1091">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1</w:t>
            </w:r>
            <w:r w:rsidR="00296751">
              <w:rPr>
                <w:bCs/>
                <w:color w:val="000000" w:themeColor="text1"/>
                <w:sz w:val="22"/>
                <w:szCs w:val="22"/>
              </w:rPr>
              <w:t>8</w:t>
            </w:r>
            <w:r w:rsidR="000C1091">
              <w:rPr>
                <w:bCs/>
                <w:color w:val="000000" w:themeColor="text1"/>
                <w:sz w:val="22"/>
                <w:szCs w:val="22"/>
              </w:rPr>
              <w:t>,</w:t>
            </w:r>
            <w:r w:rsidR="00296751">
              <w:rPr>
                <w:bCs/>
                <w:color w:val="000000" w:themeColor="text1"/>
                <w:sz w:val="22"/>
                <w:szCs w:val="22"/>
              </w:rPr>
              <w:t>270</w:t>
            </w:r>
          </w:p>
        </w:tc>
      </w:tr>
      <w:tr w:rsidR="00B242F4" w:rsidRPr="0077128F" w14:paraId="5C42C3B6" w14:textId="015490E5" w:rsidTr="0003415E">
        <w:trPr>
          <w:trHeight w:val="330"/>
          <w:jc w:val="center"/>
        </w:trPr>
        <w:tc>
          <w:tcPr>
            <w:tcW w:w="2830" w:type="dxa"/>
            <w:shd w:val="clear" w:color="auto" w:fill="auto"/>
          </w:tcPr>
          <w:p w14:paraId="0E9494A2" w14:textId="77777777" w:rsidR="009E484F" w:rsidRPr="0077128F" w:rsidRDefault="009E484F" w:rsidP="001F0EA2">
            <w:pPr>
              <w:rPr>
                <w:sz w:val="22"/>
                <w:szCs w:val="22"/>
                <w:lang w:eastAsia="en-AU"/>
              </w:rPr>
            </w:pPr>
            <w:r w:rsidRPr="0077128F">
              <w:rPr>
                <w:sz w:val="22"/>
                <w:szCs w:val="22"/>
                <w:lang w:eastAsia="en-AU"/>
              </w:rPr>
              <w:t>Animal Welfare Advisory Committee</w:t>
            </w:r>
          </w:p>
        </w:tc>
        <w:tc>
          <w:tcPr>
            <w:tcW w:w="2812" w:type="dxa"/>
            <w:shd w:val="clear" w:color="auto" w:fill="auto"/>
          </w:tcPr>
          <w:p w14:paraId="7516CF1C" w14:textId="293B8D49" w:rsidR="009E484F" w:rsidRPr="0077128F" w:rsidRDefault="009E484F" w:rsidP="001F0EA2">
            <w:pPr>
              <w:rPr>
                <w:sz w:val="22"/>
                <w:szCs w:val="22"/>
                <w:lang w:eastAsia="en-AU"/>
              </w:rPr>
            </w:pPr>
            <w:r w:rsidRPr="0077128F">
              <w:rPr>
                <w:sz w:val="22"/>
                <w:szCs w:val="22"/>
                <w:lang w:eastAsia="en-AU"/>
              </w:rPr>
              <w:t xml:space="preserve">Chair </w:t>
            </w:r>
          </w:p>
          <w:p w14:paraId="07145139" w14:textId="6CA7E1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C21A0B1"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16588068" w14:textId="211E61A5" w:rsidR="009E484F" w:rsidRPr="0077128F" w:rsidRDefault="00296751" w:rsidP="00296751">
            <w:pPr>
              <w:jc w:val="center"/>
              <w:rPr>
                <w:strike/>
                <w:sz w:val="22"/>
                <w:szCs w:val="22"/>
                <w:lang w:eastAsia="en-AU"/>
              </w:rPr>
            </w:pPr>
            <w:r w:rsidRPr="0077128F">
              <w:rPr>
                <w:bCs/>
                <w:sz w:val="22"/>
                <w:szCs w:val="22"/>
              </w:rPr>
              <w:t>$</w:t>
            </w:r>
            <w:r>
              <w:rPr>
                <w:bCs/>
                <w:sz w:val="22"/>
                <w:szCs w:val="22"/>
              </w:rPr>
              <w:t>505</w:t>
            </w:r>
          </w:p>
        </w:tc>
        <w:tc>
          <w:tcPr>
            <w:tcW w:w="1688" w:type="dxa"/>
            <w:gridSpan w:val="2"/>
            <w:shd w:val="clear" w:color="auto" w:fill="auto"/>
          </w:tcPr>
          <w:p w14:paraId="716995FA"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03415E">
        <w:trPr>
          <w:trHeight w:val="330"/>
          <w:jc w:val="center"/>
        </w:trPr>
        <w:tc>
          <w:tcPr>
            <w:tcW w:w="2830" w:type="dxa"/>
            <w:shd w:val="clear" w:color="auto" w:fill="auto"/>
          </w:tcPr>
          <w:p w14:paraId="26BDAFC9" w14:textId="7AAB84FD" w:rsidR="009E484F" w:rsidRPr="0077128F" w:rsidRDefault="009E484F" w:rsidP="001F0EA2">
            <w:pPr>
              <w:rPr>
                <w:sz w:val="22"/>
                <w:szCs w:val="22"/>
                <w:lang w:eastAsia="en-AU"/>
              </w:rPr>
            </w:pPr>
            <w:r w:rsidRPr="0077128F">
              <w:rPr>
                <w:sz w:val="22"/>
                <w:szCs w:val="22"/>
                <w:lang w:eastAsia="en-AU"/>
              </w:rPr>
              <w:t>Architects Board</w:t>
            </w:r>
          </w:p>
        </w:tc>
        <w:tc>
          <w:tcPr>
            <w:tcW w:w="2812" w:type="dxa"/>
            <w:shd w:val="clear" w:color="auto" w:fill="auto"/>
          </w:tcPr>
          <w:p w14:paraId="560D8AE2" w14:textId="7F7B3CDE" w:rsidR="009E484F" w:rsidRPr="0077128F" w:rsidRDefault="009E484F" w:rsidP="001F0EA2">
            <w:pPr>
              <w:rPr>
                <w:sz w:val="22"/>
                <w:szCs w:val="22"/>
                <w:lang w:eastAsia="en-AU"/>
              </w:rPr>
            </w:pPr>
            <w:r w:rsidRPr="0077128F">
              <w:rPr>
                <w:sz w:val="22"/>
                <w:szCs w:val="22"/>
                <w:lang w:eastAsia="en-AU"/>
              </w:rPr>
              <w:t xml:space="preserve">Chair </w:t>
            </w:r>
          </w:p>
          <w:p w14:paraId="6095EA46" w14:textId="35DB1CD7"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84B63A3"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0528C444" w14:textId="5F3A59C7" w:rsidR="009E484F" w:rsidRPr="0077128F" w:rsidRDefault="00296751" w:rsidP="00296751">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766B274D" w14:textId="77777777" w:rsidR="009E484F" w:rsidRPr="0077128F" w:rsidRDefault="002C658A" w:rsidP="002C658A">
            <w:pPr>
              <w:jc w:val="center"/>
              <w:rPr>
                <w:sz w:val="22"/>
                <w:szCs w:val="22"/>
                <w:lang w:eastAsia="en-AU"/>
              </w:rPr>
            </w:pPr>
            <w:r w:rsidRPr="0077128F">
              <w:rPr>
                <w:sz w:val="22"/>
                <w:szCs w:val="22"/>
                <w:lang w:eastAsia="en-AU"/>
              </w:rPr>
              <w:t>-</w:t>
            </w:r>
          </w:p>
          <w:p w14:paraId="50D893FE" w14:textId="4252DFF7"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17771FE7" w14:textId="1FB25024" w:rsidTr="0003415E">
        <w:trPr>
          <w:trHeight w:val="330"/>
          <w:jc w:val="center"/>
        </w:trPr>
        <w:tc>
          <w:tcPr>
            <w:tcW w:w="2830" w:type="dxa"/>
            <w:shd w:val="clear" w:color="auto" w:fill="auto"/>
            <w:hideMark/>
          </w:tcPr>
          <w:p w14:paraId="3C4D189D" w14:textId="07CF99FB" w:rsidR="009E484F" w:rsidRPr="0077128F" w:rsidRDefault="009E484F" w:rsidP="001F0EA2">
            <w:pPr>
              <w:rPr>
                <w:sz w:val="22"/>
                <w:szCs w:val="22"/>
                <w:lang w:eastAsia="en-AU"/>
              </w:rPr>
            </w:pPr>
            <w:r w:rsidRPr="0077128F">
              <w:rPr>
                <w:sz w:val="22"/>
                <w:szCs w:val="22"/>
                <w:lang w:eastAsia="en-AU"/>
              </w:rPr>
              <w:t>Board of Senior Secondary Studies</w:t>
            </w:r>
          </w:p>
        </w:tc>
        <w:tc>
          <w:tcPr>
            <w:tcW w:w="2812" w:type="dxa"/>
            <w:shd w:val="clear" w:color="auto" w:fill="auto"/>
            <w:hideMark/>
          </w:tcPr>
          <w:p w14:paraId="74B612A7" w14:textId="1CC2EA61" w:rsidR="009E484F" w:rsidRPr="0077128F" w:rsidRDefault="008306EE"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07F685C9" w14:textId="0066DFE6"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6B938E4" w14:textId="7129BC6C" w:rsidR="009E484F" w:rsidRPr="0077128F" w:rsidRDefault="00CE1EFA" w:rsidP="000C1091">
            <w:pPr>
              <w:jc w:val="center"/>
              <w:rPr>
                <w:bCs/>
                <w:sz w:val="22"/>
                <w:szCs w:val="22"/>
              </w:rPr>
            </w:pPr>
            <w:r w:rsidRPr="0077128F">
              <w:rPr>
                <w:bCs/>
                <w:sz w:val="22"/>
                <w:szCs w:val="22"/>
              </w:rPr>
              <w:t>$</w:t>
            </w:r>
            <w:r w:rsidR="00BC540D" w:rsidRPr="0077128F">
              <w:rPr>
                <w:bCs/>
                <w:sz w:val="22"/>
                <w:szCs w:val="22"/>
              </w:rPr>
              <w:t>3</w:t>
            </w:r>
            <w:r w:rsidR="00296751">
              <w:rPr>
                <w:bCs/>
                <w:sz w:val="22"/>
                <w:szCs w:val="22"/>
              </w:rPr>
              <w:t>1</w:t>
            </w:r>
            <w:r w:rsidR="00BC540D" w:rsidRPr="0077128F">
              <w:rPr>
                <w:bCs/>
                <w:sz w:val="22"/>
                <w:szCs w:val="22"/>
              </w:rPr>
              <w:t>,</w:t>
            </w:r>
            <w:r w:rsidR="00296751">
              <w:rPr>
                <w:bCs/>
                <w:sz w:val="22"/>
                <w:szCs w:val="22"/>
              </w:rPr>
              <w:t>640</w:t>
            </w:r>
          </w:p>
        </w:tc>
      </w:tr>
      <w:tr w:rsidR="00B242F4" w:rsidRPr="0077128F" w14:paraId="52DBF891" w14:textId="5AC84510" w:rsidTr="0003415E">
        <w:trPr>
          <w:trHeight w:val="300"/>
          <w:jc w:val="center"/>
        </w:trPr>
        <w:tc>
          <w:tcPr>
            <w:tcW w:w="2830" w:type="dxa"/>
            <w:shd w:val="clear" w:color="auto" w:fill="auto"/>
            <w:hideMark/>
          </w:tcPr>
          <w:p w14:paraId="012153D7" w14:textId="77777777" w:rsidR="009E484F" w:rsidRPr="0077128F" w:rsidRDefault="009E484F" w:rsidP="001F0EA2">
            <w:pPr>
              <w:rPr>
                <w:sz w:val="22"/>
                <w:szCs w:val="22"/>
                <w:lang w:eastAsia="en-AU"/>
              </w:rPr>
            </w:pPr>
            <w:r w:rsidRPr="0077128F">
              <w:rPr>
                <w:sz w:val="22"/>
                <w:szCs w:val="22"/>
                <w:lang w:eastAsia="en-AU"/>
              </w:rPr>
              <w:t>Brand Strategic Advisory Board</w:t>
            </w:r>
          </w:p>
        </w:tc>
        <w:tc>
          <w:tcPr>
            <w:tcW w:w="2812" w:type="dxa"/>
            <w:shd w:val="clear" w:color="auto" w:fill="auto"/>
            <w:hideMark/>
          </w:tcPr>
          <w:p w14:paraId="769A1B58" w14:textId="31EE3840" w:rsidR="009E484F" w:rsidRPr="0077128F" w:rsidRDefault="009E484F" w:rsidP="001F0EA2">
            <w:pPr>
              <w:rPr>
                <w:sz w:val="22"/>
                <w:szCs w:val="22"/>
                <w:lang w:eastAsia="en-AU"/>
              </w:rPr>
            </w:pPr>
            <w:r w:rsidRPr="0077128F">
              <w:rPr>
                <w:sz w:val="22"/>
                <w:szCs w:val="22"/>
                <w:lang w:eastAsia="en-AU"/>
              </w:rPr>
              <w:t xml:space="preserve">Chair </w:t>
            </w:r>
          </w:p>
          <w:p w14:paraId="111800AD" w14:textId="1AF0C86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6F4ACDA"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56213430" w14:textId="6397FCC3" w:rsidR="009E484F" w:rsidRPr="0077128F" w:rsidRDefault="00296751" w:rsidP="00296751">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05A833E1" w14:textId="77777777" w:rsidR="009E484F" w:rsidRPr="0077128F" w:rsidRDefault="002C658A" w:rsidP="002C658A">
            <w:pPr>
              <w:jc w:val="center"/>
              <w:rPr>
                <w:sz w:val="22"/>
                <w:szCs w:val="22"/>
                <w:lang w:eastAsia="en-AU"/>
              </w:rPr>
            </w:pPr>
            <w:r w:rsidRPr="0077128F">
              <w:rPr>
                <w:sz w:val="22"/>
                <w:szCs w:val="22"/>
                <w:lang w:eastAsia="en-AU"/>
              </w:rPr>
              <w:t>-</w:t>
            </w:r>
          </w:p>
          <w:p w14:paraId="500E6688" w14:textId="0A48EB01" w:rsidR="002C658A" w:rsidRPr="0077128F" w:rsidRDefault="002C658A" w:rsidP="002C658A">
            <w:pPr>
              <w:jc w:val="center"/>
              <w:rPr>
                <w:strike/>
                <w:sz w:val="22"/>
                <w:szCs w:val="22"/>
                <w:lang w:eastAsia="en-AU"/>
              </w:rPr>
            </w:pPr>
            <w:r w:rsidRPr="0077128F">
              <w:rPr>
                <w:sz w:val="22"/>
                <w:szCs w:val="22"/>
                <w:lang w:eastAsia="en-AU"/>
              </w:rPr>
              <w:t>-</w:t>
            </w:r>
          </w:p>
        </w:tc>
      </w:tr>
      <w:tr w:rsidR="00B242F4" w:rsidRPr="0077128F" w14:paraId="512FE396" w14:textId="53804293" w:rsidTr="0003415E">
        <w:trPr>
          <w:trHeight w:val="610"/>
          <w:jc w:val="center"/>
        </w:trPr>
        <w:tc>
          <w:tcPr>
            <w:tcW w:w="2830" w:type="dxa"/>
            <w:shd w:val="clear" w:color="auto" w:fill="auto"/>
            <w:hideMark/>
          </w:tcPr>
          <w:p w14:paraId="173F2111" w14:textId="20DAF07F" w:rsidR="009E484F" w:rsidRPr="0077128F" w:rsidRDefault="009E484F" w:rsidP="001F0EA2">
            <w:pPr>
              <w:rPr>
                <w:sz w:val="22"/>
                <w:szCs w:val="22"/>
                <w:lang w:eastAsia="en-AU"/>
              </w:rPr>
            </w:pPr>
            <w:r w:rsidRPr="0077128F">
              <w:rPr>
                <w:sz w:val="22"/>
                <w:szCs w:val="22"/>
                <w:lang w:eastAsia="en-AU"/>
              </w:rPr>
              <w:lastRenderedPageBreak/>
              <w:t>Building Advisory Board</w:t>
            </w:r>
          </w:p>
        </w:tc>
        <w:tc>
          <w:tcPr>
            <w:tcW w:w="2812" w:type="dxa"/>
            <w:shd w:val="clear" w:color="auto" w:fill="auto"/>
            <w:hideMark/>
          </w:tcPr>
          <w:p w14:paraId="6BE43921" w14:textId="22456A32" w:rsidR="009E484F" w:rsidRPr="0077128F" w:rsidRDefault="009E484F" w:rsidP="001F0EA2">
            <w:pPr>
              <w:rPr>
                <w:sz w:val="22"/>
                <w:szCs w:val="22"/>
                <w:lang w:eastAsia="en-AU"/>
              </w:rPr>
            </w:pPr>
            <w:r w:rsidRPr="0077128F">
              <w:rPr>
                <w:sz w:val="22"/>
                <w:szCs w:val="22"/>
                <w:lang w:eastAsia="en-AU"/>
              </w:rPr>
              <w:t xml:space="preserve">Chair </w:t>
            </w:r>
          </w:p>
          <w:p w14:paraId="2D708A6B" w14:textId="5C07B1E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5FA6E2D"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77AA0933" w14:textId="13616D39" w:rsidR="009E484F" w:rsidRPr="0077128F" w:rsidRDefault="00296751" w:rsidP="00296751">
            <w:pPr>
              <w:jc w:val="center"/>
              <w:rPr>
                <w:sz w:val="22"/>
                <w:szCs w:val="22"/>
                <w:lang w:eastAsia="en-AU"/>
              </w:rPr>
            </w:pPr>
            <w:r w:rsidRPr="0077128F">
              <w:rPr>
                <w:bCs/>
                <w:sz w:val="22"/>
                <w:szCs w:val="22"/>
              </w:rPr>
              <w:t>$</w:t>
            </w:r>
            <w:r>
              <w:rPr>
                <w:bCs/>
                <w:sz w:val="22"/>
                <w:szCs w:val="22"/>
              </w:rPr>
              <w:t>505</w:t>
            </w:r>
          </w:p>
        </w:tc>
        <w:tc>
          <w:tcPr>
            <w:tcW w:w="1688" w:type="dxa"/>
            <w:gridSpan w:val="2"/>
          </w:tcPr>
          <w:p w14:paraId="2A6C2EC3" w14:textId="77777777" w:rsidR="009E484F" w:rsidRPr="0077128F" w:rsidRDefault="002C658A" w:rsidP="002C658A">
            <w:pPr>
              <w:jc w:val="center"/>
              <w:rPr>
                <w:sz w:val="22"/>
                <w:szCs w:val="22"/>
                <w:lang w:eastAsia="en-AU"/>
              </w:rPr>
            </w:pPr>
            <w:r w:rsidRPr="0077128F">
              <w:rPr>
                <w:sz w:val="22"/>
                <w:szCs w:val="22"/>
                <w:lang w:eastAsia="en-AU"/>
              </w:rPr>
              <w:t>-</w:t>
            </w:r>
          </w:p>
          <w:p w14:paraId="7A86F311" w14:textId="362E4664"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0C8E6B36" w14:textId="2627C212" w:rsidTr="0003415E">
        <w:trPr>
          <w:trHeight w:val="645"/>
          <w:jc w:val="center"/>
        </w:trPr>
        <w:tc>
          <w:tcPr>
            <w:tcW w:w="2830" w:type="dxa"/>
            <w:shd w:val="clear" w:color="auto" w:fill="auto"/>
            <w:hideMark/>
          </w:tcPr>
          <w:p w14:paraId="2AFC1489" w14:textId="134AC32D" w:rsidR="009E484F" w:rsidRPr="0077128F" w:rsidRDefault="009E484F" w:rsidP="001F0EA2">
            <w:pPr>
              <w:rPr>
                <w:sz w:val="22"/>
                <w:szCs w:val="22"/>
                <w:lang w:eastAsia="en-AU"/>
              </w:rPr>
            </w:pPr>
            <w:r w:rsidRPr="0077128F">
              <w:rPr>
                <w:sz w:val="22"/>
                <w:szCs w:val="22"/>
                <w:lang w:eastAsia="en-AU"/>
              </w:rPr>
              <w:t>Building and Construction Industry Training Fund Board</w:t>
            </w:r>
          </w:p>
        </w:tc>
        <w:tc>
          <w:tcPr>
            <w:tcW w:w="2812" w:type="dxa"/>
            <w:shd w:val="clear" w:color="auto" w:fill="auto"/>
            <w:hideMark/>
          </w:tcPr>
          <w:p w14:paraId="23AC9D85" w14:textId="30BEABEE" w:rsidR="009E484F" w:rsidRPr="0077128F" w:rsidRDefault="009E484F" w:rsidP="001F0EA2">
            <w:pPr>
              <w:rPr>
                <w:sz w:val="22"/>
                <w:szCs w:val="22"/>
                <w:lang w:eastAsia="en-AU"/>
              </w:rPr>
            </w:pPr>
            <w:r w:rsidRPr="0077128F">
              <w:rPr>
                <w:sz w:val="22"/>
                <w:szCs w:val="22"/>
                <w:lang w:eastAsia="en-AU"/>
              </w:rPr>
              <w:t xml:space="preserve">Chair </w:t>
            </w:r>
          </w:p>
          <w:p w14:paraId="3023B150" w14:textId="2E414F3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C4E8159" w14:textId="64444E27" w:rsidR="009E484F" w:rsidRPr="0077128F" w:rsidRDefault="002C658A" w:rsidP="002C658A">
            <w:pPr>
              <w:jc w:val="center"/>
              <w:rPr>
                <w:sz w:val="22"/>
                <w:szCs w:val="22"/>
                <w:lang w:eastAsia="en-AU"/>
              </w:rPr>
            </w:pPr>
            <w:r w:rsidRPr="0077128F">
              <w:rPr>
                <w:sz w:val="22"/>
                <w:szCs w:val="22"/>
                <w:lang w:eastAsia="en-AU"/>
              </w:rPr>
              <w:t>-</w:t>
            </w:r>
          </w:p>
          <w:p w14:paraId="555081BF" w14:textId="38A853F2" w:rsidR="009E484F" w:rsidRPr="0077128F" w:rsidRDefault="00CE1EFA" w:rsidP="000C1091">
            <w:pPr>
              <w:jc w:val="center"/>
              <w:rPr>
                <w:sz w:val="22"/>
                <w:szCs w:val="22"/>
                <w:lang w:eastAsia="en-AU"/>
              </w:rPr>
            </w:pPr>
            <w:r w:rsidRPr="0077128F">
              <w:rPr>
                <w:bCs/>
                <w:sz w:val="22"/>
                <w:szCs w:val="22"/>
              </w:rPr>
              <w:t>$</w:t>
            </w:r>
            <w:r w:rsidR="00296751">
              <w:rPr>
                <w:bCs/>
                <w:sz w:val="22"/>
                <w:szCs w:val="22"/>
              </w:rPr>
              <w:t>505</w:t>
            </w:r>
          </w:p>
        </w:tc>
        <w:tc>
          <w:tcPr>
            <w:tcW w:w="1688" w:type="dxa"/>
            <w:gridSpan w:val="2"/>
          </w:tcPr>
          <w:p w14:paraId="2B7727DA" w14:textId="4D62B991" w:rsidR="009E484F" w:rsidRPr="0077128F" w:rsidRDefault="00CE1EFA" w:rsidP="002C658A">
            <w:pPr>
              <w:jc w:val="center"/>
              <w:rPr>
                <w:bCs/>
                <w:sz w:val="22"/>
                <w:szCs w:val="22"/>
              </w:rPr>
            </w:pPr>
            <w:r w:rsidRPr="0077128F">
              <w:rPr>
                <w:bCs/>
                <w:sz w:val="22"/>
                <w:szCs w:val="22"/>
              </w:rPr>
              <w:t>$</w:t>
            </w:r>
            <w:r w:rsidR="000C1091">
              <w:rPr>
                <w:bCs/>
                <w:sz w:val="22"/>
                <w:szCs w:val="22"/>
              </w:rPr>
              <w:t>2</w:t>
            </w:r>
            <w:r w:rsidR="00296751">
              <w:rPr>
                <w:bCs/>
                <w:sz w:val="22"/>
                <w:szCs w:val="22"/>
              </w:rPr>
              <w:t>1</w:t>
            </w:r>
            <w:r w:rsidR="000C1091">
              <w:rPr>
                <w:bCs/>
                <w:sz w:val="22"/>
                <w:szCs w:val="22"/>
              </w:rPr>
              <w:t>,</w:t>
            </w:r>
            <w:r w:rsidR="00296751">
              <w:rPr>
                <w:bCs/>
                <w:sz w:val="22"/>
                <w:szCs w:val="22"/>
              </w:rPr>
              <w:t>120</w:t>
            </w:r>
          </w:p>
          <w:p w14:paraId="5E4CFFC8" w14:textId="1540AF70" w:rsidR="002C658A" w:rsidRPr="0077128F" w:rsidRDefault="002C658A" w:rsidP="002C658A">
            <w:pPr>
              <w:jc w:val="center"/>
              <w:rPr>
                <w:bCs/>
                <w:sz w:val="22"/>
                <w:szCs w:val="22"/>
              </w:rPr>
            </w:pPr>
            <w:r w:rsidRPr="0077128F">
              <w:rPr>
                <w:bCs/>
                <w:sz w:val="22"/>
                <w:szCs w:val="22"/>
              </w:rPr>
              <w:t>-</w:t>
            </w:r>
          </w:p>
        </w:tc>
      </w:tr>
      <w:tr w:rsidR="006D45E1" w:rsidRPr="0077128F" w14:paraId="0B628946" w14:textId="77777777" w:rsidTr="0003415E">
        <w:trPr>
          <w:trHeight w:val="610"/>
          <w:jc w:val="center"/>
        </w:trPr>
        <w:tc>
          <w:tcPr>
            <w:tcW w:w="2830" w:type="dxa"/>
            <w:shd w:val="clear" w:color="auto" w:fill="auto"/>
          </w:tcPr>
          <w:p w14:paraId="63201040" w14:textId="23BDA725"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Canberra Economic Recovery Advisory Group</w:t>
            </w:r>
          </w:p>
        </w:tc>
        <w:tc>
          <w:tcPr>
            <w:tcW w:w="2812" w:type="dxa"/>
            <w:shd w:val="clear" w:color="auto" w:fill="auto"/>
          </w:tcPr>
          <w:p w14:paraId="601C4715" w14:textId="3DC1EBB7"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Members</w:t>
            </w:r>
          </w:p>
        </w:tc>
        <w:tc>
          <w:tcPr>
            <w:tcW w:w="1687" w:type="dxa"/>
            <w:gridSpan w:val="2"/>
            <w:shd w:val="clear" w:color="auto" w:fill="auto"/>
            <w:noWrap/>
          </w:tcPr>
          <w:p w14:paraId="37DFD6AF" w14:textId="70B6A2C2" w:rsidR="006D45E1" w:rsidRPr="00CA7C51" w:rsidRDefault="006D45E1" w:rsidP="002C658A">
            <w:pPr>
              <w:jc w:val="center"/>
              <w:rPr>
                <w:bCs/>
                <w:color w:val="000000" w:themeColor="text1"/>
                <w:sz w:val="22"/>
                <w:szCs w:val="22"/>
              </w:rPr>
            </w:pPr>
            <w:r w:rsidRPr="00CA7C51">
              <w:rPr>
                <w:bCs/>
                <w:color w:val="000000" w:themeColor="text1"/>
                <w:sz w:val="22"/>
                <w:szCs w:val="22"/>
              </w:rPr>
              <w:t>-</w:t>
            </w:r>
          </w:p>
        </w:tc>
        <w:tc>
          <w:tcPr>
            <w:tcW w:w="1688" w:type="dxa"/>
            <w:gridSpan w:val="2"/>
          </w:tcPr>
          <w:p w14:paraId="213BBA30" w14:textId="28E1859F" w:rsidR="006D45E1" w:rsidRPr="00CA7C51" w:rsidRDefault="006D45E1" w:rsidP="000C1091">
            <w:pPr>
              <w:jc w:val="center"/>
              <w:rPr>
                <w:bCs/>
                <w:color w:val="000000" w:themeColor="text1"/>
                <w:sz w:val="22"/>
                <w:szCs w:val="22"/>
              </w:rPr>
            </w:pPr>
            <w:r w:rsidRPr="00CA7C51">
              <w:rPr>
                <w:bCs/>
                <w:color w:val="000000" w:themeColor="text1"/>
                <w:sz w:val="22"/>
                <w:szCs w:val="22"/>
              </w:rPr>
              <w:t>$16,</w:t>
            </w:r>
            <w:r w:rsidR="00296751">
              <w:rPr>
                <w:bCs/>
                <w:color w:val="000000" w:themeColor="text1"/>
                <w:sz w:val="22"/>
                <w:szCs w:val="22"/>
              </w:rPr>
              <w:t>810</w:t>
            </w:r>
          </w:p>
        </w:tc>
      </w:tr>
      <w:tr w:rsidR="00B242F4" w:rsidRPr="0077128F" w14:paraId="5AB4B83A" w14:textId="4F21190A" w:rsidTr="0003415E">
        <w:trPr>
          <w:trHeight w:val="610"/>
          <w:jc w:val="center"/>
        </w:trPr>
        <w:tc>
          <w:tcPr>
            <w:tcW w:w="2830" w:type="dxa"/>
            <w:shd w:val="clear" w:color="auto" w:fill="auto"/>
          </w:tcPr>
          <w:p w14:paraId="378D5BE4" w14:textId="639824C7" w:rsidR="009E484F" w:rsidRPr="0077128F" w:rsidRDefault="009E484F" w:rsidP="001F0EA2">
            <w:pPr>
              <w:rPr>
                <w:sz w:val="22"/>
                <w:szCs w:val="22"/>
                <w:lang w:eastAsia="en-AU"/>
              </w:rPr>
            </w:pPr>
            <w:r w:rsidRPr="0077128F">
              <w:rPr>
                <w:sz w:val="22"/>
                <w:szCs w:val="22"/>
                <w:lang w:eastAsia="en-AU"/>
              </w:rPr>
              <w:t>Canberra Institute of Technology Governing Board</w:t>
            </w:r>
          </w:p>
        </w:tc>
        <w:tc>
          <w:tcPr>
            <w:tcW w:w="2812" w:type="dxa"/>
            <w:shd w:val="clear" w:color="auto" w:fill="auto"/>
          </w:tcPr>
          <w:p w14:paraId="450AFE63" w14:textId="1DD6A0AE" w:rsidR="009E484F" w:rsidRPr="0077128F" w:rsidRDefault="009E484F" w:rsidP="001F0EA2">
            <w:pPr>
              <w:rPr>
                <w:sz w:val="22"/>
                <w:szCs w:val="22"/>
                <w:lang w:eastAsia="en-AU"/>
              </w:rPr>
            </w:pPr>
            <w:r w:rsidRPr="0077128F">
              <w:rPr>
                <w:sz w:val="22"/>
                <w:szCs w:val="22"/>
                <w:lang w:eastAsia="en-AU"/>
              </w:rPr>
              <w:t xml:space="preserve">Chair </w:t>
            </w:r>
          </w:p>
          <w:p w14:paraId="51CDFD85" w14:textId="4DDEF72C" w:rsidR="009E484F" w:rsidRPr="0077128F" w:rsidRDefault="009E484F" w:rsidP="001F0EA2">
            <w:pPr>
              <w:rPr>
                <w:sz w:val="22"/>
                <w:szCs w:val="22"/>
                <w:lang w:eastAsia="en-AU"/>
              </w:rPr>
            </w:pPr>
            <w:r w:rsidRPr="0077128F">
              <w:rPr>
                <w:sz w:val="22"/>
                <w:szCs w:val="22"/>
                <w:lang w:eastAsia="en-AU"/>
              </w:rPr>
              <w:t xml:space="preserve">Deputy Chair </w:t>
            </w:r>
          </w:p>
          <w:p w14:paraId="6683C42F" w14:textId="5FDF8FB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476810F" w14:textId="2F261DF7" w:rsidR="009E484F" w:rsidRPr="0077128F" w:rsidRDefault="002C658A" w:rsidP="002C658A">
            <w:pPr>
              <w:jc w:val="center"/>
              <w:rPr>
                <w:bCs/>
                <w:sz w:val="22"/>
                <w:szCs w:val="22"/>
              </w:rPr>
            </w:pPr>
            <w:r w:rsidRPr="0077128F">
              <w:rPr>
                <w:bCs/>
                <w:sz w:val="22"/>
                <w:szCs w:val="22"/>
              </w:rPr>
              <w:t>-</w:t>
            </w:r>
          </w:p>
          <w:p w14:paraId="2141EAFA" w14:textId="645862D2" w:rsidR="009E484F" w:rsidRPr="0077128F" w:rsidRDefault="002C658A" w:rsidP="002C658A">
            <w:pPr>
              <w:jc w:val="center"/>
              <w:rPr>
                <w:bCs/>
                <w:sz w:val="22"/>
                <w:szCs w:val="22"/>
              </w:rPr>
            </w:pPr>
            <w:r w:rsidRPr="0077128F">
              <w:rPr>
                <w:bCs/>
                <w:sz w:val="22"/>
                <w:szCs w:val="22"/>
              </w:rPr>
              <w:t>-</w:t>
            </w:r>
          </w:p>
          <w:p w14:paraId="62D684E2" w14:textId="551B7E1D" w:rsidR="009E484F" w:rsidRPr="0077128F" w:rsidRDefault="00CE1EFA" w:rsidP="000C1091">
            <w:pPr>
              <w:jc w:val="center"/>
              <w:rPr>
                <w:bCs/>
                <w:sz w:val="22"/>
                <w:szCs w:val="22"/>
              </w:rPr>
            </w:pPr>
            <w:r w:rsidRPr="0077128F">
              <w:rPr>
                <w:bCs/>
                <w:sz w:val="22"/>
                <w:szCs w:val="22"/>
              </w:rPr>
              <w:t>$6</w:t>
            </w:r>
            <w:r w:rsidR="00296751">
              <w:rPr>
                <w:bCs/>
                <w:sz w:val="22"/>
                <w:szCs w:val="22"/>
              </w:rPr>
              <w:t>5</w:t>
            </w:r>
            <w:r w:rsidR="000C1091">
              <w:rPr>
                <w:bCs/>
                <w:sz w:val="22"/>
                <w:szCs w:val="22"/>
              </w:rPr>
              <w:t>0</w:t>
            </w:r>
          </w:p>
        </w:tc>
        <w:tc>
          <w:tcPr>
            <w:tcW w:w="1688" w:type="dxa"/>
            <w:gridSpan w:val="2"/>
          </w:tcPr>
          <w:p w14:paraId="09F3CAC1" w14:textId="41054671" w:rsidR="00BC540D" w:rsidRPr="0077128F" w:rsidRDefault="00BC540D" w:rsidP="00BC540D">
            <w:pPr>
              <w:jc w:val="center"/>
              <w:rPr>
                <w:bCs/>
                <w:sz w:val="22"/>
                <w:szCs w:val="22"/>
              </w:rPr>
            </w:pPr>
            <w:r w:rsidRPr="0077128F">
              <w:rPr>
                <w:bCs/>
                <w:sz w:val="22"/>
                <w:szCs w:val="22"/>
              </w:rPr>
              <w:t>$</w:t>
            </w:r>
            <w:r w:rsidR="000C1091">
              <w:rPr>
                <w:bCs/>
                <w:sz w:val="22"/>
                <w:szCs w:val="22"/>
              </w:rPr>
              <w:t>6</w:t>
            </w:r>
            <w:r w:rsidR="00296751">
              <w:rPr>
                <w:bCs/>
                <w:sz w:val="22"/>
                <w:szCs w:val="22"/>
              </w:rPr>
              <w:t>2</w:t>
            </w:r>
            <w:r w:rsidR="000C1091">
              <w:rPr>
                <w:bCs/>
                <w:sz w:val="22"/>
                <w:szCs w:val="22"/>
              </w:rPr>
              <w:t>,</w:t>
            </w:r>
            <w:r w:rsidR="00296751">
              <w:rPr>
                <w:bCs/>
                <w:sz w:val="22"/>
                <w:szCs w:val="22"/>
              </w:rPr>
              <w:t>230</w:t>
            </w:r>
          </w:p>
          <w:p w14:paraId="68B5F18D" w14:textId="6CF2ED0C" w:rsidR="00BC540D" w:rsidRPr="0077128F" w:rsidRDefault="00BC540D" w:rsidP="00BC540D">
            <w:pPr>
              <w:jc w:val="center"/>
              <w:rPr>
                <w:bCs/>
                <w:sz w:val="22"/>
                <w:szCs w:val="22"/>
              </w:rPr>
            </w:pPr>
            <w:r w:rsidRPr="0077128F">
              <w:rPr>
                <w:bCs/>
                <w:sz w:val="22"/>
                <w:szCs w:val="22"/>
              </w:rPr>
              <w:t>$</w:t>
            </w:r>
            <w:r w:rsidR="000C1091">
              <w:rPr>
                <w:bCs/>
                <w:sz w:val="22"/>
                <w:szCs w:val="22"/>
              </w:rPr>
              <w:t>3</w:t>
            </w:r>
            <w:r w:rsidR="00296751">
              <w:rPr>
                <w:bCs/>
                <w:sz w:val="22"/>
                <w:szCs w:val="22"/>
              </w:rPr>
              <w:t>1</w:t>
            </w:r>
            <w:r w:rsidR="000C1091">
              <w:rPr>
                <w:bCs/>
                <w:sz w:val="22"/>
                <w:szCs w:val="22"/>
              </w:rPr>
              <w:t>,</w:t>
            </w:r>
            <w:r w:rsidR="00296751">
              <w:rPr>
                <w:bCs/>
                <w:sz w:val="22"/>
                <w:szCs w:val="22"/>
              </w:rPr>
              <w:t>125</w:t>
            </w:r>
          </w:p>
          <w:p w14:paraId="43CA6A20" w14:textId="1977A251" w:rsidR="002C658A" w:rsidRPr="0077128F" w:rsidRDefault="002C658A" w:rsidP="002C658A">
            <w:pPr>
              <w:jc w:val="center"/>
              <w:rPr>
                <w:bCs/>
                <w:sz w:val="22"/>
                <w:szCs w:val="22"/>
              </w:rPr>
            </w:pPr>
            <w:r w:rsidRPr="0077128F">
              <w:rPr>
                <w:bCs/>
                <w:sz w:val="22"/>
                <w:szCs w:val="22"/>
              </w:rPr>
              <w:t>-</w:t>
            </w:r>
          </w:p>
        </w:tc>
      </w:tr>
      <w:tr w:rsidR="00B242F4" w:rsidRPr="0077128F" w14:paraId="7534FBC5" w14:textId="47563121" w:rsidTr="0003415E">
        <w:trPr>
          <w:trHeight w:val="610"/>
          <w:jc w:val="center"/>
        </w:trPr>
        <w:tc>
          <w:tcPr>
            <w:tcW w:w="2830" w:type="dxa"/>
            <w:shd w:val="clear" w:color="auto" w:fill="auto"/>
          </w:tcPr>
          <w:p w14:paraId="138B502B" w14:textId="77777777" w:rsidR="009E484F" w:rsidRPr="0077128F" w:rsidRDefault="009E484F" w:rsidP="001F0EA2">
            <w:pPr>
              <w:rPr>
                <w:sz w:val="22"/>
                <w:szCs w:val="22"/>
                <w:lang w:eastAsia="en-AU"/>
              </w:rPr>
            </w:pPr>
            <w:r w:rsidRPr="0077128F">
              <w:rPr>
                <w:sz w:val="22"/>
                <w:szCs w:val="22"/>
                <w:lang w:eastAsia="en-AU"/>
              </w:rPr>
              <w:t>Canberra Region Medical Education Council</w:t>
            </w:r>
          </w:p>
        </w:tc>
        <w:tc>
          <w:tcPr>
            <w:tcW w:w="2812" w:type="dxa"/>
            <w:shd w:val="clear" w:color="auto" w:fill="auto"/>
          </w:tcPr>
          <w:p w14:paraId="162A9C5B" w14:textId="77777777" w:rsidR="00296751" w:rsidRDefault="00296751" w:rsidP="001F0EA2">
            <w:pPr>
              <w:rPr>
                <w:sz w:val="22"/>
                <w:szCs w:val="22"/>
                <w:lang w:eastAsia="en-AU"/>
              </w:rPr>
            </w:pPr>
            <w:r>
              <w:rPr>
                <w:sz w:val="22"/>
                <w:szCs w:val="22"/>
                <w:lang w:eastAsia="en-AU"/>
              </w:rPr>
              <w:t>Chair</w:t>
            </w:r>
          </w:p>
          <w:p w14:paraId="628F408F" w14:textId="2E8DEF85" w:rsidR="009E484F" w:rsidRPr="0077128F" w:rsidRDefault="009E484F" w:rsidP="001F0EA2">
            <w:pPr>
              <w:rPr>
                <w:sz w:val="22"/>
                <w:szCs w:val="22"/>
                <w:lang w:eastAsia="en-AU"/>
              </w:rPr>
            </w:pPr>
            <w:r w:rsidRPr="0077128F">
              <w:rPr>
                <w:sz w:val="22"/>
                <w:szCs w:val="22"/>
                <w:lang w:eastAsia="en-AU"/>
              </w:rPr>
              <w:t xml:space="preserve">External representative members </w:t>
            </w:r>
          </w:p>
        </w:tc>
        <w:tc>
          <w:tcPr>
            <w:tcW w:w="1687" w:type="dxa"/>
            <w:gridSpan w:val="2"/>
            <w:shd w:val="clear" w:color="auto" w:fill="auto"/>
            <w:noWrap/>
          </w:tcPr>
          <w:p w14:paraId="21E60412"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2CAC9DF8" w14:textId="1036E808" w:rsidR="009E484F" w:rsidRPr="0077128F" w:rsidRDefault="00296751" w:rsidP="00296751">
            <w:pPr>
              <w:jc w:val="center"/>
              <w:rPr>
                <w:sz w:val="22"/>
                <w:szCs w:val="22"/>
                <w:lang w:eastAsia="en-AU"/>
              </w:rPr>
            </w:pPr>
            <w:r w:rsidRPr="0077128F">
              <w:rPr>
                <w:bCs/>
                <w:sz w:val="22"/>
                <w:szCs w:val="22"/>
              </w:rPr>
              <w:t>$</w:t>
            </w:r>
            <w:r>
              <w:rPr>
                <w:bCs/>
                <w:sz w:val="22"/>
                <w:szCs w:val="22"/>
              </w:rPr>
              <w:t>505</w:t>
            </w:r>
          </w:p>
        </w:tc>
        <w:tc>
          <w:tcPr>
            <w:tcW w:w="1688" w:type="dxa"/>
            <w:gridSpan w:val="2"/>
          </w:tcPr>
          <w:p w14:paraId="50A7A138" w14:textId="14973285" w:rsidR="009E484F" w:rsidRPr="0077128F" w:rsidRDefault="002C658A" w:rsidP="002C658A">
            <w:pPr>
              <w:jc w:val="center"/>
              <w:rPr>
                <w:sz w:val="22"/>
                <w:szCs w:val="22"/>
                <w:lang w:eastAsia="en-AU"/>
              </w:rPr>
            </w:pPr>
            <w:r w:rsidRPr="0077128F">
              <w:rPr>
                <w:sz w:val="22"/>
                <w:szCs w:val="22"/>
                <w:lang w:eastAsia="en-AU"/>
              </w:rPr>
              <w:t>-</w:t>
            </w:r>
          </w:p>
        </w:tc>
      </w:tr>
      <w:tr w:rsidR="00A634B0" w:rsidRPr="0077128F" w14:paraId="43C17001" w14:textId="77777777" w:rsidTr="0003415E">
        <w:trPr>
          <w:trHeight w:val="610"/>
          <w:jc w:val="center"/>
        </w:trPr>
        <w:tc>
          <w:tcPr>
            <w:tcW w:w="2830" w:type="dxa"/>
            <w:shd w:val="clear" w:color="auto" w:fill="auto"/>
          </w:tcPr>
          <w:p w14:paraId="55AA4568" w14:textId="206767D4"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Cemeteries and Crematoria Authority</w:t>
            </w:r>
          </w:p>
        </w:tc>
        <w:tc>
          <w:tcPr>
            <w:tcW w:w="2812" w:type="dxa"/>
            <w:shd w:val="clear" w:color="auto" w:fill="auto"/>
          </w:tcPr>
          <w:p w14:paraId="24D5A0D3" w14:textId="77777777"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Chair </w:t>
            </w:r>
          </w:p>
          <w:p w14:paraId="003578D5" w14:textId="328780AA"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Member </w:t>
            </w:r>
          </w:p>
        </w:tc>
        <w:tc>
          <w:tcPr>
            <w:tcW w:w="1687" w:type="dxa"/>
            <w:gridSpan w:val="2"/>
            <w:shd w:val="clear" w:color="auto" w:fill="auto"/>
            <w:noWrap/>
          </w:tcPr>
          <w:p w14:paraId="135FD493" w14:textId="21138588" w:rsidR="00A634B0" w:rsidRPr="00CA7C51" w:rsidRDefault="00A634B0" w:rsidP="00A634B0">
            <w:pPr>
              <w:jc w:val="center"/>
              <w:rPr>
                <w:bCs/>
                <w:color w:val="000000" w:themeColor="text1"/>
                <w:sz w:val="22"/>
                <w:szCs w:val="22"/>
                <w:lang w:eastAsia="en-AU"/>
              </w:rPr>
            </w:pPr>
            <w:r w:rsidRPr="00CA7C51">
              <w:rPr>
                <w:bCs/>
                <w:color w:val="000000" w:themeColor="text1"/>
                <w:sz w:val="22"/>
                <w:szCs w:val="22"/>
              </w:rPr>
              <w:t>$6</w:t>
            </w:r>
            <w:r w:rsidR="00296751">
              <w:rPr>
                <w:bCs/>
                <w:color w:val="000000" w:themeColor="text1"/>
                <w:sz w:val="22"/>
                <w:szCs w:val="22"/>
              </w:rPr>
              <w:t>2</w:t>
            </w:r>
            <w:r w:rsidRPr="00CA7C51">
              <w:rPr>
                <w:bCs/>
                <w:color w:val="000000" w:themeColor="text1"/>
                <w:sz w:val="22"/>
                <w:szCs w:val="22"/>
              </w:rPr>
              <w:t>5</w:t>
            </w:r>
          </w:p>
          <w:p w14:paraId="1E6932E3" w14:textId="75D9BADA" w:rsidR="00A634B0" w:rsidRPr="00CA7C51" w:rsidRDefault="00A634B0" w:rsidP="00A634B0">
            <w:pPr>
              <w:jc w:val="center"/>
              <w:rPr>
                <w:bCs/>
                <w:color w:val="000000" w:themeColor="text1"/>
                <w:sz w:val="22"/>
                <w:szCs w:val="22"/>
              </w:rPr>
            </w:pPr>
            <w:r w:rsidRPr="00CA7C51">
              <w:rPr>
                <w:bCs/>
                <w:color w:val="000000" w:themeColor="text1"/>
                <w:sz w:val="22"/>
                <w:szCs w:val="22"/>
              </w:rPr>
              <w:t>$5</w:t>
            </w:r>
            <w:r w:rsidR="00296751">
              <w:rPr>
                <w:bCs/>
                <w:color w:val="000000" w:themeColor="text1"/>
                <w:sz w:val="22"/>
                <w:szCs w:val="22"/>
              </w:rPr>
              <w:t>4</w:t>
            </w:r>
            <w:r w:rsidRPr="00CA7C51">
              <w:rPr>
                <w:bCs/>
                <w:color w:val="000000" w:themeColor="text1"/>
                <w:sz w:val="22"/>
                <w:szCs w:val="22"/>
              </w:rPr>
              <w:t>5</w:t>
            </w:r>
          </w:p>
        </w:tc>
        <w:tc>
          <w:tcPr>
            <w:tcW w:w="1688" w:type="dxa"/>
            <w:gridSpan w:val="2"/>
          </w:tcPr>
          <w:p w14:paraId="41040595" w14:textId="77777777" w:rsidR="00A634B0" w:rsidRPr="00A634B0" w:rsidRDefault="00A634B0" w:rsidP="00A634B0">
            <w:pPr>
              <w:jc w:val="center"/>
              <w:rPr>
                <w:color w:val="FF0000"/>
                <w:sz w:val="22"/>
                <w:szCs w:val="22"/>
                <w:lang w:eastAsia="en-AU"/>
              </w:rPr>
            </w:pPr>
            <w:r w:rsidRPr="00A634B0">
              <w:rPr>
                <w:color w:val="FF0000"/>
                <w:sz w:val="22"/>
                <w:szCs w:val="22"/>
                <w:lang w:eastAsia="en-AU"/>
              </w:rPr>
              <w:t>-</w:t>
            </w:r>
          </w:p>
          <w:p w14:paraId="44D1E816" w14:textId="5256F839" w:rsidR="00A634B0" w:rsidRPr="00A634B0" w:rsidRDefault="00A634B0" w:rsidP="00A634B0">
            <w:pPr>
              <w:jc w:val="center"/>
              <w:rPr>
                <w:color w:val="FF0000"/>
                <w:sz w:val="22"/>
                <w:szCs w:val="22"/>
                <w:lang w:eastAsia="en-AU"/>
              </w:rPr>
            </w:pPr>
            <w:r w:rsidRPr="00A634B0">
              <w:rPr>
                <w:color w:val="FF0000"/>
                <w:sz w:val="22"/>
                <w:szCs w:val="22"/>
                <w:lang w:eastAsia="en-AU"/>
              </w:rPr>
              <w:t>-</w:t>
            </w:r>
          </w:p>
        </w:tc>
      </w:tr>
      <w:tr w:rsidR="00CD176E" w:rsidRPr="0077128F" w14:paraId="33897A32" w14:textId="77777777" w:rsidTr="0003415E">
        <w:trPr>
          <w:trHeight w:val="610"/>
          <w:jc w:val="center"/>
        </w:trPr>
        <w:tc>
          <w:tcPr>
            <w:tcW w:w="2830" w:type="dxa"/>
            <w:shd w:val="clear" w:color="auto" w:fill="auto"/>
          </w:tcPr>
          <w:p w14:paraId="2A55BEE4" w14:textId="77777777" w:rsidR="00CD176E" w:rsidRPr="0077128F" w:rsidRDefault="00CD176E" w:rsidP="00CD176E">
            <w:pPr>
              <w:rPr>
                <w:sz w:val="22"/>
                <w:szCs w:val="22"/>
                <w:lang w:eastAsia="en-AU"/>
              </w:rPr>
            </w:pPr>
            <w:r w:rsidRPr="0077128F">
              <w:rPr>
                <w:sz w:val="22"/>
                <w:szCs w:val="22"/>
                <w:lang w:eastAsia="en-AU"/>
              </w:rPr>
              <w:t>Children and Young People Death Review Committee</w:t>
            </w:r>
          </w:p>
        </w:tc>
        <w:tc>
          <w:tcPr>
            <w:tcW w:w="2812" w:type="dxa"/>
            <w:shd w:val="clear" w:color="auto" w:fill="auto"/>
          </w:tcPr>
          <w:p w14:paraId="3688E760" w14:textId="77777777" w:rsidR="00CD176E" w:rsidRPr="0077128F" w:rsidRDefault="00CD176E" w:rsidP="00CD176E">
            <w:pPr>
              <w:rPr>
                <w:sz w:val="22"/>
                <w:szCs w:val="22"/>
                <w:lang w:eastAsia="en-AU"/>
              </w:rPr>
            </w:pPr>
            <w:r w:rsidRPr="0077128F">
              <w:rPr>
                <w:sz w:val="22"/>
                <w:szCs w:val="22"/>
                <w:lang w:eastAsia="en-AU"/>
              </w:rPr>
              <w:t xml:space="preserve">Chair </w:t>
            </w:r>
          </w:p>
          <w:p w14:paraId="3D2130B5" w14:textId="77777777"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D5659A2" w14:textId="4BED5FBC" w:rsidR="00CD176E" w:rsidRPr="0077128F" w:rsidRDefault="00CD176E" w:rsidP="00CD176E">
            <w:pPr>
              <w:jc w:val="center"/>
              <w:rPr>
                <w:bCs/>
                <w:sz w:val="22"/>
                <w:szCs w:val="22"/>
              </w:rPr>
            </w:pPr>
            <w:r w:rsidRPr="0077128F">
              <w:rPr>
                <w:bCs/>
                <w:sz w:val="22"/>
                <w:szCs w:val="22"/>
              </w:rPr>
              <w:t>$</w:t>
            </w:r>
            <w:r w:rsidR="00997958">
              <w:rPr>
                <w:bCs/>
                <w:sz w:val="22"/>
                <w:szCs w:val="22"/>
              </w:rPr>
              <w:t>9</w:t>
            </w:r>
            <w:r w:rsidR="00296751">
              <w:rPr>
                <w:bCs/>
                <w:sz w:val="22"/>
                <w:szCs w:val="22"/>
              </w:rPr>
              <w:t>2</w:t>
            </w:r>
            <w:r w:rsidR="00997958">
              <w:rPr>
                <w:bCs/>
                <w:sz w:val="22"/>
                <w:szCs w:val="22"/>
              </w:rPr>
              <w:t>5</w:t>
            </w:r>
          </w:p>
          <w:p w14:paraId="34B97970" w14:textId="7194F7E1" w:rsidR="00CD176E" w:rsidRPr="0077128F" w:rsidRDefault="00CD176E" w:rsidP="00997958">
            <w:pPr>
              <w:jc w:val="center"/>
              <w:rPr>
                <w:sz w:val="22"/>
                <w:szCs w:val="22"/>
                <w:lang w:eastAsia="en-AU"/>
              </w:rPr>
            </w:pPr>
            <w:r w:rsidRPr="0077128F">
              <w:rPr>
                <w:bCs/>
                <w:sz w:val="22"/>
                <w:szCs w:val="22"/>
              </w:rPr>
              <w:t>$</w:t>
            </w:r>
            <w:r w:rsidR="00BC540D" w:rsidRPr="0077128F">
              <w:rPr>
                <w:bCs/>
                <w:sz w:val="22"/>
                <w:szCs w:val="22"/>
              </w:rPr>
              <w:t>8</w:t>
            </w:r>
            <w:r w:rsidR="00296751">
              <w:rPr>
                <w:bCs/>
                <w:sz w:val="22"/>
                <w:szCs w:val="22"/>
              </w:rPr>
              <w:t>45</w:t>
            </w:r>
          </w:p>
        </w:tc>
        <w:tc>
          <w:tcPr>
            <w:tcW w:w="1688" w:type="dxa"/>
            <w:gridSpan w:val="2"/>
          </w:tcPr>
          <w:p w14:paraId="4A749282" w14:textId="77777777" w:rsidR="00CD176E" w:rsidRPr="0077128F" w:rsidRDefault="00CD176E" w:rsidP="00CD176E">
            <w:pPr>
              <w:jc w:val="center"/>
              <w:rPr>
                <w:sz w:val="22"/>
                <w:szCs w:val="22"/>
                <w:lang w:eastAsia="en-AU"/>
              </w:rPr>
            </w:pPr>
            <w:r w:rsidRPr="0077128F">
              <w:rPr>
                <w:sz w:val="22"/>
                <w:szCs w:val="22"/>
                <w:lang w:eastAsia="en-AU"/>
              </w:rPr>
              <w:t>-</w:t>
            </w:r>
          </w:p>
          <w:p w14:paraId="75255060" w14:textId="77777777"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266EFB6B" w14:textId="49E0C034" w:rsidTr="0003415E">
        <w:trPr>
          <w:trHeight w:val="610"/>
          <w:jc w:val="center"/>
        </w:trPr>
        <w:tc>
          <w:tcPr>
            <w:tcW w:w="2830" w:type="dxa"/>
            <w:shd w:val="clear" w:color="auto" w:fill="auto"/>
          </w:tcPr>
          <w:p w14:paraId="335C6EA4" w14:textId="77777777" w:rsidR="009E484F" w:rsidRPr="0077128F" w:rsidRDefault="009E484F" w:rsidP="001F0EA2">
            <w:pPr>
              <w:rPr>
                <w:sz w:val="22"/>
                <w:szCs w:val="22"/>
                <w:lang w:eastAsia="en-AU"/>
              </w:rPr>
            </w:pPr>
            <w:r w:rsidRPr="0077128F">
              <w:rPr>
                <w:sz w:val="22"/>
                <w:szCs w:val="22"/>
                <w:lang w:eastAsia="en-AU"/>
              </w:rPr>
              <w:t>Children and Youth Services Council</w:t>
            </w:r>
          </w:p>
        </w:tc>
        <w:tc>
          <w:tcPr>
            <w:tcW w:w="2812" w:type="dxa"/>
            <w:shd w:val="clear" w:color="auto" w:fill="auto"/>
          </w:tcPr>
          <w:p w14:paraId="7C0D55B4" w14:textId="6E2638F4" w:rsidR="009E484F" w:rsidRPr="0077128F" w:rsidRDefault="009E484F" w:rsidP="001F0EA2">
            <w:pPr>
              <w:rPr>
                <w:sz w:val="22"/>
                <w:szCs w:val="22"/>
                <w:lang w:eastAsia="en-AU"/>
              </w:rPr>
            </w:pPr>
            <w:r w:rsidRPr="0077128F">
              <w:rPr>
                <w:sz w:val="22"/>
                <w:szCs w:val="22"/>
                <w:lang w:eastAsia="en-AU"/>
              </w:rPr>
              <w:t xml:space="preserve">Chair </w:t>
            </w:r>
          </w:p>
          <w:p w14:paraId="269DC936" w14:textId="4B63E09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B5EDF63" w14:textId="3084CB42" w:rsidR="00CE1EFA" w:rsidRPr="0077128F" w:rsidRDefault="00CE1EFA" w:rsidP="002C658A">
            <w:pPr>
              <w:jc w:val="center"/>
              <w:rPr>
                <w:bCs/>
                <w:sz w:val="22"/>
                <w:szCs w:val="22"/>
              </w:rPr>
            </w:pPr>
            <w:r w:rsidRPr="0077128F">
              <w:rPr>
                <w:bCs/>
                <w:sz w:val="22"/>
                <w:szCs w:val="22"/>
              </w:rPr>
              <w:t>$</w:t>
            </w:r>
            <w:r w:rsidR="00997958">
              <w:rPr>
                <w:bCs/>
                <w:sz w:val="22"/>
                <w:szCs w:val="22"/>
              </w:rPr>
              <w:t>7</w:t>
            </w:r>
            <w:r w:rsidR="00296751">
              <w:rPr>
                <w:bCs/>
                <w:sz w:val="22"/>
                <w:szCs w:val="22"/>
              </w:rPr>
              <w:t>30</w:t>
            </w:r>
          </w:p>
          <w:p w14:paraId="51C24F74" w14:textId="690F7610" w:rsidR="009E484F" w:rsidRPr="0077128F" w:rsidRDefault="00CE1EFA" w:rsidP="00997958">
            <w:pPr>
              <w:jc w:val="center"/>
              <w:rPr>
                <w:sz w:val="22"/>
                <w:szCs w:val="22"/>
                <w:lang w:eastAsia="en-AU"/>
              </w:rPr>
            </w:pPr>
            <w:r w:rsidRPr="0077128F">
              <w:rPr>
                <w:bCs/>
                <w:sz w:val="22"/>
                <w:szCs w:val="22"/>
              </w:rPr>
              <w:t>$5</w:t>
            </w:r>
            <w:r w:rsidR="00296751">
              <w:rPr>
                <w:bCs/>
                <w:sz w:val="22"/>
                <w:szCs w:val="22"/>
              </w:rPr>
              <w:t>9</w:t>
            </w:r>
            <w:r w:rsidR="00997958">
              <w:rPr>
                <w:bCs/>
                <w:sz w:val="22"/>
                <w:szCs w:val="22"/>
              </w:rPr>
              <w:t>0</w:t>
            </w:r>
          </w:p>
        </w:tc>
        <w:tc>
          <w:tcPr>
            <w:tcW w:w="1688" w:type="dxa"/>
            <w:gridSpan w:val="2"/>
          </w:tcPr>
          <w:p w14:paraId="2DCCBBCE" w14:textId="77777777" w:rsidR="009E484F" w:rsidRPr="0077128F" w:rsidRDefault="002C658A" w:rsidP="002C658A">
            <w:pPr>
              <w:jc w:val="center"/>
              <w:rPr>
                <w:sz w:val="22"/>
                <w:szCs w:val="22"/>
                <w:lang w:eastAsia="en-AU"/>
              </w:rPr>
            </w:pPr>
            <w:r w:rsidRPr="0077128F">
              <w:rPr>
                <w:sz w:val="22"/>
                <w:szCs w:val="22"/>
                <w:lang w:eastAsia="en-AU"/>
              </w:rPr>
              <w:t>-</w:t>
            </w:r>
          </w:p>
          <w:p w14:paraId="4E3A6315" w14:textId="224D8FED" w:rsidR="002C658A" w:rsidRPr="0077128F" w:rsidRDefault="002C658A" w:rsidP="002C658A">
            <w:pPr>
              <w:jc w:val="center"/>
              <w:rPr>
                <w:sz w:val="22"/>
                <w:szCs w:val="22"/>
                <w:lang w:eastAsia="en-AU"/>
              </w:rPr>
            </w:pPr>
            <w:r w:rsidRPr="0077128F">
              <w:rPr>
                <w:sz w:val="22"/>
                <w:szCs w:val="22"/>
                <w:lang w:eastAsia="en-AU"/>
              </w:rPr>
              <w:t>-</w:t>
            </w:r>
          </w:p>
        </w:tc>
      </w:tr>
      <w:tr w:rsidR="00CD176E" w:rsidRPr="0077128F" w14:paraId="625D96D9" w14:textId="77777777" w:rsidTr="0003415E">
        <w:trPr>
          <w:trHeight w:val="610"/>
          <w:jc w:val="center"/>
        </w:trPr>
        <w:tc>
          <w:tcPr>
            <w:tcW w:w="2830" w:type="dxa"/>
            <w:shd w:val="clear" w:color="auto" w:fill="auto"/>
          </w:tcPr>
          <w:p w14:paraId="0FA0DD33" w14:textId="5FE8DF9C" w:rsidR="00CD176E" w:rsidRPr="0077128F" w:rsidRDefault="00CD176E" w:rsidP="00CD176E">
            <w:pPr>
              <w:rPr>
                <w:sz w:val="22"/>
                <w:szCs w:val="22"/>
                <w:lang w:eastAsia="en-AU"/>
              </w:rPr>
            </w:pPr>
            <w:r w:rsidRPr="0077128F">
              <w:rPr>
                <w:sz w:val="22"/>
                <w:szCs w:val="22"/>
              </w:rPr>
              <w:t>Clinical Leadership Forum</w:t>
            </w:r>
          </w:p>
        </w:tc>
        <w:tc>
          <w:tcPr>
            <w:tcW w:w="2812" w:type="dxa"/>
            <w:shd w:val="clear" w:color="auto" w:fill="auto"/>
          </w:tcPr>
          <w:p w14:paraId="7E07A5BD" w14:textId="77777777" w:rsidR="00CD176E" w:rsidRPr="0077128F" w:rsidRDefault="00CD176E" w:rsidP="00CD176E">
            <w:pPr>
              <w:rPr>
                <w:sz w:val="22"/>
                <w:szCs w:val="22"/>
                <w:lang w:eastAsia="en-AU"/>
              </w:rPr>
            </w:pPr>
            <w:r w:rsidRPr="0077128F">
              <w:rPr>
                <w:sz w:val="22"/>
                <w:szCs w:val="22"/>
                <w:lang w:eastAsia="en-AU"/>
              </w:rPr>
              <w:t xml:space="preserve">Chair </w:t>
            </w:r>
          </w:p>
          <w:p w14:paraId="2952B217" w14:textId="066E30AF"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65C498C"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6486D78C" w14:textId="3D7E3BE1" w:rsidR="00CD176E" w:rsidRPr="0077128F" w:rsidRDefault="00296751" w:rsidP="00296751">
            <w:pPr>
              <w:jc w:val="center"/>
              <w:rPr>
                <w:bCs/>
                <w:sz w:val="22"/>
                <w:szCs w:val="22"/>
              </w:rPr>
            </w:pPr>
            <w:r w:rsidRPr="0077128F">
              <w:rPr>
                <w:bCs/>
                <w:sz w:val="22"/>
                <w:szCs w:val="22"/>
              </w:rPr>
              <w:t>$</w:t>
            </w:r>
            <w:r>
              <w:rPr>
                <w:bCs/>
                <w:sz w:val="22"/>
                <w:szCs w:val="22"/>
              </w:rPr>
              <w:t>505</w:t>
            </w:r>
          </w:p>
        </w:tc>
        <w:tc>
          <w:tcPr>
            <w:tcW w:w="1688" w:type="dxa"/>
            <w:gridSpan w:val="2"/>
          </w:tcPr>
          <w:p w14:paraId="08766CE7" w14:textId="77777777" w:rsidR="00CD176E" w:rsidRPr="0077128F" w:rsidRDefault="00CD176E" w:rsidP="00CD176E">
            <w:pPr>
              <w:jc w:val="center"/>
              <w:rPr>
                <w:sz w:val="22"/>
                <w:szCs w:val="22"/>
                <w:lang w:eastAsia="en-AU"/>
              </w:rPr>
            </w:pPr>
            <w:r w:rsidRPr="0077128F">
              <w:rPr>
                <w:sz w:val="22"/>
                <w:szCs w:val="22"/>
                <w:lang w:eastAsia="en-AU"/>
              </w:rPr>
              <w:t>-</w:t>
            </w:r>
          </w:p>
          <w:p w14:paraId="240802BB" w14:textId="423C92F0"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74BDA426" w14:textId="30F7EE74" w:rsidTr="0003415E">
        <w:trPr>
          <w:trHeight w:val="610"/>
          <w:jc w:val="center"/>
        </w:trPr>
        <w:tc>
          <w:tcPr>
            <w:tcW w:w="2830" w:type="dxa"/>
            <w:shd w:val="clear" w:color="auto" w:fill="auto"/>
          </w:tcPr>
          <w:p w14:paraId="1F4B28CD" w14:textId="77777777" w:rsidR="009E484F" w:rsidRPr="0077128F" w:rsidRDefault="009E484F" w:rsidP="001F0EA2">
            <w:pPr>
              <w:rPr>
                <w:sz w:val="22"/>
                <w:szCs w:val="22"/>
                <w:lang w:eastAsia="en-AU"/>
              </w:rPr>
            </w:pPr>
            <w:r w:rsidRPr="0077128F">
              <w:rPr>
                <w:sz w:val="22"/>
                <w:szCs w:val="22"/>
                <w:lang w:eastAsia="en-AU"/>
              </w:rPr>
              <w:t>City Renewal Authority Board</w:t>
            </w:r>
          </w:p>
        </w:tc>
        <w:tc>
          <w:tcPr>
            <w:tcW w:w="2812" w:type="dxa"/>
            <w:shd w:val="clear" w:color="auto" w:fill="auto"/>
          </w:tcPr>
          <w:p w14:paraId="2169002A" w14:textId="7DBD2327" w:rsidR="009E484F" w:rsidRPr="0077128F" w:rsidRDefault="009E484F" w:rsidP="001F0EA2">
            <w:pPr>
              <w:rPr>
                <w:sz w:val="22"/>
                <w:szCs w:val="22"/>
                <w:lang w:eastAsia="en-AU"/>
              </w:rPr>
            </w:pPr>
            <w:r w:rsidRPr="0077128F">
              <w:rPr>
                <w:sz w:val="22"/>
                <w:szCs w:val="22"/>
                <w:lang w:eastAsia="en-AU"/>
              </w:rPr>
              <w:t xml:space="preserve">Chair </w:t>
            </w:r>
          </w:p>
          <w:p w14:paraId="54380DDE" w14:textId="5BFA9D01" w:rsidR="009E484F" w:rsidRPr="0077128F" w:rsidRDefault="009E484F" w:rsidP="001F0EA2">
            <w:pPr>
              <w:rPr>
                <w:sz w:val="22"/>
                <w:szCs w:val="22"/>
                <w:lang w:eastAsia="en-AU"/>
              </w:rPr>
            </w:pPr>
            <w:r w:rsidRPr="0077128F">
              <w:rPr>
                <w:sz w:val="22"/>
                <w:szCs w:val="22"/>
                <w:lang w:eastAsia="en-AU"/>
              </w:rPr>
              <w:t xml:space="preserve">Deputy Chair </w:t>
            </w:r>
          </w:p>
          <w:p w14:paraId="0578E9D9" w14:textId="386629B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12EB3DA" w14:textId="77777777" w:rsidR="009E484F" w:rsidRPr="0077128F" w:rsidRDefault="002C658A" w:rsidP="002C658A">
            <w:pPr>
              <w:jc w:val="center"/>
              <w:rPr>
                <w:sz w:val="22"/>
                <w:szCs w:val="22"/>
                <w:lang w:eastAsia="en-AU"/>
              </w:rPr>
            </w:pPr>
            <w:r w:rsidRPr="0077128F">
              <w:rPr>
                <w:sz w:val="22"/>
                <w:szCs w:val="22"/>
                <w:lang w:eastAsia="en-AU"/>
              </w:rPr>
              <w:t>-</w:t>
            </w:r>
          </w:p>
          <w:p w14:paraId="1520992A" w14:textId="77777777" w:rsidR="002C658A" w:rsidRPr="0077128F" w:rsidRDefault="002C658A" w:rsidP="002C658A">
            <w:pPr>
              <w:jc w:val="center"/>
              <w:rPr>
                <w:sz w:val="22"/>
                <w:szCs w:val="22"/>
                <w:lang w:eastAsia="en-AU"/>
              </w:rPr>
            </w:pPr>
            <w:r w:rsidRPr="0077128F">
              <w:rPr>
                <w:sz w:val="22"/>
                <w:szCs w:val="22"/>
                <w:lang w:eastAsia="en-AU"/>
              </w:rPr>
              <w:t>-</w:t>
            </w:r>
          </w:p>
          <w:p w14:paraId="79F2DAB7" w14:textId="36BE11AC" w:rsidR="002C658A" w:rsidRPr="0077128F" w:rsidRDefault="002C658A" w:rsidP="002C658A">
            <w:pPr>
              <w:jc w:val="center"/>
              <w:rPr>
                <w:sz w:val="22"/>
                <w:szCs w:val="22"/>
                <w:highlight w:val="yellow"/>
                <w:lang w:eastAsia="en-AU"/>
              </w:rPr>
            </w:pPr>
            <w:r w:rsidRPr="0077128F">
              <w:rPr>
                <w:sz w:val="22"/>
                <w:szCs w:val="22"/>
                <w:lang w:eastAsia="en-AU"/>
              </w:rPr>
              <w:t>-</w:t>
            </w:r>
          </w:p>
        </w:tc>
        <w:tc>
          <w:tcPr>
            <w:tcW w:w="1688" w:type="dxa"/>
            <w:gridSpan w:val="2"/>
          </w:tcPr>
          <w:p w14:paraId="03936326" w14:textId="39CA5D20" w:rsidR="00B64415" w:rsidRPr="0077128F" w:rsidRDefault="00B64415" w:rsidP="00B64415">
            <w:pPr>
              <w:jc w:val="center"/>
              <w:rPr>
                <w:bCs/>
                <w:sz w:val="22"/>
                <w:szCs w:val="22"/>
              </w:rPr>
            </w:pPr>
            <w:r w:rsidRPr="0077128F">
              <w:rPr>
                <w:bCs/>
                <w:sz w:val="22"/>
                <w:szCs w:val="22"/>
              </w:rPr>
              <w:t>$</w:t>
            </w:r>
            <w:r w:rsidR="00997958">
              <w:rPr>
                <w:bCs/>
                <w:sz w:val="22"/>
                <w:szCs w:val="22"/>
              </w:rPr>
              <w:t>7</w:t>
            </w:r>
            <w:r w:rsidR="00296751">
              <w:rPr>
                <w:bCs/>
                <w:sz w:val="22"/>
                <w:szCs w:val="22"/>
              </w:rPr>
              <w:t>9</w:t>
            </w:r>
            <w:r w:rsidR="00997958">
              <w:rPr>
                <w:bCs/>
                <w:sz w:val="22"/>
                <w:szCs w:val="22"/>
              </w:rPr>
              <w:t>,</w:t>
            </w:r>
            <w:r w:rsidR="00296751">
              <w:rPr>
                <w:bCs/>
                <w:sz w:val="22"/>
                <w:szCs w:val="22"/>
              </w:rPr>
              <w:t>20</w:t>
            </w:r>
            <w:r w:rsidR="00997958">
              <w:rPr>
                <w:bCs/>
                <w:sz w:val="22"/>
                <w:szCs w:val="22"/>
              </w:rPr>
              <w:t>5</w:t>
            </w:r>
          </w:p>
          <w:p w14:paraId="484F64E6" w14:textId="5CC64C7E" w:rsidR="00B64415" w:rsidRPr="0077128F" w:rsidRDefault="00B64415" w:rsidP="00B64415">
            <w:pPr>
              <w:jc w:val="center"/>
              <w:rPr>
                <w:bCs/>
                <w:sz w:val="22"/>
                <w:szCs w:val="22"/>
              </w:rPr>
            </w:pPr>
            <w:r w:rsidRPr="0077128F">
              <w:rPr>
                <w:bCs/>
                <w:sz w:val="22"/>
                <w:szCs w:val="22"/>
              </w:rPr>
              <w:t>$</w:t>
            </w:r>
            <w:r w:rsidR="00997958">
              <w:rPr>
                <w:bCs/>
                <w:sz w:val="22"/>
                <w:szCs w:val="22"/>
              </w:rPr>
              <w:t>6</w:t>
            </w:r>
            <w:r w:rsidR="00296751">
              <w:rPr>
                <w:bCs/>
                <w:sz w:val="22"/>
                <w:szCs w:val="22"/>
              </w:rPr>
              <w:t>3</w:t>
            </w:r>
            <w:r w:rsidR="00997958">
              <w:rPr>
                <w:bCs/>
                <w:sz w:val="22"/>
                <w:szCs w:val="22"/>
              </w:rPr>
              <w:t>,</w:t>
            </w:r>
            <w:r w:rsidR="00296751">
              <w:rPr>
                <w:bCs/>
                <w:sz w:val="22"/>
                <w:szCs w:val="22"/>
              </w:rPr>
              <w:t>37</w:t>
            </w:r>
            <w:r w:rsidR="00997958">
              <w:rPr>
                <w:bCs/>
                <w:sz w:val="22"/>
                <w:szCs w:val="22"/>
              </w:rPr>
              <w:t>0</w:t>
            </w:r>
          </w:p>
          <w:p w14:paraId="3283991B" w14:textId="13296EE9" w:rsidR="009E484F" w:rsidRPr="0077128F" w:rsidRDefault="00B64415" w:rsidP="00997958">
            <w:pPr>
              <w:jc w:val="center"/>
              <w:rPr>
                <w:bCs/>
                <w:sz w:val="22"/>
                <w:szCs w:val="22"/>
              </w:rPr>
            </w:pPr>
            <w:r w:rsidRPr="0077128F">
              <w:rPr>
                <w:bCs/>
                <w:sz w:val="22"/>
                <w:szCs w:val="22"/>
              </w:rPr>
              <w:t>$</w:t>
            </w:r>
            <w:r w:rsidR="00997958">
              <w:rPr>
                <w:bCs/>
                <w:sz w:val="22"/>
                <w:szCs w:val="22"/>
              </w:rPr>
              <w:t>4</w:t>
            </w:r>
            <w:r w:rsidR="00296751">
              <w:rPr>
                <w:bCs/>
                <w:sz w:val="22"/>
                <w:szCs w:val="22"/>
              </w:rPr>
              <w:t>2</w:t>
            </w:r>
            <w:r w:rsidR="00997958">
              <w:rPr>
                <w:bCs/>
                <w:sz w:val="22"/>
                <w:szCs w:val="22"/>
              </w:rPr>
              <w:t>,</w:t>
            </w:r>
            <w:r w:rsidR="00296751">
              <w:rPr>
                <w:bCs/>
                <w:sz w:val="22"/>
                <w:szCs w:val="22"/>
              </w:rPr>
              <w:t>44</w:t>
            </w:r>
            <w:r w:rsidR="00997958">
              <w:rPr>
                <w:bCs/>
                <w:sz w:val="22"/>
                <w:szCs w:val="22"/>
              </w:rPr>
              <w:t>5</w:t>
            </w:r>
          </w:p>
        </w:tc>
      </w:tr>
      <w:tr w:rsidR="00B242F4" w:rsidRPr="0077128F" w14:paraId="7FD4C50D" w14:textId="7D9566CA" w:rsidTr="0003415E">
        <w:trPr>
          <w:trHeight w:val="610"/>
          <w:jc w:val="center"/>
        </w:trPr>
        <w:tc>
          <w:tcPr>
            <w:tcW w:w="2830" w:type="dxa"/>
            <w:shd w:val="clear" w:color="auto" w:fill="auto"/>
          </w:tcPr>
          <w:p w14:paraId="3E82895F" w14:textId="1EA0923D" w:rsidR="009E484F" w:rsidRPr="0077128F" w:rsidRDefault="009E484F" w:rsidP="001F0EA2">
            <w:pPr>
              <w:rPr>
                <w:sz w:val="22"/>
                <w:szCs w:val="22"/>
                <w:lang w:eastAsia="en-AU"/>
              </w:rPr>
            </w:pPr>
            <w:r w:rsidRPr="0077128F">
              <w:rPr>
                <w:sz w:val="22"/>
                <w:szCs w:val="22"/>
                <w:lang w:eastAsia="en-AU"/>
              </w:rPr>
              <w:t>Climate Change Council</w:t>
            </w:r>
          </w:p>
        </w:tc>
        <w:tc>
          <w:tcPr>
            <w:tcW w:w="2812" w:type="dxa"/>
            <w:shd w:val="clear" w:color="auto" w:fill="auto"/>
          </w:tcPr>
          <w:p w14:paraId="30DCCBB1" w14:textId="51AC4671" w:rsidR="009E484F" w:rsidRPr="0077128F" w:rsidRDefault="009E484F" w:rsidP="001F0EA2">
            <w:pPr>
              <w:rPr>
                <w:sz w:val="22"/>
                <w:szCs w:val="22"/>
                <w:lang w:eastAsia="en-AU"/>
              </w:rPr>
            </w:pPr>
            <w:r w:rsidRPr="0077128F">
              <w:rPr>
                <w:sz w:val="22"/>
                <w:szCs w:val="22"/>
                <w:lang w:eastAsia="en-AU"/>
              </w:rPr>
              <w:t xml:space="preserve">Chair </w:t>
            </w:r>
          </w:p>
          <w:p w14:paraId="217F1866" w14:textId="5917365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56A5BAB"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27BC59FB" w14:textId="1C4B99AC" w:rsidR="009E484F" w:rsidRPr="0077128F" w:rsidRDefault="00296751" w:rsidP="00296751">
            <w:pPr>
              <w:jc w:val="center"/>
              <w:rPr>
                <w:sz w:val="22"/>
                <w:szCs w:val="22"/>
                <w:lang w:eastAsia="en-AU"/>
              </w:rPr>
            </w:pPr>
            <w:r w:rsidRPr="0077128F">
              <w:rPr>
                <w:bCs/>
                <w:sz w:val="22"/>
                <w:szCs w:val="22"/>
              </w:rPr>
              <w:t>$</w:t>
            </w:r>
            <w:r>
              <w:rPr>
                <w:bCs/>
                <w:sz w:val="22"/>
                <w:szCs w:val="22"/>
              </w:rPr>
              <w:t>505</w:t>
            </w:r>
          </w:p>
        </w:tc>
        <w:tc>
          <w:tcPr>
            <w:tcW w:w="1688" w:type="dxa"/>
            <w:gridSpan w:val="2"/>
          </w:tcPr>
          <w:p w14:paraId="737DF9A5" w14:textId="77777777" w:rsidR="009E484F" w:rsidRPr="0077128F" w:rsidRDefault="002C658A" w:rsidP="002C658A">
            <w:pPr>
              <w:jc w:val="center"/>
              <w:rPr>
                <w:sz w:val="22"/>
                <w:szCs w:val="22"/>
                <w:lang w:eastAsia="en-AU"/>
              </w:rPr>
            </w:pPr>
            <w:r w:rsidRPr="0077128F">
              <w:rPr>
                <w:sz w:val="22"/>
                <w:szCs w:val="22"/>
                <w:lang w:eastAsia="en-AU"/>
              </w:rPr>
              <w:t>-</w:t>
            </w:r>
          </w:p>
          <w:p w14:paraId="6795463F" w14:textId="0617FC1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36B4076" w14:textId="64B4CA42" w:rsidTr="0003415E">
        <w:trPr>
          <w:trHeight w:val="495"/>
          <w:jc w:val="center"/>
        </w:trPr>
        <w:tc>
          <w:tcPr>
            <w:tcW w:w="2830" w:type="dxa"/>
            <w:shd w:val="clear" w:color="auto" w:fill="auto"/>
          </w:tcPr>
          <w:p w14:paraId="156EB3D5" w14:textId="42DF2840" w:rsidR="009E484F" w:rsidRPr="0077128F" w:rsidRDefault="009E484F" w:rsidP="001F0EA2">
            <w:pPr>
              <w:rPr>
                <w:sz w:val="22"/>
                <w:szCs w:val="22"/>
                <w:lang w:eastAsia="en-AU"/>
              </w:rPr>
            </w:pPr>
            <w:r w:rsidRPr="0077128F">
              <w:rPr>
                <w:sz w:val="22"/>
                <w:szCs w:val="22"/>
                <w:lang w:eastAsia="en-AU"/>
              </w:rPr>
              <w:t>Corrections Adjudicator</w:t>
            </w:r>
          </w:p>
        </w:tc>
        <w:tc>
          <w:tcPr>
            <w:tcW w:w="2812" w:type="dxa"/>
            <w:shd w:val="clear" w:color="auto" w:fill="auto"/>
          </w:tcPr>
          <w:p w14:paraId="52F5A4BB" w14:textId="6A8D7B67" w:rsidR="009E484F" w:rsidRPr="0077128F" w:rsidRDefault="009E484F" w:rsidP="001F0EA2">
            <w:pPr>
              <w:rPr>
                <w:sz w:val="22"/>
                <w:szCs w:val="22"/>
                <w:lang w:eastAsia="en-AU"/>
              </w:rPr>
            </w:pPr>
            <w:r w:rsidRPr="0077128F">
              <w:rPr>
                <w:sz w:val="22"/>
                <w:szCs w:val="22"/>
                <w:lang w:eastAsia="en-AU"/>
              </w:rPr>
              <w:t xml:space="preserve">Corrections Adjudicator </w:t>
            </w:r>
          </w:p>
        </w:tc>
        <w:tc>
          <w:tcPr>
            <w:tcW w:w="1687" w:type="dxa"/>
            <w:gridSpan w:val="2"/>
            <w:shd w:val="clear" w:color="auto" w:fill="auto"/>
            <w:noWrap/>
          </w:tcPr>
          <w:p w14:paraId="34BD762C" w14:textId="5E20F1A3" w:rsidR="009E484F" w:rsidRPr="0077128F" w:rsidRDefault="00CE1EFA" w:rsidP="00997958">
            <w:pPr>
              <w:jc w:val="center"/>
              <w:rPr>
                <w:bCs/>
                <w:sz w:val="22"/>
                <w:szCs w:val="22"/>
                <w:lang w:eastAsia="en-AU"/>
              </w:rPr>
            </w:pPr>
            <w:r w:rsidRPr="0077128F">
              <w:rPr>
                <w:bCs/>
                <w:sz w:val="22"/>
                <w:szCs w:val="22"/>
              </w:rPr>
              <w:t>$5</w:t>
            </w:r>
            <w:r w:rsidR="00296751">
              <w:rPr>
                <w:bCs/>
                <w:sz w:val="22"/>
                <w:szCs w:val="22"/>
              </w:rPr>
              <w:t>9</w:t>
            </w:r>
            <w:r w:rsidR="00997958">
              <w:rPr>
                <w:bCs/>
                <w:sz w:val="22"/>
                <w:szCs w:val="22"/>
              </w:rPr>
              <w:t>0</w:t>
            </w:r>
          </w:p>
        </w:tc>
        <w:tc>
          <w:tcPr>
            <w:tcW w:w="1688" w:type="dxa"/>
            <w:gridSpan w:val="2"/>
          </w:tcPr>
          <w:p w14:paraId="06C02AFC" w14:textId="347123F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CEE061C" w14:textId="77777777" w:rsidTr="0003415E">
        <w:trPr>
          <w:trHeight w:val="610"/>
          <w:jc w:val="center"/>
        </w:trPr>
        <w:tc>
          <w:tcPr>
            <w:tcW w:w="2830" w:type="dxa"/>
            <w:shd w:val="clear" w:color="auto" w:fill="auto"/>
          </w:tcPr>
          <w:p w14:paraId="7521CAEF" w14:textId="1148D308" w:rsidR="001D466F" w:rsidRPr="0077128F" w:rsidRDefault="001D466F" w:rsidP="001D466F">
            <w:pPr>
              <w:rPr>
                <w:sz w:val="22"/>
                <w:szCs w:val="22"/>
                <w:lang w:eastAsia="en-AU"/>
              </w:rPr>
            </w:pPr>
            <w:r w:rsidRPr="0077128F">
              <w:rPr>
                <w:sz w:val="22"/>
                <w:szCs w:val="22"/>
                <w:lang w:eastAsia="en-AU"/>
              </w:rPr>
              <w:t>Creative Council</w:t>
            </w:r>
          </w:p>
        </w:tc>
        <w:tc>
          <w:tcPr>
            <w:tcW w:w="2812" w:type="dxa"/>
            <w:shd w:val="clear" w:color="auto" w:fill="auto"/>
          </w:tcPr>
          <w:p w14:paraId="4562B631" w14:textId="50C414A7" w:rsidR="001D466F" w:rsidRPr="0077128F" w:rsidRDefault="001D466F" w:rsidP="001D466F">
            <w:pPr>
              <w:rPr>
                <w:sz w:val="22"/>
                <w:szCs w:val="22"/>
                <w:lang w:eastAsia="en-AU"/>
              </w:rPr>
            </w:pPr>
            <w:r w:rsidRPr="0077128F">
              <w:rPr>
                <w:sz w:val="22"/>
                <w:szCs w:val="22"/>
                <w:lang w:eastAsia="en-AU"/>
              </w:rPr>
              <w:t xml:space="preserve">Chair </w:t>
            </w:r>
          </w:p>
          <w:p w14:paraId="76F45050" w14:textId="0D593CA3" w:rsidR="001D466F" w:rsidRPr="0077128F" w:rsidRDefault="001D466F" w:rsidP="001D466F">
            <w:pPr>
              <w:rPr>
                <w:sz w:val="22"/>
                <w:szCs w:val="22"/>
                <w:lang w:eastAsia="en-AU"/>
              </w:rPr>
            </w:pPr>
            <w:r w:rsidRPr="0077128F">
              <w:rPr>
                <w:sz w:val="22"/>
                <w:szCs w:val="22"/>
                <w:lang w:eastAsia="en-AU"/>
              </w:rPr>
              <w:t xml:space="preserve">Deputy Chair </w:t>
            </w:r>
          </w:p>
          <w:p w14:paraId="2C731CA0" w14:textId="3377F742" w:rsidR="001D466F" w:rsidRPr="0077128F" w:rsidRDefault="001D466F" w:rsidP="001D466F">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A48E1BC" w14:textId="0DF5B4D3" w:rsidR="001D466F" w:rsidRPr="0077128F" w:rsidRDefault="001D466F" w:rsidP="001D466F">
            <w:pPr>
              <w:jc w:val="center"/>
              <w:rPr>
                <w:bCs/>
                <w:sz w:val="22"/>
                <w:szCs w:val="22"/>
              </w:rPr>
            </w:pPr>
            <w:r w:rsidRPr="0077128F">
              <w:rPr>
                <w:bCs/>
                <w:sz w:val="22"/>
                <w:szCs w:val="22"/>
              </w:rPr>
              <w:t>$5</w:t>
            </w:r>
            <w:r w:rsidR="00296751">
              <w:rPr>
                <w:bCs/>
                <w:sz w:val="22"/>
                <w:szCs w:val="22"/>
              </w:rPr>
              <w:t>9</w:t>
            </w:r>
            <w:r w:rsidR="00997958">
              <w:rPr>
                <w:bCs/>
                <w:sz w:val="22"/>
                <w:szCs w:val="22"/>
              </w:rPr>
              <w:t>0</w:t>
            </w:r>
          </w:p>
          <w:p w14:paraId="79089B7F" w14:textId="355CAAB7" w:rsidR="001D466F" w:rsidRPr="0077128F" w:rsidRDefault="001D466F" w:rsidP="001D466F">
            <w:pPr>
              <w:jc w:val="center"/>
              <w:rPr>
                <w:bCs/>
                <w:sz w:val="22"/>
                <w:szCs w:val="22"/>
              </w:rPr>
            </w:pPr>
            <w:r w:rsidRPr="0077128F">
              <w:rPr>
                <w:bCs/>
                <w:sz w:val="22"/>
                <w:szCs w:val="22"/>
              </w:rPr>
              <w:t>$5</w:t>
            </w:r>
            <w:r w:rsidR="00296751">
              <w:rPr>
                <w:bCs/>
                <w:sz w:val="22"/>
                <w:szCs w:val="22"/>
              </w:rPr>
              <w:t>5</w:t>
            </w:r>
            <w:r w:rsidR="00997958">
              <w:rPr>
                <w:bCs/>
                <w:sz w:val="22"/>
                <w:szCs w:val="22"/>
              </w:rPr>
              <w:t>0</w:t>
            </w:r>
          </w:p>
          <w:p w14:paraId="571DEBE2" w14:textId="40880492" w:rsidR="001D466F" w:rsidRPr="0077128F" w:rsidRDefault="001D466F" w:rsidP="00997958">
            <w:pPr>
              <w:jc w:val="center"/>
              <w:rPr>
                <w:sz w:val="22"/>
                <w:szCs w:val="22"/>
                <w:lang w:eastAsia="en-AU"/>
              </w:rPr>
            </w:pPr>
            <w:r w:rsidRPr="0077128F">
              <w:rPr>
                <w:bCs/>
                <w:sz w:val="22"/>
                <w:szCs w:val="22"/>
              </w:rPr>
              <w:t>$</w:t>
            </w:r>
            <w:r w:rsidR="00296751">
              <w:rPr>
                <w:bCs/>
                <w:sz w:val="22"/>
                <w:szCs w:val="22"/>
              </w:rPr>
              <w:t>505</w:t>
            </w:r>
          </w:p>
        </w:tc>
        <w:tc>
          <w:tcPr>
            <w:tcW w:w="1688" w:type="dxa"/>
            <w:gridSpan w:val="2"/>
          </w:tcPr>
          <w:p w14:paraId="3C62CA45" w14:textId="77777777" w:rsidR="001D466F" w:rsidRPr="0077128F" w:rsidRDefault="001D466F" w:rsidP="001D466F">
            <w:pPr>
              <w:jc w:val="center"/>
              <w:rPr>
                <w:sz w:val="22"/>
                <w:szCs w:val="22"/>
                <w:lang w:eastAsia="en-AU"/>
              </w:rPr>
            </w:pPr>
            <w:r w:rsidRPr="0077128F">
              <w:rPr>
                <w:sz w:val="22"/>
                <w:szCs w:val="22"/>
                <w:lang w:eastAsia="en-AU"/>
              </w:rPr>
              <w:t>-</w:t>
            </w:r>
          </w:p>
          <w:p w14:paraId="34F687E4" w14:textId="77777777" w:rsidR="001D466F" w:rsidRPr="0077128F" w:rsidRDefault="001D466F" w:rsidP="001D466F">
            <w:pPr>
              <w:jc w:val="center"/>
              <w:rPr>
                <w:sz w:val="22"/>
                <w:szCs w:val="22"/>
                <w:lang w:eastAsia="en-AU"/>
              </w:rPr>
            </w:pPr>
            <w:r w:rsidRPr="0077128F">
              <w:rPr>
                <w:sz w:val="22"/>
                <w:szCs w:val="22"/>
                <w:lang w:eastAsia="en-AU"/>
              </w:rPr>
              <w:t>-</w:t>
            </w:r>
          </w:p>
          <w:p w14:paraId="31EF1B10" w14:textId="70C812F6" w:rsidR="001D466F" w:rsidRPr="0077128F" w:rsidRDefault="001D466F" w:rsidP="001D466F">
            <w:pPr>
              <w:jc w:val="center"/>
              <w:rPr>
                <w:bCs/>
                <w:sz w:val="22"/>
                <w:szCs w:val="22"/>
              </w:rPr>
            </w:pPr>
            <w:r w:rsidRPr="0077128F">
              <w:rPr>
                <w:sz w:val="22"/>
                <w:szCs w:val="22"/>
                <w:lang w:eastAsia="en-AU"/>
              </w:rPr>
              <w:t>-</w:t>
            </w:r>
          </w:p>
        </w:tc>
      </w:tr>
      <w:tr w:rsidR="0077128F" w:rsidRPr="0077128F" w14:paraId="499E1C26" w14:textId="153DB355" w:rsidTr="0003415E">
        <w:trPr>
          <w:trHeight w:val="610"/>
          <w:jc w:val="center"/>
        </w:trPr>
        <w:tc>
          <w:tcPr>
            <w:tcW w:w="2830" w:type="dxa"/>
            <w:shd w:val="clear" w:color="auto" w:fill="auto"/>
          </w:tcPr>
          <w:p w14:paraId="7E0F34F4" w14:textId="77777777" w:rsidR="009E484F" w:rsidRPr="00FE0799" w:rsidRDefault="009E484F" w:rsidP="001F0EA2">
            <w:pPr>
              <w:rPr>
                <w:sz w:val="22"/>
                <w:szCs w:val="22"/>
                <w:lang w:eastAsia="en-AU"/>
              </w:rPr>
            </w:pPr>
            <w:r w:rsidRPr="00FE0799">
              <w:rPr>
                <w:sz w:val="22"/>
                <w:szCs w:val="22"/>
                <w:lang w:eastAsia="en-AU"/>
              </w:rPr>
              <w:t>Cultural Facilities Corporation Board</w:t>
            </w:r>
          </w:p>
        </w:tc>
        <w:tc>
          <w:tcPr>
            <w:tcW w:w="2812" w:type="dxa"/>
            <w:shd w:val="clear" w:color="auto" w:fill="auto"/>
          </w:tcPr>
          <w:p w14:paraId="286F6928" w14:textId="425B696F" w:rsidR="009E484F" w:rsidRPr="00FE0799" w:rsidRDefault="009E484F" w:rsidP="001F0EA2">
            <w:pPr>
              <w:rPr>
                <w:sz w:val="22"/>
                <w:szCs w:val="22"/>
                <w:lang w:eastAsia="en-AU"/>
              </w:rPr>
            </w:pPr>
            <w:r w:rsidRPr="00FE0799">
              <w:rPr>
                <w:sz w:val="22"/>
                <w:szCs w:val="22"/>
                <w:lang w:eastAsia="en-AU"/>
              </w:rPr>
              <w:t xml:space="preserve">Chair </w:t>
            </w:r>
          </w:p>
          <w:p w14:paraId="5521E864" w14:textId="47E8AF40" w:rsidR="009E484F" w:rsidRPr="00FE0799" w:rsidRDefault="009E484F" w:rsidP="001F0EA2">
            <w:pPr>
              <w:rPr>
                <w:sz w:val="22"/>
                <w:szCs w:val="22"/>
                <w:lang w:eastAsia="en-AU"/>
              </w:rPr>
            </w:pPr>
            <w:r w:rsidRPr="00FE0799">
              <w:rPr>
                <w:sz w:val="22"/>
                <w:szCs w:val="22"/>
                <w:lang w:eastAsia="en-AU"/>
              </w:rPr>
              <w:t xml:space="preserve">Deputy </w:t>
            </w:r>
            <w:r w:rsidR="005C15D6" w:rsidRPr="00FE0799">
              <w:rPr>
                <w:sz w:val="22"/>
                <w:szCs w:val="22"/>
                <w:lang w:eastAsia="en-AU"/>
              </w:rPr>
              <w:t>C</w:t>
            </w:r>
            <w:r w:rsidRPr="00FE0799">
              <w:rPr>
                <w:sz w:val="22"/>
                <w:szCs w:val="22"/>
                <w:lang w:eastAsia="en-AU"/>
              </w:rPr>
              <w:t xml:space="preserve">hair </w:t>
            </w:r>
          </w:p>
          <w:p w14:paraId="10DD1B66" w14:textId="4498019E" w:rsidR="009E484F" w:rsidRPr="00FE0799" w:rsidRDefault="009E484F" w:rsidP="001F0EA2">
            <w:pPr>
              <w:rPr>
                <w:sz w:val="22"/>
                <w:szCs w:val="22"/>
                <w:lang w:eastAsia="en-AU"/>
              </w:rPr>
            </w:pPr>
            <w:r w:rsidRPr="00FE0799">
              <w:rPr>
                <w:sz w:val="22"/>
                <w:szCs w:val="22"/>
                <w:lang w:eastAsia="en-AU"/>
              </w:rPr>
              <w:t xml:space="preserve">Member </w:t>
            </w:r>
          </w:p>
        </w:tc>
        <w:tc>
          <w:tcPr>
            <w:tcW w:w="1687" w:type="dxa"/>
            <w:gridSpan w:val="2"/>
            <w:shd w:val="clear" w:color="auto" w:fill="auto"/>
            <w:noWrap/>
          </w:tcPr>
          <w:p w14:paraId="734CEB27" w14:textId="77777777" w:rsidR="009E484F" w:rsidRPr="00FE0799" w:rsidRDefault="002C658A" w:rsidP="002C658A">
            <w:pPr>
              <w:jc w:val="center"/>
              <w:rPr>
                <w:sz w:val="22"/>
                <w:szCs w:val="22"/>
                <w:lang w:eastAsia="en-AU"/>
              </w:rPr>
            </w:pPr>
            <w:r w:rsidRPr="00FE0799">
              <w:rPr>
                <w:sz w:val="22"/>
                <w:szCs w:val="22"/>
                <w:lang w:eastAsia="en-AU"/>
              </w:rPr>
              <w:t>-</w:t>
            </w:r>
          </w:p>
          <w:p w14:paraId="68E62563" w14:textId="77777777" w:rsidR="002C658A" w:rsidRPr="00FE0799" w:rsidRDefault="002C658A" w:rsidP="002C658A">
            <w:pPr>
              <w:jc w:val="center"/>
              <w:rPr>
                <w:sz w:val="22"/>
                <w:szCs w:val="22"/>
                <w:lang w:eastAsia="en-AU"/>
              </w:rPr>
            </w:pPr>
            <w:r w:rsidRPr="00FE0799">
              <w:rPr>
                <w:sz w:val="22"/>
                <w:szCs w:val="22"/>
                <w:lang w:eastAsia="en-AU"/>
              </w:rPr>
              <w:t>-</w:t>
            </w:r>
          </w:p>
          <w:p w14:paraId="5179D2F0" w14:textId="2BF6C1AF" w:rsidR="002C658A" w:rsidRPr="00FE0799" w:rsidRDefault="002C658A" w:rsidP="002C658A">
            <w:pPr>
              <w:jc w:val="center"/>
              <w:rPr>
                <w:sz w:val="22"/>
                <w:szCs w:val="22"/>
                <w:lang w:eastAsia="en-AU"/>
              </w:rPr>
            </w:pPr>
            <w:r w:rsidRPr="00FE0799">
              <w:rPr>
                <w:sz w:val="22"/>
                <w:szCs w:val="22"/>
                <w:lang w:eastAsia="en-AU"/>
              </w:rPr>
              <w:t>-</w:t>
            </w:r>
          </w:p>
        </w:tc>
        <w:tc>
          <w:tcPr>
            <w:tcW w:w="1688" w:type="dxa"/>
            <w:gridSpan w:val="2"/>
          </w:tcPr>
          <w:p w14:paraId="14DB1DF0" w14:textId="6155FD8F" w:rsidR="00B64415" w:rsidRPr="00FE0799" w:rsidRDefault="00B64415" w:rsidP="00B64415">
            <w:pPr>
              <w:jc w:val="center"/>
              <w:rPr>
                <w:bCs/>
                <w:sz w:val="22"/>
                <w:szCs w:val="22"/>
              </w:rPr>
            </w:pPr>
            <w:r w:rsidRPr="00FE0799">
              <w:rPr>
                <w:bCs/>
                <w:sz w:val="22"/>
                <w:szCs w:val="22"/>
              </w:rPr>
              <w:t>$2</w:t>
            </w:r>
            <w:r w:rsidR="00FE0799" w:rsidRPr="00FE0799">
              <w:rPr>
                <w:bCs/>
                <w:sz w:val="22"/>
                <w:szCs w:val="22"/>
              </w:rPr>
              <w:t>9,550</w:t>
            </w:r>
          </w:p>
          <w:p w14:paraId="351835E9" w14:textId="55D83CB7" w:rsidR="00B64415" w:rsidRPr="00FE0799" w:rsidRDefault="00B64415" w:rsidP="00B64415">
            <w:pPr>
              <w:jc w:val="center"/>
              <w:rPr>
                <w:bCs/>
                <w:sz w:val="22"/>
                <w:szCs w:val="22"/>
              </w:rPr>
            </w:pPr>
            <w:r w:rsidRPr="00FE0799">
              <w:rPr>
                <w:bCs/>
                <w:sz w:val="22"/>
                <w:szCs w:val="22"/>
              </w:rPr>
              <w:t>$14,</w:t>
            </w:r>
            <w:r w:rsidR="00FE0799" w:rsidRPr="00FE0799">
              <w:rPr>
                <w:bCs/>
                <w:sz w:val="22"/>
                <w:szCs w:val="22"/>
              </w:rPr>
              <w:t>790</w:t>
            </w:r>
          </w:p>
          <w:p w14:paraId="7B1576AD" w14:textId="20182D9D" w:rsidR="009E484F" w:rsidRPr="00FE0799" w:rsidRDefault="00B64415" w:rsidP="00997958">
            <w:pPr>
              <w:ind w:left="358" w:hanging="358"/>
              <w:jc w:val="center"/>
              <w:rPr>
                <w:bCs/>
                <w:sz w:val="22"/>
                <w:szCs w:val="22"/>
              </w:rPr>
            </w:pPr>
            <w:r w:rsidRPr="00FE0799">
              <w:rPr>
                <w:bCs/>
                <w:sz w:val="22"/>
                <w:szCs w:val="22"/>
              </w:rPr>
              <w:t>$</w:t>
            </w:r>
            <w:r w:rsidR="00997958" w:rsidRPr="00FE0799">
              <w:rPr>
                <w:bCs/>
                <w:sz w:val="22"/>
                <w:szCs w:val="22"/>
              </w:rPr>
              <w:t>10,</w:t>
            </w:r>
            <w:r w:rsidR="00FE0799" w:rsidRPr="00FE0799">
              <w:rPr>
                <w:bCs/>
                <w:sz w:val="22"/>
                <w:szCs w:val="22"/>
              </w:rPr>
              <w:t>365</w:t>
            </w:r>
          </w:p>
        </w:tc>
      </w:tr>
      <w:tr w:rsidR="0077128F" w:rsidRPr="0077128F" w14:paraId="037F5420" w14:textId="0176D0E6" w:rsidTr="0003415E">
        <w:trPr>
          <w:trHeight w:val="1129"/>
          <w:jc w:val="center"/>
        </w:trPr>
        <w:tc>
          <w:tcPr>
            <w:tcW w:w="2830" w:type="dxa"/>
            <w:shd w:val="clear" w:color="auto" w:fill="auto"/>
          </w:tcPr>
          <w:p w14:paraId="179EEDC8" w14:textId="6035284C" w:rsidR="009E484F" w:rsidRPr="0077128F" w:rsidRDefault="009E484F" w:rsidP="00D568D6">
            <w:pPr>
              <w:rPr>
                <w:sz w:val="22"/>
                <w:szCs w:val="22"/>
                <w:lang w:eastAsia="en-AU"/>
              </w:rPr>
            </w:pPr>
            <w:r w:rsidRPr="0077128F">
              <w:rPr>
                <w:sz w:val="22"/>
                <w:szCs w:val="22"/>
                <w:lang w:eastAsia="en-AU"/>
              </w:rPr>
              <w:t>Defence Industry Advisory Board</w:t>
            </w:r>
          </w:p>
        </w:tc>
        <w:tc>
          <w:tcPr>
            <w:tcW w:w="2812" w:type="dxa"/>
            <w:shd w:val="clear" w:color="auto" w:fill="auto"/>
          </w:tcPr>
          <w:p w14:paraId="4714CEF3" w14:textId="1682DC4C" w:rsidR="009E484F" w:rsidRPr="0077128F" w:rsidRDefault="009E484F" w:rsidP="001F0EA2">
            <w:pPr>
              <w:rPr>
                <w:sz w:val="22"/>
                <w:szCs w:val="22"/>
                <w:lang w:eastAsia="en-AU"/>
              </w:rPr>
            </w:pPr>
            <w:r w:rsidRPr="0077128F">
              <w:rPr>
                <w:sz w:val="22"/>
                <w:szCs w:val="22"/>
                <w:lang w:eastAsia="en-AU"/>
              </w:rPr>
              <w:t xml:space="preserve">Chair </w:t>
            </w:r>
          </w:p>
          <w:p w14:paraId="27139E3F" w14:textId="3CA991C7" w:rsidR="009E484F" w:rsidRPr="0077128F" w:rsidRDefault="009E484F" w:rsidP="008306EE">
            <w:pPr>
              <w:ind w:left="-11"/>
              <w:rPr>
                <w:sz w:val="22"/>
                <w:szCs w:val="22"/>
                <w:lang w:eastAsia="en-AU"/>
              </w:rPr>
            </w:pPr>
            <w:r w:rsidRPr="0077128F">
              <w:rPr>
                <w:sz w:val="22"/>
                <w:szCs w:val="22"/>
                <w:lang w:eastAsia="en-AU"/>
              </w:rPr>
              <w:t xml:space="preserve">Defence Ambassador </w:t>
            </w:r>
            <w:r w:rsidRPr="0077128F">
              <w:rPr>
                <w:sz w:val="22"/>
                <w:szCs w:val="22"/>
                <w:lang w:eastAsia="en-AU"/>
              </w:rPr>
              <w:br/>
              <w:t xml:space="preserve">Defence Industry Sector Member  </w:t>
            </w:r>
          </w:p>
        </w:tc>
        <w:tc>
          <w:tcPr>
            <w:tcW w:w="1687" w:type="dxa"/>
            <w:gridSpan w:val="2"/>
            <w:shd w:val="clear" w:color="auto" w:fill="auto"/>
            <w:noWrap/>
          </w:tcPr>
          <w:p w14:paraId="17CBAA3A" w14:textId="77777777" w:rsidR="009E484F" w:rsidRPr="0077128F" w:rsidRDefault="002C658A" w:rsidP="002C658A">
            <w:pPr>
              <w:jc w:val="center"/>
              <w:rPr>
                <w:sz w:val="22"/>
                <w:szCs w:val="22"/>
                <w:lang w:eastAsia="en-AU"/>
              </w:rPr>
            </w:pPr>
            <w:r w:rsidRPr="0077128F">
              <w:rPr>
                <w:sz w:val="22"/>
                <w:szCs w:val="22"/>
                <w:lang w:eastAsia="en-AU"/>
              </w:rPr>
              <w:t>-</w:t>
            </w:r>
          </w:p>
          <w:p w14:paraId="6D971BF9" w14:textId="3300323B" w:rsidR="002C658A" w:rsidRPr="0077128F" w:rsidRDefault="002C658A" w:rsidP="002C658A">
            <w:pPr>
              <w:jc w:val="center"/>
              <w:rPr>
                <w:sz w:val="22"/>
                <w:szCs w:val="22"/>
                <w:lang w:eastAsia="en-AU"/>
              </w:rPr>
            </w:pPr>
            <w:r w:rsidRPr="0077128F">
              <w:rPr>
                <w:sz w:val="22"/>
                <w:szCs w:val="22"/>
                <w:lang w:eastAsia="en-AU"/>
              </w:rPr>
              <w:t>-</w:t>
            </w:r>
          </w:p>
          <w:p w14:paraId="5E2FB321" w14:textId="77777777" w:rsidR="00B64415" w:rsidRPr="0077128F" w:rsidRDefault="00B64415" w:rsidP="002C658A">
            <w:pPr>
              <w:jc w:val="center"/>
              <w:rPr>
                <w:bCs/>
                <w:sz w:val="22"/>
                <w:szCs w:val="22"/>
              </w:rPr>
            </w:pPr>
          </w:p>
          <w:p w14:paraId="7B4E3CCC" w14:textId="6FC4CF76" w:rsidR="009E484F" w:rsidRPr="0077128F" w:rsidRDefault="009E484F" w:rsidP="00997958">
            <w:pPr>
              <w:jc w:val="center"/>
              <w:rPr>
                <w:sz w:val="22"/>
                <w:szCs w:val="22"/>
                <w:lang w:eastAsia="en-AU"/>
              </w:rPr>
            </w:pPr>
            <w:r w:rsidRPr="0077128F">
              <w:rPr>
                <w:bCs/>
                <w:sz w:val="22"/>
                <w:szCs w:val="22"/>
              </w:rPr>
              <w:t>$</w:t>
            </w:r>
            <w:r w:rsidR="00296751">
              <w:rPr>
                <w:bCs/>
                <w:sz w:val="22"/>
                <w:szCs w:val="22"/>
              </w:rPr>
              <w:t>615</w:t>
            </w:r>
          </w:p>
        </w:tc>
        <w:tc>
          <w:tcPr>
            <w:tcW w:w="1688" w:type="dxa"/>
            <w:gridSpan w:val="2"/>
          </w:tcPr>
          <w:p w14:paraId="15DED37C" w14:textId="18C5657B" w:rsidR="00B64415" w:rsidRPr="0077128F" w:rsidRDefault="00B64415" w:rsidP="00B64415">
            <w:pPr>
              <w:jc w:val="center"/>
              <w:rPr>
                <w:bCs/>
                <w:sz w:val="22"/>
                <w:szCs w:val="22"/>
              </w:rPr>
            </w:pPr>
            <w:r w:rsidRPr="0077128F">
              <w:rPr>
                <w:bCs/>
                <w:sz w:val="22"/>
                <w:szCs w:val="22"/>
              </w:rPr>
              <w:t>$</w:t>
            </w:r>
            <w:r w:rsidR="00997958">
              <w:rPr>
                <w:bCs/>
                <w:sz w:val="22"/>
                <w:szCs w:val="22"/>
              </w:rPr>
              <w:t>3</w:t>
            </w:r>
            <w:r w:rsidR="00296751">
              <w:rPr>
                <w:bCs/>
                <w:sz w:val="22"/>
                <w:szCs w:val="22"/>
              </w:rPr>
              <w:t>8</w:t>
            </w:r>
            <w:r w:rsidR="00997958">
              <w:rPr>
                <w:bCs/>
                <w:sz w:val="22"/>
                <w:szCs w:val="22"/>
              </w:rPr>
              <w:t>,</w:t>
            </w:r>
            <w:r w:rsidR="00296751">
              <w:rPr>
                <w:bCs/>
                <w:sz w:val="22"/>
                <w:szCs w:val="22"/>
              </w:rPr>
              <w:t>640</w:t>
            </w:r>
          </w:p>
          <w:p w14:paraId="76DF43F6" w14:textId="73EDE87E" w:rsidR="00B64415" w:rsidRPr="0077128F" w:rsidRDefault="00B64415" w:rsidP="00B64415">
            <w:pPr>
              <w:jc w:val="center"/>
              <w:rPr>
                <w:bCs/>
                <w:sz w:val="22"/>
                <w:szCs w:val="22"/>
              </w:rPr>
            </w:pPr>
            <w:r w:rsidRPr="0077128F">
              <w:rPr>
                <w:bCs/>
                <w:sz w:val="22"/>
                <w:szCs w:val="22"/>
              </w:rPr>
              <w:t>$</w:t>
            </w:r>
            <w:r w:rsidR="00997958">
              <w:rPr>
                <w:bCs/>
                <w:sz w:val="22"/>
                <w:szCs w:val="22"/>
              </w:rPr>
              <w:t>2</w:t>
            </w:r>
            <w:r w:rsidR="00296751">
              <w:rPr>
                <w:bCs/>
                <w:sz w:val="22"/>
                <w:szCs w:val="22"/>
              </w:rPr>
              <w:t>7</w:t>
            </w:r>
            <w:r w:rsidR="00997958">
              <w:rPr>
                <w:bCs/>
                <w:sz w:val="22"/>
                <w:szCs w:val="22"/>
              </w:rPr>
              <w:t>,</w:t>
            </w:r>
            <w:r w:rsidR="00296751">
              <w:rPr>
                <w:bCs/>
                <w:sz w:val="22"/>
                <w:szCs w:val="22"/>
              </w:rPr>
              <w:t>605</w:t>
            </w:r>
          </w:p>
          <w:p w14:paraId="0A40C00F" w14:textId="77777777" w:rsidR="00B64415" w:rsidRPr="0077128F" w:rsidRDefault="00B64415" w:rsidP="002C658A">
            <w:pPr>
              <w:jc w:val="center"/>
              <w:rPr>
                <w:bCs/>
                <w:sz w:val="22"/>
                <w:szCs w:val="22"/>
              </w:rPr>
            </w:pPr>
          </w:p>
          <w:p w14:paraId="4638B962" w14:textId="7CBD5529" w:rsidR="002C658A" w:rsidRPr="0077128F" w:rsidRDefault="008306EE" w:rsidP="00B64415">
            <w:pPr>
              <w:jc w:val="center"/>
              <w:rPr>
                <w:bCs/>
                <w:sz w:val="22"/>
                <w:szCs w:val="22"/>
              </w:rPr>
            </w:pPr>
            <w:r w:rsidRPr="0077128F">
              <w:rPr>
                <w:bCs/>
                <w:sz w:val="22"/>
                <w:szCs w:val="22"/>
              </w:rPr>
              <w:t>-</w:t>
            </w:r>
          </w:p>
        </w:tc>
      </w:tr>
      <w:tr w:rsidR="0077128F" w:rsidRPr="0077128F" w14:paraId="078ACCCA" w14:textId="092CB66E" w:rsidTr="0003415E">
        <w:trPr>
          <w:trHeight w:val="610"/>
          <w:jc w:val="center"/>
        </w:trPr>
        <w:tc>
          <w:tcPr>
            <w:tcW w:w="2830" w:type="dxa"/>
            <w:shd w:val="clear" w:color="auto" w:fill="auto"/>
          </w:tcPr>
          <w:p w14:paraId="75C1486D" w14:textId="591919D0" w:rsidR="009E484F" w:rsidRPr="0077128F" w:rsidRDefault="009E484F" w:rsidP="001F0EA2">
            <w:pPr>
              <w:rPr>
                <w:sz w:val="22"/>
                <w:szCs w:val="22"/>
                <w:lang w:eastAsia="en-AU"/>
              </w:rPr>
            </w:pPr>
            <w:r w:rsidRPr="0077128F">
              <w:rPr>
                <w:sz w:val="22"/>
                <w:szCs w:val="22"/>
                <w:lang w:eastAsia="en-AU"/>
              </w:rPr>
              <w:t>Disability Reference Group</w:t>
            </w:r>
          </w:p>
        </w:tc>
        <w:tc>
          <w:tcPr>
            <w:tcW w:w="2812" w:type="dxa"/>
            <w:shd w:val="clear" w:color="auto" w:fill="auto"/>
          </w:tcPr>
          <w:p w14:paraId="1304617B" w14:textId="1293636F" w:rsidR="009E484F" w:rsidRPr="0077128F" w:rsidRDefault="009E484F" w:rsidP="001F0EA2">
            <w:pPr>
              <w:rPr>
                <w:sz w:val="22"/>
                <w:szCs w:val="22"/>
                <w:lang w:eastAsia="en-AU"/>
              </w:rPr>
            </w:pPr>
            <w:r w:rsidRPr="0077128F">
              <w:rPr>
                <w:sz w:val="22"/>
                <w:szCs w:val="22"/>
                <w:lang w:eastAsia="en-AU"/>
              </w:rPr>
              <w:t xml:space="preserve">Chair </w:t>
            </w:r>
          </w:p>
          <w:p w14:paraId="2A1C641B" w14:textId="3B5A4FA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8A2BA22"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131AD5DA" w14:textId="15CB9C18" w:rsidR="009E484F" w:rsidRPr="0077128F" w:rsidRDefault="00296751" w:rsidP="00296751">
            <w:pPr>
              <w:jc w:val="center"/>
              <w:rPr>
                <w:sz w:val="22"/>
                <w:szCs w:val="22"/>
                <w:lang w:eastAsia="en-AU"/>
              </w:rPr>
            </w:pPr>
            <w:r w:rsidRPr="0077128F">
              <w:rPr>
                <w:bCs/>
                <w:sz w:val="22"/>
                <w:szCs w:val="22"/>
              </w:rPr>
              <w:t>$</w:t>
            </w:r>
            <w:r>
              <w:rPr>
                <w:bCs/>
                <w:sz w:val="22"/>
                <w:szCs w:val="22"/>
              </w:rPr>
              <w:t>505</w:t>
            </w:r>
          </w:p>
        </w:tc>
        <w:tc>
          <w:tcPr>
            <w:tcW w:w="1688" w:type="dxa"/>
            <w:gridSpan w:val="2"/>
          </w:tcPr>
          <w:p w14:paraId="3234D521" w14:textId="77777777" w:rsidR="009E484F" w:rsidRPr="0077128F" w:rsidRDefault="002C658A" w:rsidP="002C658A">
            <w:pPr>
              <w:jc w:val="center"/>
              <w:rPr>
                <w:sz w:val="22"/>
                <w:szCs w:val="22"/>
                <w:lang w:eastAsia="en-AU"/>
              </w:rPr>
            </w:pPr>
            <w:r w:rsidRPr="0077128F">
              <w:rPr>
                <w:sz w:val="22"/>
                <w:szCs w:val="22"/>
                <w:lang w:eastAsia="en-AU"/>
              </w:rPr>
              <w:t>-</w:t>
            </w:r>
          </w:p>
          <w:p w14:paraId="135F4007" w14:textId="6B92FD6B" w:rsidR="002C658A" w:rsidRPr="0077128F" w:rsidRDefault="002C658A" w:rsidP="002C658A">
            <w:pPr>
              <w:jc w:val="center"/>
              <w:rPr>
                <w:sz w:val="22"/>
                <w:szCs w:val="22"/>
                <w:lang w:eastAsia="en-AU"/>
              </w:rPr>
            </w:pPr>
            <w:r w:rsidRPr="0077128F">
              <w:rPr>
                <w:sz w:val="22"/>
                <w:szCs w:val="22"/>
                <w:lang w:eastAsia="en-AU"/>
              </w:rPr>
              <w:t>-</w:t>
            </w:r>
          </w:p>
        </w:tc>
      </w:tr>
      <w:tr w:rsidR="00054C69" w:rsidRPr="0077128F" w14:paraId="66B2A83F" w14:textId="77777777" w:rsidTr="0003415E">
        <w:trPr>
          <w:trHeight w:val="610"/>
          <w:jc w:val="center"/>
        </w:trPr>
        <w:tc>
          <w:tcPr>
            <w:tcW w:w="2830" w:type="dxa"/>
            <w:shd w:val="clear" w:color="auto" w:fill="auto"/>
          </w:tcPr>
          <w:p w14:paraId="4B02A322" w14:textId="394158CF" w:rsidR="00054C69" w:rsidRPr="00CA7C51" w:rsidRDefault="00054C69" w:rsidP="001F0EA2">
            <w:pPr>
              <w:rPr>
                <w:color w:val="000000" w:themeColor="text1"/>
                <w:sz w:val="22"/>
                <w:szCs w:val="22"/>
                <w:lang w:eastAsia="en-AU"/>
              </w:rPr>
            </w:pPr>
            <w:r w:rsidRPr="00CA7C51">
              <w:rPr>
                <w:color w:val="000000" w:themeColor="text1"/>
                <w:sz w:val="22"/>
                <w:szCs w:val="22"/>
                <w:lang w:eastAsia="en-AU"/>
              </w:rPr>
              <w:t>Diversification and Sustainability Support Fund Advisory Board</w:t>
            </w:r>
          </w:p>
        </w:tc>
        <w:tc>
          <w:tcPr>
            <w:tcW w:w="2812" w:type="dxa"/>
            <w:shd w:val="clear" w:color="auto" w:fill="auto"/>
          </w:tcPr>
          <w:p w14:paraId="1F481BD3"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3F392BAA" w14:textId="2C6029BF"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28A3736"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0F4CEA35" w14:textId="7B74DD05" w:rsidR="00054C69" w:rsidRPr="00CA7C51" w:rsidRDefault="00296751" w:rsidP="00296751">
            <w:pPr>
              <w:jc w:val="center"/>
              <w:rPr>
                <w:bCs/>
                <w:color w:val="000000" w:themeColor="text1"/>
                <w:sz w:val="22"/>
                <w:szCs w:val="22"/>
              </w:rPr>
            </w:pPr>
            <w:r w:rsidRPr="0077128F">
              <w:rPr>
                <w:bCs/>
                <w:sz w:val="22"/>
                <w:szCs w:val="22"/>
              </w:rPr>
              <w:t>$</w:t>
            </w:r>
            <w:r>
              <w:rPr>
                <w:bCs/>
                <w:sz w:val="22"/>
                <w:szCs w:val="22"/>
              </w:rPr>
              <w:t>505</w:t>
            </w:r>
          </w:p>
        </w:tc>
        <w:tc>
          <w:tcPr>
            <w:tcW w:w="1688" w:type="dxa"/>
            <w:gridSpan w:val="2"/>
          </w:tcPr>
          <w:p w14:paraId="14C1B7BE" w14:textId="4F046F73" w:rsidR="00054C69" w:rsidRPr="00054C69" w:rsidRDefault="00054C69" w:rsidP="002C658A">
            <w:pPr>
              <w:jc w:val="center"/>
              <w:rPr>
                <w:color w:val="FF0000"/>
                <w:sz w:val="22"/>
                <w:szCs w:val="22"/>
                <w:lang w:eastAsia="en-AU"/>
              </w:rPr>
            </w:pPr>
            <w:r w:rsidRPr="00054C69">
              <w:rPr>
                <w:color w:val="FF0000"/>
                <w:sz w:val="22"/>
                <w:szCs w:val="22"/>
                <w:lang w:eastAsia="en-AU"/>
              </w:rPr>
              <w:t>-</w:t>
            </w:r>
          </w:p>
        </w:tc>
      </w:tr>
      <w:tr w:rsidR="0077128F" w:rsidRPr="0077128F" w14:paraId="7E7B8042" w14:textId="48280A82" w:rsidTr="0003415E">
        <w:trPr>
          <w:trHeight w:val="610"/>
          <w:jc w:val="center"/>
        </w:trPr>
        <w:tc>
          <w:tcPr>
            <w:tcW w:w="2830" w:type="dxa"/>
            <w:shd w:val="clear" w:color="auto" w:fill="auto"/>
            <w:hideMark/>
          </w:tcPr>
          <w:p w14:paraId="70BD69C9" w14:textId="2FE1269C" w:rsidR="009E484F" w:rsidRPr="0077128F" w:rsidRDefault="009E484F" w:rsidP="001F0EA2">
            <w:pPr>
              <w:rPr>
                <w:sz w:val="22"/>
                <w:szCs w:val="22"/>
                <w:lang w:eastAsia="en-AU"/>
              </w:rPr>
            </w:pPr>
            <w:r w:rsidRPr="0077128F">
              <w:rPr>
                <w:sz w:val="22"/>
                <w:szCs w:val="22"/>
                <w:lang w:eastAsia="en-AU"/>
              </w:rPr>
              <w:t>Electoral Commission</w:t>
            </w:r>
          </w:p>
        </w:tc>
        <w:tc>
          <w:tcPr>
            <w:tcW w:w="2812" w:type="dxa"/>
            <w:shd w:val="clear" w:color="auto" w:fill="auto"/>
            <w:hideMark/>
          </w:tcPr>
          <w:p w14:paraId="2D902D72" w14:textId="7675F15B" w:rsidR="009E484F" w:rsidRPr="0077128F" w:rsidRDefault="009E484F" w:rsidP="001F0EA2">
            <w:pPr>
              <w:rPr>
                <w:sz w:val="22"/>
                <w:szCs w:val="22"/>
                <w:lang w:eastAsia="en-AU"/>
              </w:rPr>
            </w:pPr>
            <w:r w:rsidRPr="0077128F">
              <w:rPr>
                <w:sz w:val="22"/>
                <w:szCs w:val="22"/>
                <w:lang w:eastAsia="en-AU"/>
              </w:rPr>
              <w:t xml:space="preserve">Chair </w:t>
            </w:r>
          </w:p>
          <w:p w14:paraId="0F2C37C6" w14:textId="25B923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110EE68" w14:textId="77777777" w:rsidR="009E484F" w:rsidRPr="0077128F" w:rsidRDefault="002C658A" w:rsidP="002C658A">
            <w:pPr>
              <w:jc w:val="center"/>
              <w:rPr>
                <w:sz w:val="22"/>
                <w:szCs w:val="22"/>
                <w:lang w:eastAsia="en-AU"/>
              </w:rPr>
            </w:pPr>
            <w:r w:rsidRPr="0077128F">
              <w:rPr>
                <w:sz w:val="22"/>
                <w:szCs w:val="22"/>
                <w:lang w:eastAsia="en-AU"/>
              </w:rPr>
              <w:t>-</w:t>
            </w:r>
          </w:p>
          <w:p w14:paraId="59ED44F6" w14:textId="0E931FE5"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3D6DE0B7" w14:textId="7F0247A6" w:rsidR="00B64415" w:rsidRPr="0077128F" w:rsidRDefault="00B64415" w:rsidP="00B64415">
            <w:pPr>
              <w:jc w:val="center"/>
              <w:rPr>
                <w:bCs/>
                <w:sz w:val="22"/>
                <w:szCs w:val="22"/>
              </w:rPr>
            </w:pPr>
            <w:r w:rsidRPr="0077128F">
              <w:rPr>
                <w:bCs/>
                <w:sz w:val="22"/>
                <w:szCs w:val="22"/>
              </w:rPr>
              <w:t>$</w:t>
            </w:r>
            <w:r w:rsidR="00997958">
              <w:rPr>
                <w:bCs/>
                <w:sz w:val="22"/>
                <w:szCs w:val="22"/>
              </w:rPr>
              <w:t>3</w:t>
            </w:r>
            <w:r w:rsidR="00296751">
              <w:rPr>
                <w:bCs/>
                <w:sz w:val="22"/>
                <w:szCs w:val="22"/>
              </w:rPr>
              <w:t>6</w:t>
            </w:r>
            <w:r w:rsidR="00997958">
              <w:rPr>
                <w:bCs/>
                <w:sz w:val="22"/>
                <w:szCs w:val="22"/>
              </w:rPr>
              <w:t>,4</w:t>
            </w:r>
            <w:r w:rsidR="00296751">
              <w:rPr>
                <w:bCs/>
                <w:sz w:val="22"/>
                <w:szCs w:val="22"/>
              </w:rPr>
              <w:t>90</w:t>
            </w:r>
          </w:p>
          <w:p w14:paraId="4327FF62" w14:textId="3412D6BF" w:rsidR="009E484F" w:rsidRPr="0077128F" w:rsidRDefault="00B64415" w:rsidP="00997958">
            <w:pPr>
              <w:jc w:val="center"/>
              <w:rPr>
                <w:bCs/>
                <w:sz w:val="22"/>
                <w:szCs w:val="22"/>
              </w:rPr>
            </w:pPr>
            <w:r w:rsidRPr="0077128F">
              <w:rPr>
                <w:bCs/>
                <w:sz w:val="22"/>
                <w:szCs w:val="22"/>
              </w:rPr>
              <w:t>$</w:t>
            </w:r>
            <w:r w:rsidR="00997958">
              <w:rPr>
                <w:bCs/>
                <w:sz w:val="22"/>
                <w:szCs w:val="22"/>
              </w:rPr>
              <w:t>22,</w:t>
            </w:r>
            <w:r w:rsidR="00296751">
              <w:rPr>
                <w:bCs/>
                <w:sz w:val="22"/>
                <w:szCs w:val="22"/>
              </w:rPr>
              <w:t>88</w:t>
            </w:r>
            <w:r w:rsidR="00997958">
              <w:rPr>
                <w:bCs/>
                <w:sz w:val="22"/>
                <w:szCs w:val="22"/>
              </w:rPr>
              <w:t>5</w:t>
            </w:r>
          </w:p>
        </w:tc>
      </w:tr>
      <w:tr w:rsidR="0077128F" w:rsidRPr="0077128F" w14:paraId="1440660E" w14:textId="707D2A7D" w:rsidTr="0003415E">
        <w:trPr>
          <w:trHeight w:val="684"/>
          <w:jc w:val="center"/>
        </w:trPr>
        <w:tc>
          <w:tcPr>
            <w:tcW w:w="2830" w:type="dxa"/>
            <w:tcBorders>
              <w:bottom w:val="single" w:sz="4" w:space="0" w:color="auto"/>
            </w:tcBorders>
            <w:shd w:val="clear" w:color="auto" w:fill="auto"/>
            <w:hideMark/>
          </w:tcPr>
          <w:p w14:paraId="53B715D6" w14:textId="0196BB11" w:rsidR="009E484F" w:rsidRPr="0077128F" w:rsidRDefault="009E484F" w:rsidP="001F0EA2">
            <w:pPr>
              <w:rPr>
                <w:sz w:val="22"/>
                <w:szCs w:val="22"/>
                <w:lang w:eastAsia="en-AU"/>
              </w:rPr>
            </w:pPr>
            <w:r w:rsidRPr="0077128F">
              <w:rPr>
                <w:sz w:val="22"/>
                <w:szCs w:val="22"/>
                <w:lang w:eastAsia="en-AU"/>
              </w:rPr>
              <w:lastRenderedPageBreak/>
              <w:t>Electrical Advisory Board</w:t>
            </w:r>
          </w:p>
        </w:tc>
        <w:tc>
          <w:tcPr>
            <w:tcW w:w="2812" w:type="dxa"/>
            <w:tcBorders>
              <w:bottom w:val="single" w:sz="4" w:space="0" w:color="auto"/>
            </w:tcBorders>
            <w:shd w:val="clear" w:color="auto" w:fill="auto"/>
            <w:hideMark/>
          </w:tcPr>
          <w:p w14:paraId="31CDA47C" w14:textId="12AE613C" w:rsidR="009E484F" w:rsidRPr="0077128F" w:rsidRDefault="009E484F" w:rsidP="001F0EA2">
            <w:pPr>
              <w:rPr>
                <w:sz w:val="22"/>
                <w:szCs w:val="22"/>
                <w:lang w:eastAsia="en-AU"/>
              </w:rPr>
            </w:pPr>
            <w:r w:rsidRPr="0077128F">
              <w:rPr>
                <w:sz w:val="22"/>
                <w:szCs w:val="22"/>
                <w:lang w:eastAsia="en-AU"/>
              </w:rPr>
              <w:t xml:space="preserve">Chair </w:t>
            </w:r>
          </w:p>
          <w:p w14:paraId="392BF88C" w14:textId="46D4EAA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15073EB5" w14:textId="77777777" w:rsidR="00296751" w:rsidRPr="0077128F" w:rsidRDefault="00296751" w:rsidP="00296751">
            <w:pPr>
              <w:jc w:val="center"/>
              <w:rPr>
                <w:bCs/>
                <w:sz w:val="22"/>
                <w:szCs w:val="22"/>
                <w:lang w:eastAsia="en-AU"/>
              </w:rPr>
            </w:pPr>
            <w:r w:rsidRPr="0077128F">
              <w:rPr>
                <w:bCs/>
                <w:sz w:val="22"/>
                <w:szCs w:val="22"/>
              </w:rPr>
              <w:t>$</w:t>
            </w:r>
            <w:r>
              <w:rPr>
                <w:bCs/>
                <w:sz w:val="22"/>
                <w:szCs w:val="22"/>
              </w:rPr>
              <w:t>590</w:t>
            </w:r>
          </w:p>
          <w:p w14:paraId="5BEC5331" w14:textId="51FD5A21" w:rsidR="009E484F" w:rsidRPr="0077128F" w:rsidRDefault="00296751" w:rsidP="00296751">
            <w:pPr>
              <w:jc w:val="center"/>
              <w:rPr>
                <w:sz w:val="22"/>
                <w:szCs w:val="22"/>
                <w:lang w:eastAsia="en-AU"/>
              </w:rPr>
            </w:pPr>
            <w:r w:rsidRPr="0077128F">
              <w:rPr>
                <w:bCs/>
                <w:sz w:val="22"/>
                <w:szCs w:val="22"/>
              </w:rPr>
              <w:t>$</w:t>
            </w:r>
            <w:r>
              <w:rPr>
                <w:bCs/>
                <w:sz w:val="22"/>
                <w:szCs w:val="22"/>
              </w:rPr>
              <w:t>505</w:t>
            </w:r>
          </w:p>
        </w:tc>
        <w:tc>
          <w:tcPr>
            <w:tcW w:w="1688" w:type="dxa"/>
            <w:gridSpan w:val="2"/>
            <w:tcBorders>
              <w:bottom w:val="single" w:sz="4" w:space="0" w:color="auto"/>
            </w:tcBorders>
          </w:tcPr>
          <w:p w14:paraId="3D3B5351" w14:textId="77777777" w:rsidR="009E484F" w:rsidRPr="0077128F" w:rsidRDefault="002C658A" w:rsidP="002C658A">
            <w:pPr>
              <w:jc w:val="center"/>
              <w:rPr>
                <w:sz w:val="22"/>
                <w:szCs w:val="22"/>
                <w:lang w:eastAsia="en-AU"/>
              </w:rPr>
            </w:pPr>
            <w:r w:rsidRPr="0077128F">
              <w:rPr>
                <w:sz w:val="22"/>
                <w:szCs w:val="22"/>
                <w:lang w:eastAsia="en-AU"/>
              </w:rPr>
              <w:t>-</w:t>
            </w:r>
          </w:p>
          <w:p w14:paraId="0CD40017" w14:textId="7530EADF"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198BFB45" w14:textId="3C141D71" w:rsidTr="0003415E">
        <w:trPr>
          <w:trHeight w:val="607"/>
          <w:jc w:val="center"/>
        </w:trPr>
        <w:tc>
          <w:tcPr>
            <w:tcW w:w="2830" w:type="dxa"/>
            <w:tcBorders>
              <w:bottom w:val="single" w:sz="4" w:space="0" w:color="auto"/>
            </w:tcBorders>
            <w:shd w:val="clear" w:color="auto" w:fill="auto"/>
            <w:hideMark/>
          </w:tcPr>
          <w:p w14:paraId="0E372B1A" w14:textId="27F821AE" w:rsidR="009E484F" w:rsidRPr="0077128F" w:rsidRDefault="009E484F" w:rsidP="001F0EA2">
            <w:pPr>
              <w:rPr>
                <w:sz w:val="22"/>
                <w:szCs w:val="22"/>
                <w:lang w:eastAsia="en-AU"/>
              </w:rPr>
            </w:pPr>
            <w:r w:rsidRPr="0077128F">
              <w:rPr>
                <w:sz w:val="22"/>
                <w:szCs w:val="22"/>
                <w:lang w:eastAsia="en-AU"/>
              </w:rPr>
              <w:t>Gambling and Racing Commission Board</w:t>
            </w:r>
          </w:p>
        </w:tc>
        <w:tc>
          <w:tcPr>
            <w:tcW w:w="2812" w:type="dxa"/>
            <w:tcBorders>
              <w:bottom w:val="single" w:sz="4" w:space="0" w:color="auto"/>
            </w:tcBorders>
            <w:shd w:val="clear" w:color="auto" w:fill="auto"/>
            <w:hideMark/>
          </w:tcPr>
          <w:p w14:paraId="757D3FA3" w14:textId="4A8C0289" w:rsidR="009E484F" w:rsidRPr="0077128F" w:rsidRDefault="009E484F" w:rsidP="001F0EA2">
            <w:pPr>
              <w:rPr>
                <w:sz w:val="22"/>
                <w:szCs w:val="22"/>
                <w:lang w:eastAsia="en-AU"/>
              </w:rPr>
            </w:pPr>
            <w:r w:rsidRPr="0077128F">
              <w:rPr>
                <w:sz w:val="22"/>
                <w:szCs w:val="22"/>
                <w:lang w:eastAsia="en-AU"/>
              </w:rPr>
              <w:t xml:space="preserve">Chair </w:t>
            </w:r>
          </w:p>
          <w:p w14:paraId="60FF3D15" w14:textId="784A192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70AF64F8" w14:textId="77777777" w:rsidR="009E484F" w:rsidRPr="0077128F" w:rsidRDefault="002C658A" w:rsidP="002C658A">
            <w:pPr>
              <w:jc w:val="center"/>
              <w:rPr>
                <w:sz w:val="22"/>
                <w:szCs w:val="22"/>
                <w:lang w:eastAsia="en-AU"/>
              </w:rPr>
            </w:pPr>
            <w:r w:rsidRPr="0077128F">
              <w:rPr>
                <w:sz w:val="22"/>
                <w:szCs w:val="22"/>
                <w:lang w:eastAsia="en-AU"/>
              </w:rPr>
              <w:t>-</w:t>
            </w:r>
          </w:p>
          <w:p w14:paraId="708AD7F6" w14:textId="7FFD4807"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318670B7" w14:textId="2DFD0111" w:rsidR="00A90FBE" w:rsidRPr="0077128F" w:rsidRDefault="00A90FBE" w:rsidP="00A90FBE">
            <w:pPr>
              <w:jc w:val="center"/>
              <w:rPr>
                <w:bCs/>
                <w:sz w:val="22"/>
                <w:szCs w:val="22"/>
              </w:rPr>
            </w:pPr>
            <w:r w:rsidRPr="0077128F">
              <w:rPr>
                <w:bCs/>
                <w:sz w:val="22"/>
                <w:szCs w:val="22"/>
              </w:rPr>
              <w:t>$</w:t>
            </w:r>
            <w:r w:rsidR="00997958">
              <w:rPr>
                <w:bCs/>
                <w:sz w:val="22"/>
                <w:szCs w:val="22"/>
              </w:rPr>
              <w:t>5</w:t>
            </w:r>
            <w:r w:rsidR="00296751">
              <w:rPr>
                <w:bCs/>
                <w:sz w:val="22"/>
                <w:szCs w:val="22"/>
              </w:rPr>
              <w:t>6</w:t>
            </w:r>
            <w:r w:rsidR="00997958">
              <w:rPr>
                <w:bCs/>
                <w:sz w:val="22"/>
                <w:szCs w:val="22"/>
              </w:rPr>
              <w:t>,</w:t>
            </w:r>
            <w:r w:rsidR="00296751">
              <w:rPr>
                <w:bCs/>
                <w:sz w:val="22"/>
                <w:szCs w:val="22"/>
              </w:rPr>
              <w:t>23</w:t>
            </w:r>
            <w:r w:rsidR="00997958">
              <w:rPr>
                <w:bCs/>
                <w:sz w:val="22"/>
                <w:szCs w:val="22"/>
              </w:rPr>
              <w:t>5</w:t>
            </w:r>
          </w:p>
          <w:p w14:paraId="6ABA3C88" w14:textId="40C6A513" w:rsidR="009E484F" w:rsidRPr="0077128F" w:rsidRDefault="00A90FBE" w:rsidP="00997958">
            <w:pPr>
              <w:jc w:val="center"/>
              <w:rPr>
                <w:bCs/>
                <w:sz w:val="22"/>
                <w:szCs w:val="22"/>
              </w:rPr>
            </w:pPr>
            <w:r w:rsidRPr="0077128F">
              <w:rPr>
                <w:bCs/>
                <w:sz w:val="22"/>
                <w:szCs w:val="22"/>
              </w:rPr>
              <w:t>$</w:t>
            </w:r>
            <w:r w:rsidR="00997958">
              <w:rPr>
                <w:bCs/>
                <w:sz w:val="22"/>
                <w:szCs w:val="22"/>
              </w:rPr>
              <w:t>2</w:t>
            </w:r>
            <w:r w:rsidR="00296751">
              <w:rPr>
                <w:bCs/>
                <w:sz w:val="22"/>
                <w:szCs w:val="22"/>
              </w:rPr>
              <w:t>7</w:t>
            </w:r>
            <w:r w:rsidR="00997958">
              <w:rPr>
                <w:bCs/>
                <w:sz w:val="22"/>
                <w:szCs w:val="22"/>
              </w:rPr>
              <w:t>,</w:t>
            </w:r>
            <w:r w:rsidR="00296751">
              <w:rPr>
                <w:bCs/>
                <w:sz w:val="22"/>
                <w:szCs w:val="22"/>
              </w:rPr>
              <w:t>2</w:t>
            </w:r>
            <w:r w:rsidR="00997958">
              <w:rPr>
                <w:bCs/>
                <w:sz w:val="22"/>
                <w:szCs w:val="22"/>
              </w:rPr>
              <w:t>8</w:t>
            </w:r>
            <w:r w:rsidR="00296751">
              <w:rPr>
                <w:bCs/>
                <w:sz w:val="22"/>
                <w:szCs w:val="22"/>
              </w:rPr>
              <w:t>0</w:t>
            </w:r>
          </w:p>
        </w:tc>
      </w:tr>
      <w:tr w:rsidR="0077128F" w:rsidRPr="0077128F" w14:paraId="5869B0C4" w14:textId="05B12E5D" w:rsidTr="0003415E">
        <w:trPr>
          <w:trHeight w:val="610"/>
          <w:jc w:val="center"/>
        </w:trPr>
        <w:tc>
          <w:tcPr>
            <w:tcW w:w="2830" w:type="dxa"/>
            <w:tcBorders>
              <w:bottom w:val="single" w:sz="4" w:space="0" w:color="auto"/>
            </w:tcBorders>
            <w:shd w:val="clear" w:color="auto" w:fill="auto"/>
            <w:hideMark/>
          </w:tcPr>
          <w:p w14:paraId="0C164572" w14:textId="13C176F5" w:rsidR="009E484F" w:rsidRPr="0077128F" w:rsidRDefault="009E484F" w:rsidP="001F0EA2">
            <w:pPr>
              <w:rPr>
                <w:sz w:val="22"/>
                <w:szCs w:val="22"/>
                <w:lang w:eastAsia="en-AU"/>
              </w:rPr>
            </w:pPr>
            <w:r w:rsidRPr="0077128F">
              <w:rPr>
                <w:sz w:val="22"/>
                <w:szCs w:val="22"/>
                <w:lang w:eastAsia="en-AU"/>
              </w:rPr>
              <w:t>Government Procurement Board</w:t>
            </w:r>
          </w:p>
        </w:tc>
        <w:tc>
          <w:tcPr>
            <w:tcW w:w="2812" w:type="dxa"/>
            <w:tcBorders>
              <w:bottom w:val="single" w:sz="4" w:space="0" w:color="auto"/>
            </w:tcBorders>
            <w:shd w:val="clear" w:color="auto" w:fill="auto"/>
            <w:hideMark/>
          </w:tcPr>
          <w:p w14:paraId="4D72D7A4" w14:textId="4DB3259C" w:rsidR="009E484F" w:rsidRPr="0077128F" w:rsidRDefault="009E484F" w:rsidP="001F0EA2">
            <w:pPr>
              <w:rPr>
                <w:sz w:val="22"/>
                <w:szCs w:val="22"/>
                <w:lang w:eastAsia="en-AU"/>
              </w:rPr>
            </w:pPr>
            <w:r w:rsidRPr="0077128F">
              <w:rPr>
                <w:sz w:val="22"/>
                <w:szCs w:val="22"/>
                <w:lang w:eastAsia="en-AU"/>
              </w:rPr>
              <w:t xml:space="preserve">Chair </w:t>
            </w:r>
          </w:p>
          <w:p w14:paraId="49C79561" w14:textId="6CB6C00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32C12922" w14:textId="77777777" w:rsidR="009E484F" w:rsidRPr="0077128F" w:rsidRDefault="002C658A" w:rsidP="002C658A">
            <w:pPr>
              <w:jc w:val="center"/>
              <w:rPr>
                <w:sz w:val="22"/>
                <w:szCs w:val="22"/>
                <w:lang w:eastAsia="en-AU"/>
              </w:rPr>
            </w:pPr>
            <w:r w:rsidRPr="0077128F">
              <w:rPr>
                <w:sz w:val="22"/>
                <w:szCs w:val="22"/>
                <w:lang w:eastAsia="en-AU"/>
              </w:rPr>
              <w:t>-</w:t>
            </w:r>
          </w:p>
          <w:p w14:paraId="77A036F8" w14:textId="2456DCCA"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22B089E1" w14:textId="07D57D14" w:rsidR="00A90FBE" w:rsidRPr="0077128F" w:rsidRDefault="00A90FBE" w:rsidP="00A90FBE">
            <w:pPr>
              <w:jc w:val="center"/>
              <w:rPr>
                <w:bCs/>
                <w:sz w:val="22"/>
                <w:szCs w:val="22"/>
              </w:rPr>
            </w:pPr>
            <w:r w:rsidRPr="0077128F">
              <w:rPr>
                <w:bCs/>
                <w:sz w:val="22"/>
                <w:szCs w:val="22"/>
              </w:rPr>
              <w:t>$3</w:t>
            </w:r>
            <w:r w:rsidR="00296751">
              <w:rPr>
                <w:bCs/>
                <w:sz w:val="22"/>
                <w:szCs w:val="22"/>
              </w:rPr>
              <w:t>5</w:t>
            </w:r>
            <w:r w:rsidRPr="0077128F">
              <w:rPr>
                <w:bCs/>
                <w:sz w:val="22"/>
                <w:szCs w:val="22"/>
              </w:rPr>
              <w:t>,</w:t>
            </w:r>
            <w:r w:rsidR="00997958">
              <w:rPr>
                <w:bCs/>
                <w:sz w:val="22"/>
                <w:szCs w:val="22"/>
              </w:rPr>
              <w:t>8</w:t>
            </w:r>
            <w:r w:rsidR="00296751">
              <w:rPr>
                <w:bCs/>
                <w:sz w:val="22"/>
                <w:szCs w:val="22"/>
              </w:rPr>
              <w:t>55</w:t>
            </w:r>
          </w:p>
          <w:p w14:paraId="794C4A0C" w14:textId="55FDBFF2" w:rsidR="009E484F" w:rsidRPr="0077128F" w:rsidRDefault="00A90FBE" w:rsidP="00997958">
            <w:pPr>
              <w:jc w:val="center"/>
              <w:rPr>
                <w:bCs/>
                <w:sz w:val="22"/>
                <w:szCs w:val="22"/>
              </w:rPr>
            </w:pPr>
            <w:r w:rsidRPr="0077128F">
              <w:rPr>
                <w:bCs/>
                <w:sz w:val="22"/>
                <w:szCs w:val="22"/>
              </w:rPr>
              <w:t>$</w:t>
            </w:r>
            <w:r w:rsidR="00997958">
              <w:rPr>
                <w:bCs/>
                <w:sz w:val="22"/>
                <w:szCs w:val="22"/>
              </w:rPr>
              <w:t>27,</w:t>
            </w:r>
            <w:r w:rsidR="0025445B">
              <w:rPr>
                <w:bCs/>
                <w:sz w:val="22"/>
                <w:szCs w:val="22"/>
              </w:rPr>
              <w:t>985</w:t>
            </w:r>
          </w:p>
        </w:tc>
      </w:tr>
      <w:tr w:rsidR="0077128F" w:rsidRPr="0077128F" w14:paraId="7B47B5F0" w14:textId="7EC1AB43" w:rsidTr="0003415E">
        <w:trPr>
          <w:trHeight w:val="610"/>
          <w:jc w:val="center"/>
        </w:trPr>
        <w:tc>
          <w:tcPr>
            <w:tcW w:w="2830" w:type="dxa"/>
            <w:shd w:val="clear" w:color="auto" w:fill="auto"/>
            <w:hideMark/>
          </w:tcPr>
          <w:p w14:paraId="041BEAC1" w14:textId="3753C91B" w:rsidR="009E484F" w:rsidRPr="0077128F" w:rsidRDefault="009E484F" w:rsidP="001F0EA2">
            <w:pPr>
              <w:rPr>
                <w:sz w:val="22"/>
                <w:szCs w:val="22"/>
                <w:lang w:eastAsia="en-AU"/>
              </w:rPr>
            </w:pPr>
            <w:r w:rsidRPr="0077128F">
              <w:rPr>
                <w:sz w:val="22"/>
                <w:szCs w:val="22"/>
                <w:lang w:eastAsia="en-AU"/>
              </w:rPr>
              <w:t xml:space="preserve">Heritage Council </w:t>
            </w:r>
          </w:p>
        </w:tc>
        <w:tc>
          <w:tcPr>
            <w:tcW w:w="2812" w:type="dxa"/>
            <w:shd w:val="clear" w:color="auto" w:fill="auto"/>
            <w:hideMark/>
          </w:tcPr>
          <w:p w14:paraId="3E098F4F" w14:textId="713BCB4E" w:rsidR="009E484F" w:rsidRPr="0077128F" w:rsidRDefault="009E484F" w:rsidP="001F0EA2">
            <w:pPr>
              <w:rPr>
                <w:sz w:val="22"/>
                <w:szCs w:val="22"/>
                <w:lang w:eastAsia="en-AU"/>
              </w:rPr>
            </w:pPr>
            <w:r w:rsidRPr="0077128F">
              <w:rPr>
                <w:sz w:val="22"/>
                <w:szCs w:val="22"/>
                <w:lang w:eastAsia="en-AU"/>
              </w:rPr>
              <w:t xml:space="preserve">Chair </w:t>
            </w:r>
          </w:p>
          <w:p w14:paraId="0FCB8F16" w14:textId="1DF3751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F3CFA1D" w14:textId="7DE9BF3F" w:rsidR="009E484F" w:rsidRPr="0077128F" w:rsidRDefault="009E484F" w:rsidP="002C658A">
            <w:pPr>
              <w:jc w:val="center"/>
              <w:rPr>
                <w:bCs/>
                <w:sz w:val="22"/>
                <w:szCs w:val="22"/>
              </w:rPr>
            </w:pPr>
            <w:r w:rsidRPr="0077128F">
              <w:rPr>
                <w:bCs/>
                <w:sz w:val="22"/>
                <w:szCs w:val="22"/>
              </w:rPr>
              <w:t>$</w:t>
            </w:r>
            <w:r w:rsidR="00A90FBE" w:rsidRPr="0077128F">
              <w:rPr>
                <w:bCs/>
                <w:sz w:val="22"/>
                <w:szCs w:val="22"/>
              </w:rPr>
              <w:t>7</w:t>
            </w:r>
            <w:r w:rsidR="0025445B">
              <w:rPr>
                <w:bCs/>
                <w:sz w:val="22"/>
                <w:szCs w:val="22"/>
              </w:rPr>
              <w:t>50</w:t>
            </w:r>
          </w:p>
          <w:p w14:paraId="3153EA13" w14:textId="346240BB" w:rsidR="009E484F" w:rsidRPr="0077128F" w:rsidRDefault="001F610C" w:rsidP="00997958">
            <w:pPr>
              <w:jc w:val="center"/>
              <w:rPr>
                <w:bCs/>
                <w:sz w:val="22"/>
                <w:szCs w:val="22"/>
              </w:rPr>
            </w:pPr>
            <w:r w:rsidRPr="0077128F">
              <w:rPr>
                <w:bCs/>
                <w:sz w:val="22"/>
                <w:szCs w:val="22"/>
              </w:rPr>
              <w:t>$5</w:t>
            </w:r>
            <w:r w:rsidR="0025445B">
              <w:rPr>
                <w:bCs/>
                <w:sz w:val="22"/>
                <w:szCs w:val="22"/>
              </w:rPr>
              <w:t>9</w:t>
            </w:r>
            <w:r w:rsidR="00997958">
              <w:rPr>
                <w:bCs/>
                <w:sz w:val="22"/>
                <w:szCs w:val="22"/>
              </w:rPr>
              <w:t>0</w:t>
            </w:r>
          </w:p>
        </w:tc>
        <w:tc>
          <w:tcPr>
            <w:tcW w:w="1688" w:type="dxa"/>
            <w:gridSpan w:val="2"/>
          </w:tcPr>
          <w:p w14:paraId="3360EBE7" w14:textId="77777777" w:rsidR="009E484F" w:rsidRPr="0077128F" w:rsidRDefault="002C658A" w:rsidP="002C658A">
            <w:pPr>
              <w:jc w:val="center"/>
              <w:rPr>
                <w:sz w:val="22"/>
                <w:szCs w:val="22"/>
                <w:lang w:eastAsia="en-AU"/>
              </w:rPr>
            </w:pPr>
            <w:r w:rsidRPr="0077128F">
              <w:rPr>
                <w:sz w:val="22"/>
                <w:szCs w:val="22"/>
                <w:lang w:eastAsia="en-AU"/>
              </w:rPr>
              <w:t>-</w:t>
            </w:r>
          </w:p>
          <w:p w14:paraId="66D421BF" w14:textId="3FDD8B55" w:rsidR="002C658A" w:rsidRPr="0077128F" w:rsidRDefault="002C658A" w:rsidP="002C658A">
            <w:pPr>
              <w:jc w:val="center"/>
              <w:rPr>
                <w:sz w:val="22"/>
                <w:szCs w:val="22"/>
                <w:lang w:eastAsia="en-AU"/>
              </w:rPr>
            </w:pPr>
            <w:r w:rsidRPr="0077128F">
              <w:rPr>
                <w:sz w:val="22"/>
                <w:szCs w:val="22"/>
                <w:lang w:eastAsia="en-AU"/>
              </w:rPr>
              <w:t>-</w:t>
            </w:r>
          </w:p>
        </w:tc>
      </w:tr>
      <w:tr w:rsidR="000C1091" w:rsidRPr="0077128F" w14:paraId="73AB8499" w14:textId="77777777" w:rsidTr="0003415E">
        <w:trPr>
          <w:trHeight w:val="637"/>
          <w:jc w:val="center"/>
        </w:trPr>
        <w:tc>
          <w:tcPr>
            <w:tcW w:w="2830" w:type="dxa"/>
            <w:shd w:val="clear" w:color="auto" w:fill="auto"/>
          </w:tcPr>
          <w:p w14:paraId="77C1FEB4" w14:textId="3AC72DEC" w:rsidR="000C1091" w:rsidRPr="0077128F" w:rsidRDefault="000C1091" w:rsidP="000C1091">
            <w:pPr>
              <w:rPr>
                <w:sz w:val="22"/>
                <w:szCs w:val="22"/>
                <w:lang w:eastAsia="en-AU"/>
              </w:rPr>
            </w:pPr>
            <w:r w:rsidRPr="0077128F">
              <w:rPr>
                <w:sz w:val="22"/>
                <w:szCs w:val="22"/>
                <w:lang w:eastAsia="en-AU"/>
              </w:rPr>
              <w:t>Independent Advisor, Working with Vulnerable People</w:t>
            </w:r>
          </w:p>
        </w:tc>
        <w:tc>
          <w:tcPr>
            <w:tcW w:w="2812" w:type="dxa"/>
            <w:shd w:val="clear" w:color="auto" w:fill="auto"/>
          </w:tcPr>
          <w:p w14:paraId="6855285D" w14:textId="06397FF1" w:rsidR="000C1091" w:rsidRPr="0077128F" w:rsidRDefault="000C1091" w:rsidP="000C1091">
            <w:pPr>
              <w:rPr>
                <w:sz w:val="22"/>
                <w:szCs w:val="22"/>
                <w:lang w:eastAsia="en-AU"/>
              </w:rPr>
            </w:pPr>
            <w:r w:rsidRPr="0077128F">
              <w:rPr>
                <w:sz w:val="22"/>
                <w:szCs w:val="22"/>
                <w:lang w:eastAsia="en-AU"/>
              </w:rPr>
              <w:t>Independent Advisor</w:t>
            </w:r>
          </w:p>
        </w:tc>
        <w:tc>
          <w:tcPr>
            <w:tcW w:w="1687" w:type="dxa"/>
            <w:gridSpan w:val="2"/>
            <w:shd w:val="clear" w:color="auto" w:fill="auto"/>
            <w:noWrap/>
          </w:tcPr>
          <w:p w14:paraId="25FA640F" w14:textId="71AA8151" w:rsidR="000C1091" w:rsidRPr="0077128F" w:rsidRDefault="000C1091" w:rsidP="00997958">
            <w:pPr>
              <w:jc w:val="center"/>
              <w:rPr>
                <w:bCs/>
                <w:sz w:val="22"/>
                <w:szCs w:val="22"/>
              </w:rPr>
            </w:pPr>
            <w:r w:rsidRPr="0077128F">
              <w:rPr>
                <w:bCs/>
                <w:sz w:val="22"/>
                <w:szCs w:val="22"/>
              </w:rPr>
              <w:t>$5</w:t>
            </w:r>
            <w:r w:rsidR="0025445B">
              <w:rPr>
                <w:bCs/>
                <w:sz w:val="22"/>
                <w:szCs w:val="22"/>
              </w:rPr>
              <w:t>9</w:t>
            </w:r>
            <w:r w:rsidR="00997958">
              <w:rPr>
                <w:bCs/>
                <w:sz w:val="22"/>
                <w:szCs w:val="22"/>
              </w:rPr>
              <w:t>0</w:t>
            </w:r>
          </w:p>
        </w:tc>
        <w:tc>
          <w:tcPr>
            <w:tcW w:w="1688" w:type="dxa"/>
            <w:gridSpan w:val="2"/>
          </w:tcPr>
          <w:p w14:paraId="11DD58FC" w14:textId="5460C390" w:rsidR="000C1091" w:rsidRPr="0077128F" w:rsidRDefault="000C1091" w:rsidP="000C1091">
            <w:pPr>
              <w:jc w:val="center"/>
              <w:rPr>
                <w:sz w:val="22"/>
                <w:szCs w:val="22"/>
                <w:lang w:eastAsia="en-AU"/>
              </w:rPr>
            </w:pPr>
            <w:r w:rsidRPr="0077128F">
              <w:rPr>
                <w:sz w:val="22"/>
                <w:szCs w:val="22"/>
                <w:lang w:eastAsia="en-AU"/>
              </w:rPr>
              <w:t>-</w:t>
            </w:r>
          </w:p>
        </w:tc>
      </w:tr>
      <w:tr w:rsidR="0077128F" w:rsidRPr="0077128F" w14:paraId="265FF794" w14:textId="731F98B1" w:rsidTr="0003415E">
        <w:trPr>
          <w:trHeight w:val="637"/>
          <w:jc w:val="center"/>
        </w:trPr>
        <w:tc>
          <w:tcPr>
            <w:tcW w:w="2830" w:type="dxa"/>
            <w:shd w:val="clear" w:color="auto" w:fill="auto"/>
            <w:hideMark/>
          </w:tcPr>
          <w:p w14:paraId="05BA5A75" w14:textId="2846D170" w:rsidR="009E484F" w:rsidRPr="0077128F" w:rsidRDefault="009E484F" w:rsidP="001F0EA2">
            <w:pPr>
              <w:rPr>
                <w:sz w:val="22"/>
                <w:szCs w:val="22"/>
                <w:lang w:eastAsia="en-AU"/>
              </w:rPr>
            </w:pPr>
            <w:r w:rsidRPr="0077128F">
              <w:rPr>
                <w:sz w:val="22"/>
                <w:szCs w:val="22"/>
                <w:lang w:eastAsia="en-AU"/>
              </w:rPr>
              <w:t>Independent Competition and Regulatory Commission</w:t>
            </w:r>
          </w:p>
        </w:tc>
        <w:tc>
          <w:tcPr>
            <w:tcW w:w="2812" w:type="dxa"/>
            <w:shd w:val="clear" w:color="auto" w:fill="auto"/>
            <w:hideMark/>
          </w:tcPr>
          <w:p w14:paraId="592CF64C" w14:textId="0DFC616B" w:rsidR="009E484F" w:rsidRPr="0077128F" w:rsidRDefault="009E484F" w:rsidP="001F0EA2">
            <w:pPr>
              <w:rPr>
                <w:sz w:val="22"/>
                <w:szCs w:val="22"/>
                <w:lang w:eastAsia="en-AU"/>
              </w:rPr>
            </w:pPr>
            <w:r w:rsidRPr="0077128F">
              <w:rPr>
                <w:sz w:val="22"/>
                <w:szCs w:val="22"/>
                <w:lang w:eastAsia="en-AU"/>
              </w:rPr>
              <w:t>S</w:t>
            </w:r>
            <w:r w:rsidR="001417D8" w:rsidRPr="0077128F">
              <w:rPr>
                <w:sz w:val="22"/>
                <w:szCs w:val="22"/>
                <w:lang w:eastAsia="en-AU"/>
              </w:rPr>
              <w:t>enior</w:t>
            </w:r>
            <w:r w:rsidRPr="0077128F">
              <w:rPr>
                <w:sz w:val="22"/>
                <w:szCs w:val="22"/>
                <w:lang w:eastAsia="en-AU"/>
              </w:rPr>
              <w:t xml:space="preserve"> Commissioner </w:t>
            </w:r>
          </w:p>
          <w:p w14:paraId="2CF19980" w14:textId="5DA37E01" w:rsidR="009E484F" w:rsidRPr="0077128F" w:rsidRDefault="009E484F" w:rsidP="001F0EA2">
            <w:pPr>
              <w:rPr>
                <w:sz w:val="22"/>
                <w:szCs w:val="22"/>
                <w:lang w:eastAsia="en-AU"/>
              </w:rPr>
            </w:pPr>
            <w:r w:rsidRPr="0077128F">
              <w:rPr>
                <w:sz w:val="22"/>
                <w:szCs w:val="22"/>
                <w:lang w:eastAsia="en-AU"/>
              </w:rPr>
              <w:t xml:space="preserve">Commissioner </w:t>
            </w:r>
          </w:p>
        </w:tc>
        <w:tc>
          <w:tcPr>
            <w:tcW w:w="1687" w:type="dxa"/>
            <w:gridSpan w:val="2"/>
            <w:shd w:val="clear" w:color="auto" w:fill="auto"/>
            <w:noWrap/>
          </w:tcPr>
          <w:p w14:paraId="723BF3DA" w14:textId="33A4FD1B" w:rsidR="003E16A3" w:rsidRPr="0077128F" w:rsidRDefault="00EB4EE8" w:rsidP="002C658A">
            <w:pPr>
              <w:jc w:val="center"/>
              <w:rPr>
                <w:bCs/>
                <w:sz w:val="22"/>
                <w:szCs w:val="22"/>
              </w:rPr>
            </w:pPr>
            <w:r w:rsidRPr="0077128F">
              <w:rPr>
                <w:bCs/>
                <w:sz w:val="22"/>
                <w:szCs w:val="22"/>
              </w:rPr>
              <w:t>$1,</w:t>
            </w:r>
            <w:r w:rsidR="0025445B">
              <w:rPr>
                <w:bCs/>
                <w:sz w:val="22"/>
                <w:szCs w:val="22"/>
              </w:rPr>
              <w:t>800</w:t>
            </w:r>
          </w:p>
          <w:p w14:paraId="05F1C003" w14:textId="5B8B043E" w:rsidR="009E484F" w:rsidRPr="0077128F" w:rsidRDefault="009E484F" w:rsidP="00997958">
            <w:pPr>
              <w:jc w:val="center"/>
              <w:rPr>
                <w:bCs/>
                <w:sz w:val="22"/>
                <w:szCs w:val="22"/>
              </w:rPr>
            </w:pPr>
            <w:r w:rsidRPr="0077128F">
              <w:rPr>
                <w:bCs/>
                <w:sz w:val="22"/>
                <w:szCs w:val="22"/>
              </w:rPr>
              <w:t>$</w:t>
            </w:r>
            <w:r w:rsidR="0025445B">
              <w:rPr>
                <w:bCs/>
                <w:sz w:val="22"/>
                <w:szCs w:val="22"/>
              </w:rPr>
              <w:t>1,025</w:t>
            </w:r>
          </w:p>
        </w:tc>
        <w:tc>
          <w:tcPr>
            <w:tcW w:w="1688" w:type="dxa"/>
            <w:gridSpan w:val="2"/>
          </w:tcPr>
          <w:p w14:paraId="313706F5" w14:textId="77777777" w:rsidR="009E484F" w:rsidRPr="0077128F" w:rsidRDefault="002C658A" w:rsidP="002C658A">
            <w:pPr>
              <w:jc w:val="center"/>
              <w:rPr>
                <w:sz w:val="22"/>
                <w:szCs w:val="22"/>
                <w:lang w:eastAsia="en-AU"/>
              </w:rPr>
            </w:pPr>
            <w:r w:rsidRPr="0077128F">
              <w:rPr>
                <w:sz w:val="22"/>
                <w:szCs w:val="22"/>
                <w:lang w:eastAsia="en-AU"/>
              </w:rPr>
              <w:t>-</w:t>
            </w:r>
          </w:p>
          <w:p w14:paraId="1E31A541" w14:textId="5226B04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BB23902" w14:textId="719D7844" w:rsidTr="0003415E">
        <w:trPr>
          <w:trHeight w:val="323"/>
          <w:jc w:val="center"/>
        </w:trPr>
        <w:tc>
          <w:tcPr>
            <w:tcW w:w="2830" w:type="dxa"/>
            <w:shd w:val="clear" w:color="auto" w:fill="auto"/>
            <w:hideMark/>
          </w:tcPr>
          <w:p w14:paraId="67F886E6" w14:textId="2712BEFF" w:rsidR="009E484F" w:rsidRPr="0077128F" w:rsidRDefault="009E484F" w:rsidP="001F0EA2">
            <w:pPr>
              <w:rPr>
                <w:sz w:val="22"/>
                <w:szCs w:val="22"/>
                <w:lang w:eastAsia="en-AU"/>
              </w:rPr>
            </w:pPr>
            <w:r w:rsidRPr="0077128F">
              <w:rPr>
                <w:sz w:val="22"/>
                <w:szCs w:val="22"/>
                <w:lang w:eastAsia="en-AU"/>
              </w:rPr>
              <w:t>Independent Reviewer, Government Agencies (Campaign Advertising)</w:t>
            </w:r>
          </w:p>
        </w:tc>
        <w:tc>
          <w:tcPr>
            <w:tcW w:w="2812" w:type="dxa"/>
            <w:shd w:val="clear" w:color="auto" w:fill="auto"/>
            <w:hideMark/>
          </w:tcPr>
          <w:p w14:paraId="445C2276" w14:textId="6425D230" w:rsidR="009E484F" w:rsidRPr="0077128F" w:rsidRDefault="009E484F" w:rsidP="001F0EA2">
            <w:pPr>
              <w:rPr>
                <w:sz w:val="22"/>
                <w:szCs w:val="22"/>
                <w:lang w:eastAsia="en-AU"/>
              </w:rPr>
            </w:pPr>
            <w:r w:rsidRPr="0077128F">
              <w:rPr>
                <w:sz w:val="22"/>
                <w:szCs w:val="22"/>
                <w:lang w:eastAsia="en-AU"/>
              </w:rPr>
              <w:t xml:space="preserve">Reviewer </w:t>
            </w:r>
          </w:p>
        </w:tc>
        <w:tc>
          <w:tcPr>
            <w:tcW w:w="1687" w:type="dxa"/>
            <w:gridSpan w:val="2"/>
            <w:shd w:val="clear" w:color="auto" w:fill="auto"/>
            <w:noWrap/>
          </w:tcPr>
          <w:p w14:paraId="1DA2DAD7" w14:textId="40346440" w:rsidR="009E484F" w:rsidRPr="0077128F" w:rsidRDefault="009E484F" w:rsidP="00997958">
            <w:pPr>
              <w:jc w:val="center"/>
              <w:rPr>
                <w:bCs/>
                <w:sz w:val="22"/>
                <w:szCs w:val="22"/>
              </w:rPr>
            </w:pPr>
            <w:r w:rsidRPr="0077128F">
              <w:rPr>
                <w:bCs/>
                <w:sz w:val="22"/>
                <w:szCs w:val="22"/>
              </w:rPr>
              <w:t>$</w:t>
            </w:r>
            <w:r w:rsidR="008707D6">
              <w:rPr>
                <w:bCs/>
                <w:sz w:val="22"/>
                <w:szCs w:val="22"/>
              </w:rPr>
              <w:t>925</w:t>
            </w:r>
          </w:p>
        </w:tc>
        <w:tc>
          <w:tcPr>
            <w:tcW w:w="1688" w:type="dxa"/>
            <w:gridSpan w:val="2"/>
          </w:tcPr>
          <w:p w14:paraId="411BB7BF" w14:textId="3144563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E96CF8F" w14:textId="5F64FBB8" w:rsidTr="0003415E">
        <w:trPr>
          <w:trHeight w:val="315"/>
          <w:jc w:val="center"/>
        </w:trPr>
        <w:tc>
          <w:tcPr>
            <w:tcW w:w="2830" w:type="dxa"/>
            <w:shd w:val="clear" w:color="auto" w:fill="auto"/>
            <w:hideMark/>
          </w:tcPr>
          <w:p w14:paraId="285B2BD9" w14:textId="77777777" w:rsidR="009E484F" w:rsidRPr="0077128F" w:rsidRDefault="009E484F" w:rsidP="001F0EA2">
            <w:pPr>
              <w:rPr>
                <w:sz w:val="22"/>
                <w:szCs w:val="22"/>
                <w:lang w:eastAsia="en-AU"/>
              </w:rPr>
            </w:pPr>
            <w:r w:rsidRPr="0077128F">
              <w:rPr>
                <w:sz w:val="22"/>
                <w:szCs w:val="22"/>
                <w:lang w:eastAsia="en-AU"/>
              </w:rPr>
              <w:t>Indigenous Education Consultative Body</w:t>
            </w:r>
          </w:p>
        </w:tc>
        <w:tc>
          <w:tcPr>
            <w:tcW w:w="2812" w:type="dxa"/>
            <w:shd w:val="clear" w:color="auto" w:fill="auto"/>
            <w:hideMark/>
          </w:tcPr>
          <w:p w14:paraId="4CADE1B9" w14:textId="19FD75DF" w:rsidR="009E484F" w:rsidRPr="0077128F" w:rsidRDefault="009E484F" w:rsidP="001F0EA2">
            <w:pPr>
              <w:rPr>
                <w:sz w:val="22"/>
                <w:szCs w:val="22"/>
                <w:lang w:eastAsia="en-AU"/>
              </w:rPr>
            </w:pPr>
            <w:r w:rsidRPr="0077128F">
              <w:rPr>
                <w:sz w:val="22"/>
                <w:szCs w:val="22"/>
                <w:lang w:eastAsia="en-AU"/>
              </w:rPr>
              <w:t xml:space="preserve">Chair </w:t>
            </w:r>
          </w:p>
          <w:p w14:paraId="45B95165" w14:textId="2B9FBE3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D9FB952" w14:textId="77777777" w:rsidR="008707D6" w:rsidRPr="0077128F" w:rsidRDefault="008707D6" w:rsidP="008707D6">
            <w:pPr>
              <w:jc w:val="center"/>
              <w:rPr>
                <w:bCs/>
                <w:sz w:val="22"/>
                <w:szCs w:val="22"/>
                <w:lang w:eastAsia="en-AU"/>
              </w:rPr>
            </w:pPr>
            <w:r w:rsidRPr="0077128F">
              <w:rPr>
                <w:bCs/>
                <w:sz w:val="22"/>
                <w:szCs w:val="22"/>
              </w:rPr>
              <w:t>$</w:t>
            </w:r>
            <w:r>
              <w:rPr>
                <w:bCs/>
                <w:sz w:val="22"/>
                <w:szCs w:val="22"/>
              </w:rPr>
              <w:t>590</w:t>
            </w:r>
          </w:p>
          <w:p w14:paraId="1A54B455" w14:textId="13954899" w:rsidR="009E484F" w:rsidRPr="0077128F" w:rsidRDefault="008707D6" w:rsidP="008707D6">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25ACB3C8" w14:textId="77777777" w:rsidR="009E484F" w:rsidRPr="0077128F" w:rsidRDefault="002C658A" w:rsidP="002C658A">
            <w:pPr>
              <w:jc w:val="center"/>
              <w:rPr>
                <w:sz w:val="22"/>
                <w:szCs w:val="22"/>
                <w:lang w:eastAsia="en-AU"/>
              </w:rPr>
            </w:pPr>
            <w:r w:rsidRPr="0077128F">
              <w:rPr>
                <w:sz w:val="22"/>
                <w:szCs w:val="22"/>
                <w:lang w:eastAsia="en-AU"/>
              </w:rPr>
              <w:t>-</w:t>
            </w:r>
          </w:p>
          <w:p w14:paraId="401999CF" w14:textId="7418ABA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A3AA73C" w14:textId="312E7D7B" w:rsidTr="0003415E">
        <w:trPr>
          <w:trHeight w:val="315"/>
          <w:jc w:val="center"/>
        </w:trPr>
        <w:tc>
          <w:tcPr>
            <w:tcW w:w="2830" w:type="dxa"/>
            <w:shd w:val="clear" w:color="auto" w:fill="auto"/>
          </w:tcPr>
          <w:p w14:paraId="7A52FE51" w14:textId="6D79C8C9" w:rsidR="009E484F" w:rsidRPr="0077128F" w:rsidRDefault="009E484F" w:rsidP="001F0EA2">
            <w:pPr>
              <w:rPr>
                <w:sz w:val="22"/>
                <w:szCs w:val="22"/>
                <w:lang w:eastAsia="en-AU"/>
              </w:rPr>
            </w:pPr>
            <w:r w:rsidRPr="0077128F">
              <w:rPr>
                <w:sz w:val="22"/>
                <w:szCs w:val="22"/>
                <w:lang w:eastAsia="en-AU"/>
              </w:rPr>
              <w:t>Inspector of Correctional Services*</w:t>
            </w:r>
          </w:p>
        </w:tc>
        <w:tc>
          <w:tcPr>
            <w:tcW w:w="2812" w:type="dxa"/>
            <w:shd w:val="clear" w:color="auto" w:fill="auto"/>
          </w:tcPr>
          <w:p w14:paraId="5CF36C66" w14:textId="2A50DB0F" w:rsidR="009E484F" w:rsidRPr="0077128F" w:rsidRDefault="009E484F" w:rsidP="001F0EA2">
            <w:pPr>
              <w:rPr>
                <w:sz w:val="22"/>
                <w:szCs w:val="22"/>
                <w:lang w:eastAsia="en-AU"/>
              </w:rPr>
            </w:pPr>
            <w:r w:rsidRPr="0077128F">
              <w:rPr>
                <w:sz w:val="22"/>
                <w:szCs w:val="22"/>
                <w:lang w:eastAsia="en-AU"/>
              </w:rPr>
              <w:t xml:space="preserve">Inspector </w:t>
            </w:r>
          </w:p>
        </w:tc>
        <w:tc>
          <w:tcPr>
            <w:tcW w:w="1687" w:type="dxa"/>
            <w:gridSpan w:val="2"/>
            <w:shd w:val="clear" w:color="auto" w:fill="auto"/>
            <w:noWrap/>
          </w:tcPr>
          <w:p w14:paraId="01927261" w14:textId="0B650128" w:rsidR="009E484F" w:rsidRPr="0077128F" w:rsidRDefault="00B353FA" w:rsidP="009A2312">
            <w:pPr>
              <w:jc w:val="center"/>
              <w:rPr>
                <w:bCs/>
                <w:sz w:val="22"/>
                <w:szCs w:val="22"/>
              </w:rPr>
            </w:pPr>
            <w:r w:rsidRPr="00E43E93">
              <w:rPr>
                <w:bCs/>
                <w:color w:val="000000" w:themeColor="text1"/>
                <w:sz w:val="22"/>
                <w:szCs w:val="22"/>
              </w:rPr>
              <w:t>$</w:t>
            </w:r>
            <w:r w:rsidR="00FE0799">
              <w:rPr>
                <w:bCs/>
                <w:color w:val="000000" w:themeColor="text1"/>
                <w:sz w:val="22"/>
                <w:szCs w:val="22"/>
              </w:rPr>
              <w:t>1,038</w:t>
            </w:r>
          </w:p>
        </w:tc>
        <w:tc>
          <w:tcPr>
            <w:tcW w:w="1688" w:type="dxa"/>
            <w:gridSpan w:val="2"/>
          </w:tcPr>
          <w:p w14:paraId="717DD70B" w14:textId="77777777" w:rsidR="009E484F" w:rsidRPr="0077128F" w:rsidRDefault="002C658A" w:rsidP="002C658A">
            <w:pPr>
              <w:jc w:val="center"/>
              <w:rPr>
                <w:sz w:val="22"/>
                <w:szCs w:val="22"/>
                <w:lang w:eastAsia="en-AU"/>
              </w:rPr>
            </w:pPr>
            <w:r w:rsidRPr="0077128F">
              <w:rPr>
                <w:sz w:val="22"/>
                <w:szCs w:val="22"/>
                <w:lang w:eastAsia="en-AU"/>
              </w:rPr>
              <w:t>-</w:t>
            </w:r>
          </w:p>
          <w:p w14:paraId="5F90A502" w14:textId="77777777" w:rsidR="002C658A" w:rsidRPr="0077128F" w:rsidRDefault="002C658A" w:rsidP="002C658A">
            <w:pPr>
              <w:rPr>
                <w:sz w:val="22"/>
                <w:szCs w:val="22"/>
                <w:lang w:eastAsia="en-AU"/>
              </w:rPr>
            </w:pPr>
          </w:p>
        </w:tc>
      </w:tr>
      <w:tr w:rsidR="0077128F" w:rsidRPr="0077128F" w14:paraId="02E073CC" w14:textId="4B1728F3" w:rsidTr="0003415E">
        <w:trPr>
          <w:trHeight w:val="300"/>
          <w:jc w:val="center"/>
        </w:trPr>
        <w:tc>
          <w:tcPr>
            <w:tcW w:w="2830" w:type="dxa"/>
            <w:shd w:val="clear" w:color="auto" w:fill="auto"/>
            <w:hideMark/>
          </w:tcPr>
          <w:p w14:paraId="046C7E43" w14:textId="03AFB5D0" w:rsidR="009E484F" w:rsidRPr="0077128F" w:rsidRDefault="009E484F" w:rsidP="001F0EA2">
            <w:pPr>
              <w:rPr>
                <w:sz w:val="22"/>
                <w:szCs w:val="22"/>
                <w:lang w:eastAsia="en-AU"/>
              </w:rPr>
            </w:pPr>
            <w:r w:rsidRPr="0077128F">
              <w:rPr>
                <w:sz w:val="22"/>
                <w:szCs w:val="22"/>
                <w:lang w:eastAsia="en-AU"/>
              </w:rPr>
              <w:t>Insurance Authority Advisory Board</w:t>
            </w:r>
          </w:p>
        </w:tc>
        <w:tc>
          <w:tcPr>
            <w:tcW w:w="2812" w:type="dxa"/>
            <w:shd w:val="clear" w:color="auto" w:fill="auto"/>
            <w:hideMark/>
          </w:tcPr>
          <w:p w14:paraId="513472CE" w14:textId="39F22ED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42537F4" w14:textId="0C8981BC"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528AC958" w14:textId="602FA6E0" w:rsidR="009E484F" w:rsidRPr="0077128F" w:rsidRDefault="009E484F" w:rsidP="00997958">
            <w:pPr>
              <w:jc w:val="center"/>
              <w:rPr>
                <w:bCs/>
                <w:sz w:val="22"/>
                <w:szCs w:val="22"/>
              </w:rPr>
            </w:pPr>
            <w:r w:rsidRPr="0077128F">
              <w:rPr>
                <w:bCs/>
                <w:sz w:val="22"/>
                <w:szCs w:val="22"/>
              </w:rPr>
              <w:t>$</w:t>
            </w:r>
            <w:r w:rsidR="00FB0BCA" w:rsidRPr="0077128F">
              <w:rPr>
                <w:bCs/>
                <w:sz w:val="22"/>
                <w:szCs w:val="22"/>
              </w:rPr>
              <w:t>2</w:t>
            </w:r>
            <w:r w:rsidR="008707D6">
              <w:rPr>
                <w:bCs/>
                <w:sz w:val="22"/>
                <w:szCs w:val="22"/>
              </w:rPr>
              <w:t>6</w:t>
            </w:r>
            <w:r w:rsidR="00FB0BCA" w:rsidRPr="0077128F">
              <w:rPr>
                <w:bCs/>
                <w:sz w:val="22"/>
                <w:szCs w:val="22"/>
              </w:rPr>
              <w:t>,</w:t>
            </w:r>
            <w:r w:rsidR="008707D6">
              <w:rPr>
                <w:bCs/>
                <w:sz w:val="22"/>
                <w:szCs w:val="22"/>
              </w:rPr>
              <w:t>39</w:t>
            </w:r>
            <w:r w:rsidR="00997958">
              <w:rPr>
                <w:bCs/>
                <w:sz w:val="22"/>
                <w:szCs w:val="22"/>
              </w:rPr>
              <w:t>0</w:t>
            </w:r>
          </w:p>
        </w:tc>
      </w:tr>
      <w:tr w:rsidR="0077128F" w:rsidRPr="0077128F" w14:paraId="47279604" w14:textId="77777777" w:rsidTr="0003415E">
        <w:trPr>
          <w:trHeight w:val="300"/>
          <w:jc w:val="center"/>
        </w:trPr>
        <w:tc>
          <w:tcPr>
            <w:tcW w:w="2830" w:type="dxa"/>
            <w:shd w:val="clear" w:color="auto" w:fill="auto"/>
          </w:tcPr>
          <w:p w14:paraId="76D62B3A" w14:textId="4391445F" w:rsidR="00247F6E" w:rsidRPr="0077128F" w:rsidRDefault="00247F6E" w:rsidP="00247F6E">
            <w:pPr>
              <w:rPr>
                <w:sz w:val="22"/>
                <w:szCs w:val="22"/>
                <w:lang w:eastAsia="en-AU"/>
              </w:rPr>
            </w:pPr>
            <w:r w:rsidRPr="0077128F">
              <w:rPr>
                <w:sz w:val="22"/>
                <w:szCs w:val="22"/>
                <w:lang w:eastAsia="en-AU"/>
              </w:rPr>
              <w:t>Invasive Plants Advisory Group</w:t>
            </w:r>
          </w:p>
        </w:tc>
        <w:tc>
          <w:tcPr>
            <w:tcW w:w="2812" w:type="dxa"/>
            <w:shd w:val="clear" w:color="auto" w:fill="auto"/>
          </w:tcPr>
          <w:p w14:paraId="11453BF8" w14:textId="2E0AF836" w:rsidR="00247F6E" w:rsidRPr="0077128F" w:rsidRDefault="00247F6E" w:rsidP="00247F6E">
            <w:pPr>
              <w:rPr>
                <w:sz w:val="22"/>
                <w:szCs w:val="22"/>
                <w:lang w:eastAsia="en-AU"/>
              </w:rPr>
            </w:pPr>
            <w:r w:rsidRPr="0077128F">
              <w:rPr>
                <w:sz w:val="22"/>
                <w:szCs w:val="22"/>
                <w:lang w:eastAsia="en-AU"/>
              </w:rPr>
              <w:t xml:space="preserve">External Members </w:t>
            </w:r>
          </w:p>
        </w:tc>
        <w:tc>
          <w:tcPr>
            <w:tcW w:w="1687" w:type="dxa"/>
            <w:gridSpan w:val="2"/>
            <w:shd w:val="clear" w:color="auto" w:fill="auto"/>
            <w:noWrap/>
          </w:tcPr>
          <w:p w14:paraId="281A6227" w14:textId="2C738A24" w:rsidR="00247F6E" w:rsidRPr="0077128F" w:rsidRDefault="00247F6E" w:rsidP="00997958">
            <w:pPr>
              <w:jc w:val="center"/>
              <w:rPr>
                <w:strike/>
                <w:sz w:val="22"/>
                <w:szCs w:val="22"/>
                <w:lang w:eastAsia="en-AU"/>
              </w:rPr>
            </w:pPr>
            <w:r w:rsidRPr="0077128F">
              <w:rPr>
                <w:bCs/>
                <w:sz w:val="22"/>
                <w:szCs w:val="22"/>
              </w:rPr>
              <w:t>$</w:t>
            </w:r>
            <w:r w:rsidR="008707D6">
              <w:rPr>
                <w:bCs/>
                <w:sz w:val="22"/>
                <w:szCs w:val="22"/>
              </w:rPr>
              <w:t>505</w:t>
            </w:r>
          </w:p>
        </w:tc>
        <w:tc>
          <w:tcPr>
            <w:tcW w:w="1688" w:type="dxa"/>
            <w:gridSpan w:val="2"/>
          </w:tcPr>
          <w:p w14:paraId="17342978" w14:textId="508BB4D8" w:rsidR="00247F6E" w:rsidRPr="0077128F" w:rsidRDefault="00247F6E" w:rsidP="00247F6E">
            <w:pPr>
              <w:jc w:val="center"/>
              <w:rPr>
                <w:bCs/>
                <w:sz w:val="22"/>
                <w:szCs w:val="22"/>
              </w:rPr>
            </w:pPr>
            <w:r w:rsidRPr="0077128F">
              <w:rPr>
                <w:sz w:val="22"/>
                <w:szCs w:val="22"/>
                <w:lang w:eastAsia="en-AU"/>
              </w:rPr>
              <w:t>-</w:t>
            </w:r>
          </w:p>
        </w:tc>
      </w:tr>
      <w:tr w:rsidR="0077128F" w:rsidRPr="0077128F" w14:paraId="405E9776" w14:textId="315B115B" w:rsidTr="0003415E">
        <w:trPr>
          <w:trHeight w:val="610"/>
          <w:jc w:val="center"/>
        </w:trPr>
        <w:tc>
          <w:tcPr>
            <w:tcW w:w="2830" w:type="dxa"/>
            <w:shd w:val="clear" w:color="auto" w:fill="auto"/>
            <w:hideMark/>
          </w:tcPr>
          <w:p w14:paraId="273E0A92" w14:textId="77777777" w:rsidR="009E484F" w:rsidRPr="0077128F" w:rsidRDefault="009E484F" w:rsidP="001F0EA2">
            <w:pPr>
              <w:rPr>
                <w:sz w:val="22"/>
                <w:szCs w:val="22"/>
                <w:lang w:eastAsia="en-AU"/>
              </w:rPr>
            </w:pPr>
            <w:r w:rsidRPr="0077128F">
              <w:rPr>
                <w:sz w:val="22"/>
                <w:szCs w:val="22"/>
                <w:lang w:eastAsia="en-AU"/>
              </w:rPr>
              <w:t>Investment Advisory Board</w:t>
            </w:r>
          </w:p>
        </w:tc>
        <w:tc>
          <w:tcPr>
            <w:tcW w:w="2812" w:type="dxa"/>
            <w:shd w:val="clear" w:color="auto" w:fill="auto"/>
            <w:hideMark/>
          </w:tcPr>
          <w:p w14:paraId="12283CD0" w14:textId="1AFB43C6" w:rsidR="009E484F" w:rsidRPr="0077128F" w:rsidRDefault="009E484F" w:rsidP="001F0EA2">
            <w:pPr>
              <w:rPr>
                <w:sz w:val="22"/>
                <w:szCs w:val="22"/>
                <w:lang w:eastAsia="en-AU"/>
              </w:rPr>
            </w:pPr>
            <w:r w:rsidRPr="0077128F">
              <w:rPr>
                <w:sz w:val="22"/>
                <w:szCs w:val="22"/>
                <w:lang w:eastAsia="en-AU"/>
              </w:rPr>
              <w:t xml:space="preserve">Chair </w:t>
            </w:r>
          </w:p>
          <w:p w14:paraId="2CB1ACC3" w14:textId="3463C4B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242B74E" w14:textId="77777777" w:rsidR="009E484F" w:rsidRPr="0077128F" w:rsidRDefault="002C658A" w:rsidP="002C658A">
            <w:pPr>
              <w:jc w:val="center"/>
              <w:rPr>
                <w:sz w:val="22"/>
                <w:szCs w:val="22"/>
                <w:lang w:eastAsia="en-AU"/>
              </w:rPr>
            </w:pPr>
            <w:r w:rsidRPr="0077128F">
              <w:rPr>
                <w:sz w:val="22"/>
                <w:szCs w:val="22"/>
                <w:lang w:eastAsia="en-AU"/>
              </w:rPr>
              <w:t>-</w:t>
            </w:r>
          </w:p>
          <w:p w14:paraId="4F63BD36" w14:textId="353EC051"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68D9FD60" w14:textId="60FD57E6" w:rsidR="009E484F" w:rsidRPr="0077128F" w:rsidRDefault="009E484F" w:rsidP="002C658A">
            <w:pPr>
              <w:jc w:val="center"/>
              <w:rPr>
                <w:bCs/>
                <w:sz w:val="22"/>
                <w:szCs w:val="22"/>
              </w:rPr>
            </w:pPr>
            <w:r w:rsidRPr="0077128F">
              <w:rPr>
                <w:bCs/>
                <w:sz w:val="22"/>
                <w:szCs w:val="22"/>
              </w:rPr>
              <w:t>$</w:t>
            </w:r>
            <w:r w:rsidR="00997958">
              <w:rPr>
                <w:bCs/>
                <w:sz w:val="22"/>
                <w:szCs w:val="22"/>
              </w:rPr>
              <w:t>3</w:t>
            </w:r>
            <w:r w:rsidR="008707D6">
              <w:rPr>
                <w:bCs/>
                <w:sz w:val="22"/>
                <w:szCs w:val="22"/>
              </w:rPr>
              <w:t>6</w:t>
            </w:r>
            <w:r w:rsidR="00997958">
              <w:rPr>
                <w:bCs/>
                <w:sz w:val="22"/>
                <w:szCs w:val="22"/>
              </w:rPr>
              <w:t>,4</w:t>
            </w:r>
            <w:r w:rsidR="008707D6">
              <w:rPr>
                <w:bCs/>
                <w:sz w:val="22"/>
                <w:szCs w:val="22"/>
              </w:rPr>
              <w:t>90</w:t>
            </w:r>
          </w:p>
          <w:p w14:paraId="0DB5A87A" w14:textId="733D9314" w:rsidR="009E484F" w:rsidRPr="0077128F" w:rsidRDefault="009E484F" w:rsidP="00997958">
            <w:pPr>
              <w:jc w:val="center"/>
              <w:rPr>
                <w:bCs/>
                <w:sz w:val="22"/>
                <w:szCs w:val="22"/>
              </w:rPr>
            </w:pPr>
            <w:r w:rsidRPr="0077128F">
              <w:rPr>
                <w:bCs/>
                <w:sz w:val="22"/>
                <w:szCs w:val="22"/>
              </w:rPr>
              <w:t>$</w:t>
            </w:r>
            <w:r w:rsidR="00997958">
              <w:rPr>
                <w:bCs/>
                <w:sz w:val="22"/>
                <w:szCs w:val="22"/>
              </w:rPr>
              <w:t>2</w:t>
            </w:r>
            <w:r w:rsidR="008707D6">
              <w:rPr>
                <w:bCs/>
                <w:sz w:val="22"/>
                <w:szCs w:val="22"/>
              </w:rPr>
              <w:t>7</w:t>
            </w:r>
            <w:r w:rsidR="00997958">
              <w:rPr>
                <w:bCs/>
                <w:sz w:val="22"/>
                <w:szCs w:val="22"/>
              </w:rPr>
              <w:t>,</w:t>
            </w:r>
            <w:r w:rsidR="008707D6">
              <w:rPr>
                <w:bCs/>
                <w:sz w:val="22"/>
                <w:szCs w:val="22"/>
              </w:rPr>
              <w:t>2</w:t>
            </w:r>
            <w:r w:rsidR="00997958">
              <w:rPr>
                <w:bCs/>
                <w:sz w:val="22"/>
                <w:szCs w:val="22"/>
              </w:rPr>
              <w:t>8</w:t>
            </w:r>
            <w:r w:rsidR="008707D6">
              <w:rPr>
                <w:bCs/>
                <w:sz w:val="22"/>
                <w:szCs w:val="22"/>
              </w:rPr>
              <w:t>0</w:t>
            </w:r>
          </w:p>
        </w:tc>
      </w:tr>
      <w:tr w:rsidR="0077128F" w:rsidRPr="0077128F" w14:paraId="1069EF15" w14:textId="0D0D10B0" w:rsidTr="0003415E">
        <w:trPr>
          <w:trHeight w:val="596"/>
          <w:jc w:val="center"/>
        </w:trPr>
        <w:tc>
          <w:tcPr>
            <w:tcW w:w="2830" w:type="dxa"/>
            <w:shd w:val="clear" w:color="auto" w:fill="auto"/>
          </w:tcPr>
          <w:p w14:paraId="036EA81D" w14:textId="247EF30B" w:rsidR="009E484F" w:rsidRPr="0077128F" w:rsidRDefault="009E484F" w:rsidP="001F0EA2">
            <w:pPr>
              <w:rPr>
                <w:sz w:val="22"/>
                <w:szCs w:val="22"/>
                <w:lang w:eastAsia="en-AU"/>
              </w:rPr>
            </w:pPr>
            <w:r w:rsidRPr="0077128F">
              <w:rPr>
                <w:sz w:val="22"/>
                <w:szCs w:val="22"/>
                <w:lang w:eastAsia="en-AU"/>
              </w:rPr>
              <w:t>Legal Aid Commission</w:t>
            </w:r>
          </w:p>
        </w:tc>
        <w:tc>
          <w:tcPr>
            <w:tcW w:w="2812" w:type="dxa"/>
            <w:shd w:val="clear" w:color="auto" w:fill="auto"/>
          </w:tcPr>
          <w:p w14:paraId="47341FC6" w14:textId="727E8CC0" w:rsidR="009E484F" w:rsidRPr="0077128F" w:rsidRDefault="009E484F" w:rsidP="001F0EA2">
            <w:pPr>
              <w:rPr>
                <w:sz w:val="22"/>
                <w:szCs w:val="22"/>
                <w:lang w:eastAsia="en-AU"/>
              </w:rPr>
            </w:pPr>
            <w:r w:rsidRPr="0077128F">
              <w:rPr>
                <w:sz w:val="22"/>
                <w:szCs w:val="22"/>
                <w:lang w:eastAsia="en-AU"/>
              </w:rPr>
              <w:t xml:space="preserve">President </w:t>
            </w:r>
          </w:p>
          <w:p w14:paraId="35B3D475" w14:textId="7AF0A630"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ADCA151" w14:textId="27C25247" w:rsidR="009E484F" w:rsidRPr="0077128F" w:rsidRDefault="008306EE" w:rsidP="002C658A">
            <w:pPr>
              <w:jc w:val="center"/>
              <w:rPr>
                <w:bCs/>
                <w:sz w:val="22"/>
                <w:szCs w:val="22"/>
              </w:rPr>
            </w:pPr>
            <w:r w:rsidRPr="0077128F">
              <w:rPr>
                <w:bCs/>
                <w:sz w:val="22"/>
                <w:szCs w:val="22"/>
              </w:rPr>
              <w:t>-</w:t>
            </w:r>
          </w:p>
          <w:p w14:paraId="121A277F" w14:textId="7521D4A0" w:rsidR="009E484F" w:rsidRPr="0077128F" w:rsidRDefault="009E484F" w:rsidP="00997958">
            <w:pPr>
              <w:jc w:val="center"/>
              <w:rPr>
                <w:bCs/>
                <w:sz w:val="22"/>
                <w:szCs w:val="22"/>
              </w:rPr>
            </w:pPr>
            <w:r w:rsidRPr="0077128F">
              <w:rPr>
                <w:bCs/>
                <w:sz w:val="22"/>
                <w:szCs w:val="22"/>
              </w:rPr>
              <w:t>$</w:t>
            </w:r>
            <w:r w:rsidR="008707D6">
              <w:rPr>
                <w:bCs/>
                <w:sz w:val="22"/>
                <w:szCs w:val="22"/>
              </w:rPr>
              <w:t>505</w:t>
            </w:r>
          </w:p>
        </w:tc>
        <w:tc>
          <w:tcPr>
            <w:tcW w:w="1688" w:type="dxa"/>
            <w:gridSpan w:val="2"/>
          </w:tcPr>
          <w:p w14:paraId="08C7FA5E" w14:textId="23B572A0" w:rsidR="009E484F" w:rsidRPr="0077128F" w:rsidRDefault="009E484F" w:rsidP="002C658A">
            <w:pPr>
              <w:jc w:val="center"/>
              <w:rPr>
                <w:bCs/>
                <w:sz w:val="22"/>
                <w:szCs w:val="22"/>
              </w:rPr>
            </w:pPr>
            <w:r w:rsidRPr="0077128F">
              <w:rPr>
                <w:bCs/>
                <w:sz w:val="22"/>
                <w:szCs w:val="22"/>
              </w:rPr>
              <w:t>$</w:t>
            </w:r>
            <w:r w:rsidR="00997958">
              <w:rPr>
                <w:bCs/>
                <w:sz w:val="22"/>
                <w:szCs w:val="22"/>
              </w:rPr>
              <w:t>2</w:t>
            </w:r>
            <w:r w:rsidR="008707D6">
              <w:rPr>
                <w:bCs/>
                <w:sz w:val="22"/>
                <w:szCs w:val="22"/>
              </w:rPr>
              <w:t>2</w:t>
            </w:r>
            <w:r w:rsidR="00997958">
              <w:rPr>
                <w:bCs/>
                <w:sz w:val="22"/>
                <w:szCs w:val="22"/>
              </w:rPr>
              <w:t>,</w:t>
            </w:r>
            <w:r w:rsidR="008707D6">
              <w:rPr>
                <w:bCs/>
                <w:sz w:val="22"/>
                <w:szCs w:val="22"/>
              </w:rPr>
              <w:t>0</w:t>
            </w:r>
            <w:r w:rsidR="00997958">
              <w:rPr>
                <w:bCs/>
                <w:sz w:val="22"/>
                <w:szCs w:val="22"/>
              </w:rPr>
              <w:t>0</w:t>
            </w:r>
            <w:r w:rsidR="008707D6">
              <w:rPr>
                <w:bCs/>
                <w:sz w:val="22"/>
                <w:szCs w:val="22"/>
              </w:rPr>
              <w:t>5</w:t>
            </w:r>
          </w:p>
          <w:p w14:paraId="4945E489" w14:textId="77777777" w:rsidR="009E484F" w:rsidRPr="0077128F" w:rsidRDefault="009E484F" w:rsidP="002C658A">
            <w:pPr>
              <w:jc w:val="center"/>
              <w:rPr>
                <w:bCs/>
                <w:sz w:val="22"/>
                <w:szCs w:val="22"/>
              </w:rPr>
            </w:pPr>
          </w:p>
        </w:tc>
      </w:tr>
      <w:tr w:rsidR="0077128F" w:rsidRPr="0077128F" w14:paraId="659B48C7" w14:textId="195D493E" w:rsidTr="0003415E">
        <w:trPr>
          <w:trHeight w:val="596"/>
          <w:jc w:val="center"/>
        </w:trPr>
        <w:tc>
          <w:tcPr>
            <w:tcW w:w="2830" w:type="dxa"/>
            <w:shd w:val="clear" w:color="auto" w:fill="auto"/>
          </w:tcPr>
          <w:p w14:paraId="357444CA"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Lesbian, Gay, Bisexual, Transgender, Intersex and Queer (LGBTIQ) Community Advisory Council</w:t>
            </w:r>
          </w:p>
        </w:tc>
        <w:tc>
          <w:tcPr>
            <w:tcW w:w="2812" w:type="dxa"/>
            <w:shd w:val="clear" w:color="auto" w:fill="auto"/>
          </w:tcPr>
          <w:p w14:paraId="783475FD"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 xml:space="preserve">Chair </w:t>
            </w:r>
          </w:p>
          <w:p w14:paraId="487FCB94" w14:textId="0F9F5FF4" w:rsidR="00054C69" w:rsidRPr="00CA7C51" w:rsidRDefault="00054C69" w:rsidP="001F0EA2">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0F6A68DA" w14:textId="77777777" w:rsidR="008707D6" w:rsidRPr="0077128F" w:rsidRDefault="008707D6" w:rsidP="008707D6">
            <w:pPr>
              <w:jc w:val="center"/>
              <w:rPr>
                <w:bCs/>
                <w:sz w:val="22"/>
                <w:szCs w:val="22"/>
                <w:lang w:eastAsia="en-AU"/>
              </w:rPr>
            </w:pPr>
            <w:r w:rsidRPr="0077128F">
              <w:rPr>
                <w:bCs/>
                <w:sz w:val="22"/>
                <w:szCs w:val="22"/>
              </w:rPr>
              <w:t>$</w:t>
            </w:r>
            <w:r>
              <w:rPr>
                <w:bCs/>
                <w:sz w:val="22"/>
                <w:szCs w:val="22"/>
              </w:rPr>
              <w:t>590</w:t>
            </w:r>
          </w:p>
          <w:p w14:paraId="69B1D091" w14:textId="004534FD" w:rsidR="00054C69" w:rsidRPr="00CA7C51" w:rsidRDefault="008707D6" w:rsidP="008707D6">
            <w:pPr>
              <w:jc w:val="center"/>
              <w:rPr>
                <w:bCs/>
                <w:color w:val="000000" w:themeColor="text1"/>
                <w:sz w:val="22"/>
                <w:szCs w:val="22"/>
              </w:rPr>
            </w:pPr>
            <w:r w:rsidRPr="0077128F">
              <w:rPr>
                <w:bCs/>
                <w:sz w:val="22"/>
                <w:szCs w:val="22"/>
              </w:rPr>
              <w:t>$</w:t>
            </w:r>
            <w:r>
              <w:rPr>
                <w:bCs/>
                <w:sz w:val="22"/>
                <w:szCs w:val="22"/>
              </w:rPr>
              <w:t>505</w:t>
            </w:r>
          </w:p>
        </w:tc>
        <w:tc>
          <w:tcPr>
            <w:tcW w:w="1688" w:type="dxa"/>
            <w:gridSpan w:val="2"/>
          </w:tcPr>
          <w:p w14:paraId="7C8160CD" w14:textId="77777777" w:rsidR="009E484F" w:rsidRDefault="002C658A" w:rsidP="002C658A">
            <w:pPr>
              <w:jc w:val="center"/>
              <w:rPr>
                <w:sz w:val="22"/>
                <w:szCs w:val="22"/>
                <w:lang w:eastAsia="en-AU"/>
              </w:rPr>
            </w:pPr>
            <w:r w:rsidRPr="0077128F">
              <w:rPr>
                <w:sz w:val="22"/>
                <w:szCs w:val="22"/>
                <w:lang w:eastAsia="en-AU"/>
              </w:rPr>
              <w:t>-</w:t>
            </w:r>
          </w:p>
          <w:p w14:paraId="2ACF9176" w14:textId="0A6BA664" w:rsidR="00054C69" w:rsidRPr="0077128F" w:rsidRDefault="00054C69" w:rsidP="002C658A">
            <w:pPr>
              <w:jc w:val="center"/>
              <w:rPr>
                <w:sz w:val="22"/>
                <w:szCs w:val="22"/>
                <w:lang w:eastAsia="en-AU"/>
              </w:rPr>
            </w:pPr>
            <w:r>
              <w:rPr>
                <w:sz w:val="22"/>
                <w:szCs w:val="22"/>
                <w:lang w:eastAsia="en-AU"/>
              </w:rPr>
              <w:t>-</w:t>
            </w:r>
          </w:p>
        </w:tc>
      </w:tr>
      <w:tr w:rsidR="0077128F" w:rsidRPr="0077128F" w14:paraId="5F91D704" w14:textId="780C2FB5" w:rsidTr="0003415E">
        <w:trPr>
          <w:trHeight w:val="596"/>
          <w:jc w:val="center"/>
        </w:trPr>
        <w:tc>
          <w:tcPr>
            <w:tcW w:w="2830" w:type="dxa"/>
            <w:shd w:val="clear" w:color="auto" w:fill="auto"/>
          </w:tcPr>
          <w:p w14:paraId="7635DF98" w14:textId="4A9EE72D" w:rsidR="009E484F" w:rsidRPr="0077128F" w:rsidRDefault="009E484F" w:rsidP="001F0EA2">
            <w:pPr>
              <w:rPr>
                <w:sz w:val="22"/>
                <w:szCs w:val="22"/>
                <w:lang w:eastAsia="en-AU"/>
              </w:rPr>
            </w:pPr>
            <w:r w:rsidRPr="0077128F">
              <w:rPr>
                <w:sz w:val="22"/>
                <w:szCs w:val="22"/>
                <w:lang w:eastAsia="en-AU"/>
              </w:rPr>
              <w:t>Light Rail Project Board</w:t>
            </w:r>
          </w:p>
        </w:tc>
        <w:tc>
          <w:tcPr>
            <w:tcW w:w="2812" w:type="dxa"/>
            <w:shd w:val="clear" w:color="auto" w:fill="auto"/>
          </w:tcPr>
          <w:p w14:paraId="0BCFB452" w14:textId="7BEA8DA5" w:rsidR="009E484F" w:rsidRPr="0077128F" w:rsidRDefault="009E484F" w:rsidP="001F0EA2">
            <w:pPr>
              <w:rPr>
                <w:sz w:val="22"/>
                <w:szCs w:val="22"/>
                <w:lang w:eastAsia="en-AU"/>
              </w:rPr>
            </w:pPr>
            <w:r w:rsidRPr="0077128F">
              <w:rPr>
                <w:sz w:val="22"/>
                <w:szCs w:val="22"/>
                <w:lang w:eastAsia="en-AU"/>
              </w:rPr>
              <w:t xml:space="preserve">Chair </w:t>
            </w:r>
          </w:p>
          <w:p w14:paraId="3A45690F" w14:textId="7048E25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AA6AC6A" w14:textId="77777777" w:rsidR="009E484F" w:rsidRPr="0077128F" w:rsidRDefault="002C658A" w:rsidP="002C658A">
            <w:pPr>
              <w:jc w:val="center"/>
              <w:rPr>
                <w:sz w:val="22"/>
                <w:szCs w:val="22"/>
                <w:lang w:eastAsia="en-AU"/>
              </w:rPr>
            </w:pPr>
            <w:r w:rsidRPr="0077128F">
              <w:rPr>
                <w:sz w:val="22"/>
                <w:szCs w:val="22"/>
                <w:lang w:eastAsia="en-AU"/>
              </w:rPr>
              <w:t>-</w:t>
            </w:r>
          </w:p>
          <w:p w14:paraId="017423E6" w14:textId="6FAB8C4E"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3EF82F8F" w14:textId="203D41E9" w:rsidR="00A90FBE" w:rsidRPr="0077128F" w:rsidRDefault="00A90FBE" w:rsidP="00A90FBE">
            <w:pPr>
              <w:jc w:val="center"/>
              <w:rPr>
                <w:bCs/>
                <w:sz w:val="22"/>
                <w:szCs w:val="22"/>
              </w:rPr>
            </w:pPr>
            <w:r w:rsidRPr="0077128F">
              <w:rPr>
                <w:bCs/>
                <w:sz w:val="22"/>
                <w:szCs w:val="22"/>
              </w:rPr>
              <w:t>$</w:t>
            </w:r>
            <w:r w:rsidR="00997958">
              <w:rPr>
                <w:bCs/>
                <w:sz w:val="22"/>
                <w:szCs w:val="22"/>
              </w:rPr>
              <w:t>8</w:t>
            </w:r>
            <w:r w:rsidR="008707D6">
              <w:rPr>
                <w:bCs/>
                <w:sz w:val="22"/>
                <w:szCs w:val="22"/>
              </w:rPr>
              <w:t>5</w:t>
            </w:r>
            <w:r w:rsidR="00997958">
              <w:rPr>
                <w:bCs/>
                <w:sz w:val="22"/>
                <w:szCs w:val="22"/>
              </w:rPr>
              <w:t>,</w:t>
            </w:r>
            <w:r w:rsidR="008707D6">
              <w:rPr>
                <w:bCs/>
                <w:sz w:val="22"/>
                <w:szCs w:val="22"/>
              </w:rPr>
              <w:t>200</w:t>
            </w:r>
          </w:p>
          <w:p w14:paraId="068F3CC7" w14:textId="1048C61D" w:rsidR="009E484F" w:rsidRPr="0077128F" w:rsidRDefault="00A90FBE" w:rsidP="00997958">
            <w:pPr>
              <w:jc w:val="center"/>
              <w:rPr>
                <w:bCs/>
                <w:sz w:val="22"/>
                <w:szCs w:val="22"/>
              </w:rPr>
            </w:pPr>
            <w:r w:rsidRPr="0077128F">
              <w:rPr>
                <w:bCs/>
                <w:sz w:val="22"/>
                <w:szCs w:val="22"/>
              </w:rPr>
              <w:t>$</w:t>
            </w:r>
            <w:r w:rsidR="008707D6">
              <w:rPr>
                <w:bCs/>
                <w:sz w:val="22"/>
                <w:szCs w:val="22"/>
              </w:rPr>
              <w:t>51</w:t>
            </w:r>
            <w:r w:rsidR="00997958">
              <w:rPr>
                <w:bCs/>
                <w:sz w:val="22"/>
                <w:szCs w:val="22"/>
              </w:rPr>
              <w:t>,</w:t>
            </w:r>
            <w:r w:rsidR="008707D6">
              <w:rPr>
                <w:bCs/>
                <w:sz w:val="22"/>
                <w:szCs w:val="22"/>
              </w:rPr>
              <w:t>13</w:t>
            </w:r>
            <w:r w:rsidR="00997958">
              <w:rPr>
                <w:bCs/>
                <w:sz w:val="22"/>
                <w:szCs w:val="22"/>
              </w:rPr>
              <w:t>0</w:t>
            </w:r>
          </w:p>
        </w:tc>
      </w:tr>
      <w:tr w:rsidR="0077128F" w:rsidRPr="0077128F" w14:paraId="39F78AEB" w14:textId="401B41E2" w:rsidTr="0003415E">
        <w:trPr>
          <w:trHeight w:val="596"/>
          <w:jc w:val="center"/>
        </w:trPr>
        <w:tc>
          <w:tcPr>
            <w:tcW w:w="2830" w:type="dxa"/>
            <w:shd w:val="clear" w:color="auto" w:fill="auto"/>
          </w:tcPr>
          <w:p w14:paraId="0CC82AB2" w14:textId="37310C24" w:rsidR="009E484F" w:rsidRPr="0077128F" w:rsidRDefault="009E484F" w:rsidP="001F0EA2">
            <w:pPr>
              <w:rPr>
                <w:sz w:val="22"/>
                <w:szCs w:val="22"/>
                <w:lang w:eastAsia="en-AU"/>
              </w:rPr>
            </w:pPr>
            <w:r w:rsidRPr="0077128F">
              <w:rPr>
                <w:sz w:val="22"/>
                <w:szCs w:val="22"/>
                <w:lang w:eastAsia="en-AU"/>
              </w:rPr>
              <w:t>Long Service Leave Authority Board</w:t>
            </w:r>
          </w:p>
        </w:tc>
        <w:tc>
          <w:tcPr>
            <w:tcW w:w="2812" w:type="dxa"/>
            <w:shd w:val="clear" w:color="auto" w:fill="auto"/>
          </w:tcPr>
          <w:p w14:paraId="761AA43C" w14:textId="3720C128" w:rsidR="009E484F" w:rsidRPr="0077128F" w:rsidRDefault="009E484F" w:rsidP="001F0EA2">
            <w:pPr>
              <w:rPr>
                <w:sz w:val="22"/>
                <w:szCs w:val="22"/>
                <w:lang w:eastAsia="en-AU"/>
              </w:rPr>
            </w:pPr>
            <w:r w:rsidRPr="0077128F">
              <w:rPr>
                <w:sz w:val="22"/>
                <w:szCs w:val="22"/>
                <w:lang w:eastAsia="en-AU"/>
              </w:rPr>
              <w:t xml:space="preserve">Chair </w:t>
            </w:r>
          </w:p>
          <w:p w14:paraId="771B8D20" w14:textId="7E9EFE5C" w:rsidR="009E484F" w:rsidRPr="0077128F" w:rsidRDefault="009E484F" w:rsidP="001F0EA2">
            <w:pPr>
              <w:rPr>
                <w:sz w:val="22"/>
                <w:szCs w:val="22"/>
                <w:lang w:eastAsia="en-AU"/>
              </w:rPr>
            </w:pPr>
            <w:r w:rsidRPr="0077128F">
              <w:rPr>
                <w:sz w:val="22"/>
                <w:szCs w:val="22"/>
                <w:lang w:eastAsia="en-AU"/>
              </w:rPr>
              <w:t xml:space="preserve">Deputy Chair </w:t>
            </w:r>
          </w:p>
          <w:p w14:paraId="7702043A" w14:textId="7A89BC2F"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42EFA2B" w14:textId="77777777" w:rsidR="009E484F" w:rsidRPr="0077128F" w:rsidRDefault="002C658A" w:rsidP="002C658A">
            <w:pPr>
              <w:jc w:val="center"/>
              <w:rPr>
                <w:bCs/>
                <w:sz w:val="22"/>
                <w:szCs w:val="22"/>
              </w:rPr>
            </w:pPr>
            <w:r w:rsidRPr="0077128F">
              <w:rPr>
                <w:bCs/>
                <w:sz w:val="22"/>
                <w:szCs w:val="22"/>
              </w:rPr>
              <w:t>-</w:t>
            </w:r>
          </w:p>
          <w:p w14:paraId="49403BBB" w14:textId="1364B27E" w:rsidR="009E484F" w:rsidRPr="0077128F" w:rsidRDefault="002C658A" w:rsidP="002C658A">
            <w:pPr>
              <w:jc w:val="center"/>
              <w:rPr>
                <w:bCs/>
                <w:sz w:val="22"/>
                <w:szCs w:val="22"/>
              </w:rPr>
            </w:pPr>
            <w:r w:rsidRPr="0077128F">
              <w:rPr>
                <w:bCs/>
                <w:sz w:val="22"/>
                <w:szCs w:val="22"/>
              </w:rPr>
              <w:t>-</w:t>
            </w:r>
          </w:p>
          <w:p w14:paraId="7B9FBBE0" w14:textId="49D176E4" w:rsidR="009E484F" w:rsidRPr="0077128F" w:rsidRDefault="009E484F" w:rsidP="00997958">
            <w:pPr>
              <w:jc w:val="center"/>
              <w:rPr>
                <w:bCs/>
                <w:sz w:val="22"/>
                <w:szCs w:val="22"/>
              </w:rPr>
            </w:pPr>
            <w:r w:rsidRPr="0077128F">
              <w:rPr>
                <w:bCs/>
                <w:sz w:val="22"/>
                <w:szCs w:val="22"/>
              </w:rPr>
              <w:t>$</w:t>
            </w:r>
            <w:r w:rsidR="008707D6">
              <w:rPr>
                <w:bCs/>
                <w:sz w:val="22"/>
                <w:szCs w:val="22"/>
              </w:rPr>
              <w:t>505</w:t>
            </w:r>
          </w:p>
        </w:tc>
        <w:tc>
          <w:tcPr>
            <w:tcW w:w="1688" w:type="dxa"/>
            <w:gridSpan w:val="2"/>
          </w:tcPr>
          <w:p w14:paraId="5D7EB1A1" w14:textId="69DB08CB" w:rsidR="009E484F" w:rsidRPr="0077128F" w:rsidRDefault="009E484F" w:rsidP="002C658A">
            <w:pPr>
              <w:jc w:val="center"/>
              <w:rPr>
                <w:bCs/>
                <w:sz w:val="22"/>
                <w:szCs w:val="22"/>
              </w:rPr>
            </w:pPr>
            <w:r w:rsidRPr="0077128F">
              <w:rPr>
                <w:bCs/>
                <w:sz w:val="22"/>
                <w:szCs w:val="22"/>
              </w:rPr>
              <w:t>$</w:t>
            </w:r>
            <w:r w:rsidR="00CE14AA" w:rsidRPr="0077128F">
              <w:rPr>
                <w:bCs/>
                <w:sz w:val="22"/>
                <w:szCs w:val="22"/>
              </w:rPr>
              <w:t>2</w:t>
            </w:r>
            <w:r w:rsidR="008707D6">
              <w:rPr>
                <w:bCs/>
                <w:sz w:val="22"/>
                <w:szCs w:val="22"/>
              </w:rPr>
              <w:t>9</w:t>
            </w:r>
            <w:r w:rsidR="00CE14AA" w:rsidRPr="0077128F">
              <w:rPr>
                <w:bCs/>
                <w:sz w:val="22"/>
                <w:szCs w:val="22"/>
              </w:rPr>
              <w:t>,</w:t>
            </w:r>
            <w:r w:rsidR="00997958">
              <w:rPr>
                <w:bCs/>
                <w:sz w:val="22"/>
                <w:szCs w:val="22"/>
              </w:rPr>
              <w:t>5</w:t>
            </w:r>
            <w:r w:rsidR="008707D6">
              <w:rPr>
                <w:bCs/>
                <w:sz w:val="22"/>
                <w:szCs w:val="22"/>
              </w:rPr>
              <w:t>50</w:t>
            </w:r>
          </w:p>
          <w:p w14:paraId="60714348" w14:textId="70FB6457" w:rsidR="009E484F" w:rsidRPr="0077128F" w:rsidRDefault="00CE14AA" w:rsidP="002C658A">
            <w:pPr>
              <w:jc w:val="center"/>
              <w:rPr>
                <w:bCs/>
                <w:sz w:val="22"/>
                <w:szCs w:val="22"/>
              </w:rPr>
            </w:pPr>
            <w:r w:rsidRPr="0077128F">
              <w:rPr>
                <w:bCs/>
                <w:sz w:val="22"/>
                <w:szCs w:val="22"/>
              </w:rPr>
              <w:t>$1</w:t>
            </w:r>
            <w:r w:rsidR="00FB0BCA" w:rsidRPr="0077128F">
              <w:rPr>
                <w:bCs/>
                <w:sz w:val="22"/>
                <w:szCs w:val="22"/>
              </w:rPr>
              <w:t>4</w:t>
            </w:r>
            <w:r w:rsidRPr="0077128F">
              <w:rPr>
                <w:bCs/>
                <w:sz w:val="22"/>
                <w:szCs w:val="22"/>
              </w:rPr>
              <w:t>,</w:t>
            </w:r>
            <w:r w:rsidR="008707D6">
              <w:rPr>
                <w:bCs/>
                <w:sz w:val="22"/>
                <w:szCs w:val="22"/>
              </w:rPr>
              <w:t>790</w:t>
            </w:r>
          </w:p>
          <w:p w14:paraId="70BB5FA7" w14:textId="075D9273" w:rsidR="002C658A" w:rsidRPr="0077128F" w:rsidRDefault="002C658A" w:rsidP="002C658A">
            <w:pPr>
              <w:jc w:val="center"/>
              <w:rPr>
                <w:bCs/>
                <w:sz w:val="22"/>
                <w:szCs w:val="22"/>
              </w:rPr>
            </w:pPr>
            <w:r w:rsidRPr="0077128F">
              <w:rPr>
                <w:bCs/>
                <w:sz w:val="22"/>
                <w:szCs w:val="22"/>
              </w:rPr>
              <w:t>-</w:t>
            </w:r>
          </w:p>
        </w:tc>
      </w:tr>
      <w:tr w:rsidR="0077128F" w:rsidRPr="0077128F" w14:paraId="7AA1457E" w14:textId="77777777" w:rsidTr="0003415E">
        <w:trPr>
          <w:trHeight w:val="596"/>
          <w:jc w:val="center"/>
        </w:trPr>
        <w:tc>
          <w:tcPr>
            <w:tcW w:w="2830" w:type="dxa"/>
            <w:shd w:val="clear" w:color="auto" w:fill="auto"/>
          </w:tcPr>
          <w:p w14:paraId="5555537F" w14:textId="40B74B99" w:rsidR="00A90FBE" w:rsidRPr="0077128F" w:rsidRDefault="00A90FBE" w:rsidP="001F0EA2">
            <w:pPr>
              <w:rPr>
                <w:sz w:val="22"/>
                <w:szCs w:val="22"/>
                <w:lang w:eastAsia="en-AU"/>
              </w:rPr>
            </w:pPr>
            <w:r w:rsidRPr="0077128F">
              <w:rPr>
                <w:sz w:val="22"/>
                <w:szCs w:val="22"/>
                <w:lang w:eastAsia="en-AU"/>
              </w:rPr>
              <w:t>Major Projects Canberra Independent Advisory Boards</w:t>
            </w:r>
          </w:p>
        </w:tc>
        <w:tc>
          <w:tcPr>
            <w:tcW w:w="2812" w:type="dxa"/>
            <w:shd w:val="clear" w:color="auto" w:fill="auto"/>
          </w:tcPr>
          <w:p w14:paraId="25DF420E" w14:textId="77777777" w:rsidR="00A90FBE" w:rsidRPr="0077128F" w:rsidRDefault="00A90FBE" w:rsidP="00A90FBE">
            <w:pPr>
              <w:rPr>
                <w:sz w:val="22"/>
                <w:szCs w:val="22"/>
                <w:lang w:eastAsia="en-AU"/>
              </w:rPr>
            </w:pPr>
            <w:r w:rsidRPr="0077128F">
              <w:rPr>
                <w:sz w:val="22"/>
                <w:szCs w:val="22"/>
                <w:lang w:eastAsia="en-AU"/>
              </w:rPr>
              <w:t xml:space="preserve">Chair </w:t>
            </w:r>
          </w:p>
          <w:p w14:paraId="4571199C" w14:textId="00F5DB9F" w:rsidR="00A90FBE" w:rsidRPr="0077128F" w:rsidRDefault="00A90FBE" w:rsidP="00A90FBE">
            <w:pPr>
              <w:rPr>
                <w:sz w:val="22"/>
                <w:szCs w:val="22"/>
                <w:lang w:eastAsia="en-AU"/>
              </w:rPr>
            </w:pPr>
            <w:r w:rsidRPr="0077128F">
              <w:rPr>
                <w:sz w:val="22"/>
                <w:szCs w:val="22"/>
                <w:lang w:eastAsia="en-AU"/>
              </w:rPr>
              <w:t>Member</w:t>
            </w:r>
          </w:p>
        </w:tc>
        <w:tc>
          <w:tcPr>
            <w:tcW w:w="1687" w:type="dxa"/>
            <w:gridSpan w:val="2"/>
            <w:shd w:val="clear" w:color="auto" w:fill="auto"/>
            <w:noWrap/>
          </w:tcPr>
          <w:p w14:paraId="4F4BD63C" w14:textId="77777777" w:rsidR="00A90FBE" w:rsidRPr="0077128F" w:rsidRDefault="00B353FA" w:rsidP="002C658A">
            <w:pPr>
              <w:jc w:val="center"/>
              <w:rPr>
                <w:bCs/>
                <w:sz w:val="22"/>
                <w:szCs w:val="22"/>
              </w:rPr>
            </w:pPr>
            <w:r w:rsidRPr="0077128F">
              <w:rPr>
                <w:bCs/>
                <w:sz w:val="22"/>
                <w:szCs w:val="22"/>
              </w:rPr>
              <w:t>-</w:t>
            </w:r>
          </w:p>
          <w:p w14:paraId="1EF053C9" w14:textId="2B66A8E5" w:rsidR="00B353FA" w:rsidRPr="0077128F" w:rsidRDefault="00B353FA" w:rsidP="002C658A">
            <w:pPr>
              <w:jc w:val="center"/>
              <w:rPr>
                <w:bCs/>
                <w:sz w:val="22"/>
                <w:szCs w:val="22"/>
              </w:rPr>
            </w:pPr>
            <w:r w:rsidRPr="0077128F">
              <w:rPr>
                <w:bCs/>
                <w:sz w:val="22"/>
                <w:szCs w:val="22"/>
              </w:rPr>
              <w:t>-</w:t>
            </w:r>
          </w:p>
        </w:tc>
        <w:tc>
          <w:tcPr>
            <w:tcW w:w="1688" w:type="dxa"/>
            <w:gridSpan w:val="2"/>
          </w:tcPr>
          <w:p w14:paraId="5B457980" w14:textId="258A230D" w:rsidR="00A90FBE" w:rsidRPr="0077128F" w:rsidRDefault="00A90FBE" w:rsidP="00A90FBE">
            <w:pPr>
              <w:jc w:val="center"/>
              <w:rPr>
                <w:bCs/>
                <w:sz w:val="22"/>
                <w:szCs w:val="22"/>
              </w:rPr>
            </w:pPr>
            <w:r w:rsidRPr="0077128F">
              <w:rPr>
                <w:bCs/>
                <w:sz w:val="22"/>
                <w:szCs w:val="22"/>
              </w:rPr>
              <w:t>$</w:t>
            </w:r>
            <w:r w:rsidR="00997958">
              <w:rPr>
                <w:bCs/>
                <w:sz w:val="22"/>
                <w:szCs w:val="22"/>
              </w:rPr>
              <w:t>8</w:t>
            </w:r>
            <w:r w:rsidR="008707D6">
              <w:rPr>
                <w:bCs/>
                <w:sz w:val="22"/>
                <w:szCs w:val="22"/>
              </w:rPr>
              <w:t>5</w:t>
            </w:r>
            <w:r w:rsidR="00997958">
              <w:rPr>
                <w:bCs/>
                <w:sz w:val="22"/>
                <w:szCs w:val="22"/>
              </w:rPr>
              <w:t>,</w:t>
            </w:r>
            <w:r w:rsidR="008707D6">
              <w:rPr>
                <w:bCs/>
                <w:sz w:val="22"/>
                <w:szCs w:val="22"/>
              </w:rPr>
              <w:t>200</w:t>
            </w:r>
          </w:p>
          <w:p w14:paraId="04CAFEE5" w14:textId="5C65E3BF" w:rsidR="00A90FBE" w:rsidRPr="0077128F" w:rsidRDefault="00A90FBE" w:rsidP="00997958">
            <w:pPr>
              <w:jc w:val="center"/>
              <w:rPr>
                <w:bCs/>
                <w:sz w:val="22"/>
                <w:szCs w:val="22"/>
              </w:rPr>
            </w:pPr>
            <w:r w:rsidRPr="0077128F">
              <w:rPr>
                <w:bCs/>
                <w:sz w:val="22"/>
                <w:szCs w:val="22"/>
              </w:rPr>
              <w:t>$</w:t>
            </w:r>
            <w:r w:rsidR="008707D6">
              <w:rPr>
                <w:bCs/>
                <w:sz w:val="22"/>
                <w:szCs w:val="22"/>
              </w:rPr>
              <w:t>51</w:t>
            </w:r>
            <w:r w:rsidR="00997958">
              <w:rPr>
                <w:bCs/>
                <w:sz w:val="22"/>
                <w:szCs w:val="22"/>
              </w:rPr>
              <w:t>,</w:t>
            </w:r>
            <w:r w:rsidR="008707D6">
              <w:rPr>
                <w:bCs/>
                <w:sz w:val="22"/>
                <w:szCs w:val="22"/>
              </w:rPr>
              <w:t>130</w:t>
            </w:r>
          </w:p>
        </w:tc>
      </w:tr>
      <w:tr w:rsidR="0077128F" w:rsidRPr="0077128F" w14:paraId="504396A1" w14:textId="5F5180BA" w:rsidTr="0003415E">
        <w:trPr>
          <w:trHeight w:val="596"/>
          <w:jc w:val="center"/>
        </w:trPr>
        <w:tc>
          <w:tcPr>
            <w:tcW w:w="2830" w:type="dxa"/>
            <w:shd w:val="clear" w:color="auto" w:fill="auto"/>
          </w:tcPr>
          <w:p w14:paraId="5779B9DC" w14:textId="61A305C8" w:rsidR="009E484F" w:rsidRPr="0077128F" w:rsidRDefault="009E484F" w:rsidP="001F0EA2">
            <w:pPr>
              <w:rPr>
                <w:sz w:val="22"/>
                <w:szCs w:val="22"/>
                <w:lang w:eastAsia="en-AU"/>
              </w:rPr>
            </w:pPr>
            <w:r w:rsidRPr="0077128F">
              <w:rPr>
                <w:sz w:val="22"/>
                <w:szCs w:val="22"/>
                <w:lang w:eastAsia="en-AU"/>
              </w:rPr>
              <w:t>Management Assessment Panel</w:t>
            </w:r>
          </w:p>
        </w:tc>
        <w:tc>
          <w:tcPr>
            <w:tcW w:w="2812" w:type="dxa"/>
            <w:shd w:val="clear" w:color="auto" w:fill="auto"/>
          </w:tcPr>
          <w:p w14:paraId="73DC045C" w14:textId="11054F30"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AA03CA6" w14:textId="44EEB902" w:rsidR="009E484F" w:rsidRPr="0077128F" w:rsidRDefault="00CE14AA" w:rsidP="00997958">
            <w:pPr>
              <w:jc w:val="center"/>
              <w:rPr>
                <w:strike/>
                <w:sz w:val="22"/>
                <w:szCs w:val="22"/>
                <w:lang w:eastAsia="en-AU"/>
              </w:rPr>
            </w:pPr>
            <w:r w:rsidRPr="0077128F">
              <w:rPr>
                <w:bCs/>
                <w:sz w:val="22"/>
                <w:szCs w:val="22"/>
              </w:rPr>
              <w:t>$5</w:t>
            </w:r>
            <w:r w:rsidR="008707D6">
              <w:rPr>
                <w:bCs/>
                <w:sz w:val="22"/>
                <w:szCs w:val="22"/>
              </w:rPr>
              <w:t>9</w:t>
            </w:r>
            <w:r w:rsidR="00997958">
              <w:rPr>
                <w:bCs/>
                <w:sz w:val="22"/>
                <w:szCs w:val="22"/>
              </w:rPr>
              <w:t>0</w:t>
            </w:r>
          </w:p>
        </w:tc>
        <w:tc>
          <w:tcPr>
            <w:tcW w:w="1688" w:type="dxa"/>
            <w:gridSpan w:val="2"/>
          </w:tcPr>
          <w:p w14:paraId="54C45189" w14:textId="2BC7F296"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80041D6" w14:textId="4AF7CB42" w:rsidTr="0003415E">
        <w:trPr>
          <w:trHeight w:val="300"/>
          <w:jc w:val="center"/>
        </w:trPr>
        <w:tc>
          <w:tcPr>
            <w:tcW w:w="2830" w:type="dxa"/>
            <w:shd w:val="clear" w:color="auto" w:fill="auto"/>
            <w:hideMark/>
          </w:tcPr>
          <w:p w14:paraId="5EE45B88" w14:textId="3F6A88C2" w:rsidR="009E484F" w:rsidRPr="0077128F" w:rsidRDefault="009E484F" w:rsidP="001F0EA2">
            <w:pPr>
              <w:rPr>
                <w:sz w:val="22"/>
                <w:szCs w:val="22"/>
                <w:lang w:eastAsia="en-AU"/>
              </w:rPr>
            </w:pPr>
            <w:r w:rsidRPr="0077128F">
              <w:rPr>
                <w:sz w:val="22"/>
                <w:szCs w:val="22"/>
                <w:lang w:eastAsia="en-AU"/>
              </w:rPr>
              <w:t>Medicines Advisory Committee</w:t>
            </w:r>
          </w:p>
        </w:tc>
        <w:tc>
          <w:tcPr>
            <w:tcW w:w="2812" w:type="dxa"/>
            <w:shd w:val="clear" w:color="auto" w:fill="auto"/>
            <w:hideMark/>
          </w:tcPr>
          <w:p w14:paraId="7998545B" w14:textId="179F9504" w:rsidR="009E484F" w:rsidRPr="0077128F" w:rsidRDefault="009E484F" w:rsidP="001F0EA2">
            <w:pPr>
              <w:rPr>
                <w:sz w:val="22"/>
                <w:szCs w:val="22"/>
                <w:lang w:eastAsia="en-AU"/>
              </w:rPr>
            </w:pPr>
            <w:r w:rsidRPr="0077128F">
              <w:rPr>
                <w:sz w:val="22"/>
                <w:szCs w:val="22"/>
                <w:lang w:eastAsia="en-AU"/>
              </w:rPr>
              <w:t xml:space="preserve">Chair </w:t>
            </w:r>
          </w:p>
          <w:p w14:paraId="63E93319" w14:textId="6024833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D640CE0" w14:textId="77777777" w:rsidR="008707D6" w:rsidRPr="0077128F" w:rsidRDefault="008707D6" w:rsidP="008707D6">
            <w:pPr>
              <w:jc w:val="center"/>
              <w:rPr>
                <w:bCs/>
                <w:sz w:val="22"/>
                <w:szCs w:val="22"/>
                <w:lang w:eastAsia="en-AU"/>
              </w:rPr>
            </w:pPr>
            <w:r w:rsidRPr="0077128F">
              <w:rPr>
                <w:bCs/>
                <w:sz w:val="22"/>
                <w:szCs w:val="22"/>
              </w:rPr>
              <w:t>$</w:t>
            </w:r>
            <w:r>
              <w:rPr>
                <w:bCs/>
                <w:sz w:val="22"/>
                <w:szCs w:val="22"/>
              </w:rPr>
              <w:t>590</w:t>
            </w:r>
          </w:p>
          <w:p w14:paraId="13561214" w14:textId="624ED719" w:rsidR="009E484F" w:rsidRPr="0077128F" w:rsidRDefault="008707D6" w:rsidP="008707D6">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1B151CDA" w14:textId="77777777" w:rsidR="009E484F" w:rsidRPr="0077128F" w:rsidRDefault="002C658A" w:rsidP="002C658A">
            <w:pPr>
              <w:jc w:val="center"/>
              <w:rPr>
                <w:sz w:val="22"/>
                <w:szCs w:val="22"/>
                <w:lang w:eastAsia="en-AU"/>
              </w:rPr>
            </w:pPr>
            <w:r w:rsidRPr="0077128F">
              <w:rPr>
                <w:sz w:val="22"/>
                <w:szCs w:val="22"/>
                <w:lang w:eastAsia="en-AU"/>
              </w:rPr>
              <w:t>-</w:t>
            </w:r>
          </w:p>
          <w:p w14:paraId="1F3D825D" w14:textId="746FF32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BCAE156" w14:textId="15BEE608" w:rsidTr="0003415E">
        <w:trPr>
          <w:trHeight w:val="300"/>
          <w:jc w:val="center"/>
        </w:trPr>
        <w:tc>
          <w:tcPr>
            <w:tcW w:w="2830" w:type="dxa"/>
            <w:shd w:val="clear" w:color="auto" w:fill="auto"/>
          </w:tcPr>
          <w:p w14:paraId="7D52A49D" w14:textId="14008EB8" w:rsidR="009E484F" w:rsidRPr="0077128F" w:rsidRDefault="009E484F" w:rsidP="001F0EA2">
            <w:pPr>
              <w:rPr>
                <w:sz w:val="22"/>
                <w:szCs w:val="22"/>
                <w:lang w:eastAsia="en-AU"/>
              </w:rPr>
            </w:pPr>
            <w:r w:rsidRPr="0077128F">
              <w:rPr>
                <w:sz w:val="22"/>
                <w:szCs w:val="22"/>
                <w:lang w:eastAsia="en-AU"/>
              </w:rPr>
              <w:lastRenderedPageBreak/>
              <w:t>Mental Health Advisory Council</w:t>
            </w:r>
          </w:p>
        </w:tc>
        <w:tc>
          <w:tcPr>
            <w:tcW w:w="2812" w:type="dxa"/>
            <w:shd w:val="clear" w:color="auto" w:fill="auto"/>
          </w:tcPr>
          <w:p w14:paraId="6682292C" w14:textId="73CA7067" w:rsidR="009E484F" w:rsidRPr="0077128F" w:rsidRDefault="009E484F" w:rsidP="001F0EA2">
            <w:pPr>
              <w:rPr>
                <w:sz w:val="22"/>
                <w:szCs w:val="22"/>
                <w:lang w:eastAsia="en-AU"/>
              </w:rPr>
            </w:pPr>
            <w:r w:rsidRPr="0077128F">
              <w:rPr>
                <w:sz w:val="22"/>
                <w:szCs w:val="22"/>
                <w:lang w:eastAsia="en-AU"/>
              </w:rPr>
              <w:t xml:space="preserve">Chair </w:t>
            </w:r>
          </w:p>
          <w:p w14:paraId="2A726CDB" w14:textId="38470BB1"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8234D5E" w14:textId="77777777" w:rsidR="00E03C5D" w:rsidRPr="0077128F" w:rsidRDefault="00E03C5D" w:rsidP="00E03C5D">
            <w:pPr>
              <w:jc w:val="center"/>
              <w:rPr>
                <w:bCs/>
                <w:sz w:val="22"/>
                <w:szCs w:val="22"/>
                <w:lang w:eastAsia="en-AU"/>
              </w:rPr>
            </w:pPr>
            <w:r w:rsidRPr="0077128F">
              <w:rPr>
                <w:bCs/>
                <w:sz w:val="22"/>
                <w:szCs w:val="22"/>
              </w:rPr>
              <w:t>$</w:t>
            </w:r>
            <w:r>
              <w:rPr>
                <w:bCs/>
                <w:sz w:val="22"/>
                <w:szCs w:val="22"/>
              </w:rPr>
              <w:t>590</w:t>
            </w:r>
          </w:p>
          <w:p w14:paraId="1EFF1B66" w14:textId="4D5BB19D" w:rsidR="009E484F" w:rsidRPr="0077128F" w:rsidRDefault="00E03C5D" w:rsidP="00E03C5D">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05D0C005" w14:textId="77777777" w:rsidR="009E484F" w:rsidRPr="0077128F" w:rsidRDefault="002C658A" w:rsidP="002C658A">
            <w:pPr>
              <w:jc w:val="center"/>
              <w:rPr>
                <w:sz w:val="22"/>
                <w:szCs w:val="22"/>
                <w:lang w:eastAsia="en-AU"/>
              </w:rPr>
            </w:pPr>
            <w:r w:rsidRPr="0077128F">
              <w:rPr>
                <w:sz w:val="22"/>
                <w:szCs w:val="22"/>
                <w:lang w:eastAsia="en-AU"/>
              </w:rPr>
              <w:t>-</w:t>
            </w:r>
          </w:p>
          <w:p w14:paraId="578B75E1" w14:textId="5E0106EA" w:rsidR="002C658A" w:rsidRPr="0077128F" w:rsidRDefault="002C658A" w:rsidP="002C658A">
            <w:pPr>
              <w:jc w:val="center"/>
              <w:rPr>
                <w:sz w:val="22"/>
                <w:szCs w:val="22"/>
                <w:lang w:eastAsia="en-AU"/>
              </w:rPr>
            </w:pPr>
            <w:r w:rsidRPr="0077128F">
              <w:rPr>
                <w:sz w:val="22"/>
                <w:szCs w:val="22"/>
                <w:lang w:eastAsia="en-AU"/>
              </w:rPr>
              <w:t>-</w:t>
            </w:r>
          </w:p>
        </w:tc>
      </w:tr>
      <w:tr w:rsidR="008707D6" w:rsidRPr="0077128F" w14:paraId="3115E838" w14:textId="77777777" w:rsidTr="0003415E">
        <w:trPr>
          <w:trHeight w:val="300"/>
          <w:jc w:val="center"/>
        </w:trPr>
        <w:tc>
          <w:tcPr>
            <w:tcW w:w="2830" w:type="dxa"/>
            <w:shd w:val="clear" w:color="auto" w:fill="auto"/>
          </w:tcPr>
          <w:p w14:paraId="6B0AFCB8" w14:textId="03499FD9" w:rsidR="008707D6" w:rsidRPr="0077128F" w:rsidRDefault="008707D6" w:rsidP="001F0EA2">
            <w:pPr>
              <w:rPr>
                <w:sz w:val="22"/>
                <w:szCs w:val="22"/>
                <w:lang w:eastAsia="en-AU"/>
              </w:rPr>
            </w:pPr>
            <w:r w:rsidRPr="0077128F">
              <w:rPr>
                <w:sz w:val="22"/>
                <w:szCs w:val="22"/>
                <w:lang w:eastAsia="en-AU"/>
              </w:rPr>
              <w:t>Ministerial Advisory Council on Ageing</w:t>
            </w:r>
          </w:p>
        </w:tc>
        <w:tc>
          <w:tcPr>
            <w:tcW w:w="2812" w:type="dxa"/>
            <w:shd w:val="clear" w:color="auto" w:fill="auto"/>
          </w:tcPr>
          <w:p w14:paraId="1F8E13BC" w14:textId="697F3468" w:rsidR="008707D6" w:rsidRPr="0077128F" w:rsidRDefault="008707D6"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500A6DEB" w14:textId="77777777" w:rsidR="008707D6" w:rsidRPr="0077128F" w:rsidRDefault="008707D6" w:rsidP="008707D6">
            <w:pPr>
              <w:jc w:val="center"/>
              <w:rPr>
                <w:bCs/>
                <w:sz w:val="22"/>
                <w:szCs w:val="22"/>
                <w:lang w:eastAsia="en-AU"/>
              </w:rPr>
            </w:pPr>
            <w:r w:rsidRPr="0077128F">
              <w:rPr>
                <w:bCs/>
                <w:sz w:val="22"/>
                <w:szCs w:val="22"/>
              </w:rPr>
              <w:t>$</w:t>
            </w:r>
            <w:r>
              <w:rPr>
                <w:bCs/>
                <w:sz w:val="22"/>
                <w:szCs w:val="22"/>
              </w:rPr>
              <w:t>590</w:t>
            </w:r>
          </w:p>
          <w:p w14:paraId="2897D490" w14:textId="3B27BF0A" w:rsidR="008707D6" w:rsidRPr="0077128F" w:rsidRDefault="008707D6" w:rsidP="008707D6">
            <w:pPr>
              <w:jc w:val="center"/>
              <w:rPr>
                <w:bCs/>
                <w:sz w:val="22"/>
                <w:szCs w:val="22"/>
              </w:rPr>
            </w:pPr>
            <w:r w:rsidRPr="0077128F">
              <w:rPr>
                <w:bCs/>
                <w:sz w:val="22"/>
                <w:szCs w:val="22"/>
              </w:rPr>
              <w:t>$</w:t>
            </w:r>
            <w:r>
              <w:rPr>
                <w:bCs/>
                <w:sz w:val="22"/>
                <w:szCs w:val="22"/>
              </w:rPr>
              <w:t>505</w:t>
            </w:r>
          </w:p>
        </w:tc>
        <w:tc>
          <w:tcPr>
            <w:tcW w:w="1688" w:type="dxa"/>
            <w:gridSpan w:val="2"/>
          </w:tcPr>
          <w:p w14:paraId="687A8958" w14:textId="77777777" w:rsidR="00FA6F0B" w:rsidRPr="0077128F" w:rsidRDefault="00FA6F0B" w:rsidP="00FA6F0B">
            <w:pPr>
              <w:jc w:val="center"/>
              <w:rPr>
                <w:sz w:val="22"/>
                <w:szCs w:val="22"/>
                <w:lang w:eastAsia="en-AU"/>
              </w:rPr>
            </w:pPr>
            <w:r w:rsidRPr="0077128F">
              <w:rPr>
                <w:sz w:val="22"/>
                <w:szCs w:val="22"/>
                <w:lang w:eastAsia="en-AU"/>
              </w:rPr>
              <w:t>-</w:t>
            </w:r>
          </w:p>
          <w:p w14:paraId="63C253CE" w14:textId="3FF3E73C" w:rsidR="008707D6" w:rsidRPr="0077128F" w:rsidRDefault="00FA6F0B" w:rsidP="00FA6F0B">
            <w:pPr>
              <w:jc w:val="center"/>
              <w:rPr>
                <w:sz w:val="22"/>
                <w:szCs w:val="22"/>
                <w:lang w:eastAsia="en-AU"/>
              </w:rPr>
            </w:pPr>
            <w:r w:rsidRPr="0077128F">
              <w:rPr>
                <w:sz w:val="22"/>
                <w:szCs w:val="22"/>
                <w:lang w:eastAsia="en-AU"/>
              </w:rPr>
              <w:t>-</w:t>
            </w:r>
          </w:p>
        </w:tc>
      </w:tr>
      <w:tr w:rsidR="0077128F" w:rsidRPr="0077128F" w14:paraId="3168FFDC" w14:textId="1C3622B0" w:rsidTr="0003415E">
        <w:trPr>
          <w:trHeight w:val="300"/>
          <w:jc w:val="center"/>
        </w:trPr>
        <w:tc>
          <w:tcPr>
            <w:tcW w:w="2830" w:type="dxa"/>
            <w:shd w:val="clear" w:color="auto" w:fill="auto"/>
            <w:hideMark/>
          </w:tcPr>
          <w:p w14:paraId="60469922" w14:textId="34633BFC" w:rsidR="009E484F" w:rsidRPr="0077128F" w:rsidRDefault="009E484F" w:rsidP="001F0EA2">
            <w:pPr>
              <w:rPr>
                <w:sz w:val="22"/>
                <w:szCs w:val="22"/>
                <w:lang w:eastAsia="en-AU"/>
              </w:rPr>
            </w:pPr>
            <w:r w:rsidRPr="0077128F">
              <w:rPr>
                <w:sz w:val="22"/>
                <w:szCs w:val="22"/>
                <w:lang w:eastAsia="en-AU"/>
              </w:rPr>
              <w:t>Ministerial Advisory Council on Women</w:t>
            </w:r>
          </w:p>
        </w:tc>
        <w:tc>
          <w:tcPr>
            <w:tcW w:w="2812" w:type="dxa"/>
            <w:shd w:val="clear" w:color="auto" w:fill="auto"/>
            <w:hideMark/>
          </w:tcPr>
          <w:p w14:paraId="0F6D9CC6" w14:textId="18984AE9"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7B240F39" w14:textId="5E809751" w:rsidR="009E484F" w:rsidRPr="0077128F" w:rsidRDefault="00CE14AA" w:rsidP="009A2312">
            <w:pPr>
              <w:jc w:val="center"/>
              <w:rPr>
                <w:strike/>
                <w:sz w:val="22"/>
                <w:szCs w:val="22"/>
                <w:lang w:eastAsia="en-AU"/>
              </w:rPr>
            </w:pPr>
            <w:r w:rsidRPr="0077128F">
              <w:rPr>
                <w:bCs/>
                <w:sz w:val="22"/>
                <w:szCs w:val="22"/>
              </w:rPr>
              <w:t>$5</w:t>
            </w:r>
            <w:r w:rsidR="00E03C5D">
              <w:rPr>
                <w:bCs/>
                <w:sz w:val="22"/>
                <w:szCs w:val="22"/>
              </w:rPr>
              <w:t>7</w:t>
            </w:r>
            <w:r w:rsidR="009A2312">
              <w:rPr>
                <w:bCs/>
                <w:sz w:val="22"/>
                <w:szCs w:val="22"/>
              </w:rPr>
              <w:t>0</w:t>
            </w:r>
          </w:p>
        </w:tc>
        <w:tc>
          <w:tcPr>
            <w:tcW w:w="1688" w:type="dxa"/>
            <w:gridSpan w:val="2"/>
          </w:tcPr>
          <w:p w14:paraId="63DD8DA1" w14:textId="66B5F2B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E17188C" w14:textId="458F5592" w:rsidTr="0003415E">
        <w:trPr>
          <w:trHeight w:val="610"/>
          <w:jc w:val="center"/>
        </w:trPr>
        <w:tc>
          <w:tcPr>
            <w:tcW w:w="2830" w:type="dxa"/>
            <w:shd w:val="clear" w:color="auto" w:fill="auto"/>
            <w:hideMark/>
          </w:tcPr>
          <w:p w14:paraId="55B98ED8" w14:textId="25952B96" w:rsidR="009E484F" w:rsidRPr="0077128F" w:rsidRDefault="009E484F" w:rsidP="001F0EA2">
            <w:pPr>
              <w:rPr>
                <w:sz w:val="22"/>
                <w:szCs w:val="22"/>
                <w:lang w:eastAsia="en-AU"/>
              </w:rPr>
            </w:pPr>
            <w:r w:rsidRPr="0077128F">
              <w:rPr>
                <w:sz w:val="22"/>
                <w:szCs w:val="22"/>
                <w:lang w:eastAsia="en-AU"/>
              </w:rPr>
              <w:t>Multicultural Advisory Council</w:t>
            </w:r>
          </w:p>
        </w:tc>
        <w:tc>
          <w:tcPr>
            <w:tcW w:w="2812" w:type="dxa"/>
            <w:shd w:val="clear" w:color="auto" w:fill="auto"/>
            <w:hideMark/>
          </w:tcPr>
          <w:p w14:paraId="4AA9C850" w14:textId="257E9CAB" w:rsidR="009E484F" w:rsidRPr="0077128F" w:rsidRDefault="009E484F" w:rsidP="001F0EA2">
            <w:pPr>
              <w:rPr>
                <w:sz w:val="22"/>
                <w:szCs w:val="22"/>
                <w:lang w:eastAsia="en-AU"/>
              </w:rPr>
            </w:pPr>
            <w:r w:rsidRPr="0077128F">
              <w:rPr>
                <w:sz w:val="22"/>
                <w:szCs w:val="22"/>
                <w:lang w:eastAsia="en-AU"/>
              </w:rPr>
              <w:t xml:space="preserve">Chair </w:t>
            </w:r>
          </w:p>
          <w:p w14:paraId="6E7688B7" w14:textId="054D25AA" w:rsidR="009E484F" w:rsidRPr="0077128F" w:rsidRDefault="009E484F" w:rsidP="001F0EA2">
            <w:pPr>
              <w:rPr>
                <w:sz w:val="22"/>
                <w:szCs w:val="22"/>
                <w:lang w:eastAsia="en-AU"/>
              </w:rPr>
            </w:pPr>
            <w:r w:rsidRPr="0077128F">
              <w:rPr>
                <w:sz w:val="22"/>
                <w:szCs w:val="22"/>
                <w:lang w:eastAsia="en-AU"/>
              </w:rPr>
              <w:t xml:space="preserve">Deputy Chair </w:t>
            </w:r>
          </w:p>
        </w:tc>
        <w:tc>
          <w:tcPr>
            <w:tcW w:w="1687" w:type="dxa"/>
            <w:gridSpan w:val="2"/>
            <w:shd w:val="clear" w:color="auto" w:fill="auto"/>
            <w:noWrap/>
          </w:tcPr>
          <w:p w14:paraId="347040B1" w14:textId="76ED9A8F" w:rsidR="00CE14AA" w:rsidRPr="0077128F" w:rsidRDefault="00CE14AA" w:rsidP="002C658A">
            <w:pPr>
              <w:jc w:val="center"/>
              <w:rPr>
                <w:bCs/>
                <w:sz w:val="22"/>
                <w:szCs w:val="22"/>
              </w:rPr>
            </w:pPr>
            <w:r w:rsidRPr="0077128F">
              <w:rPr>
                <w:bCs/>
                <w:sz w:val="22"/>
                <w:szCs w:val="22"/>
              </w:rPr>
              <w:t>$5</w:t>
            </w:r>
            <w:r w:rsidR="00E03C5D">
              <w:rPr>
                <w:bCs/>
                <w:sz w:val="22"/>
                <w:szCs w:val="22"/>
              </w:rPr>
              <w:t>7</w:t>
            </w:r>
            <w:r w:rsidR="009A2312">
              <w:rPr>
                <w:bCs/>
                <w:sz w:val="22"/>
                <w:szCs w:val="22"/>
              </w:rPr>
              <w:t>0</w:t>
            </w:r>
          </w:p>
          <w:p w14:paraId="2BEFEB00" w14:textId="641CE96F" w:rsidR="009E484F" w:rsidRPr="0077128F" w:rsidRDefault="00CE14AA" w:rsidP="009A2312">
            <w:pPr>
              <w:jc w:val="center"/>
              <w:rPr>
                <w:strike/>
                <w:sz w:val="22"/>
                <w:szCs w:val="22"/>
                <w:lang w:eastAsia="en-AU"/>
              </w:rPr>
            </w:pPr>
            <w:r w:rsidRPr="0077128F">
              <w:rPr>
                <w:bCs/>
                <w:sz w:val="22"/>
                <w:szCs w:val="22"/>
              </w:rPr>
              <w:t>$</w:t>
            </w:r>
            <w:r w:rsidR="00E03C5D">
              <w:rPr>
                <w:bCs/>
                <w:sz w:val="22"/>
                <w:szCs w:val="22"/>
              </w:rPr>
              <w:t>505</w:t>
            </w:r>
          </w:p>
        </w:tc>
        <w:tc>
          <w:tcPr>
            <w:tcW w:w="1688" w:type="dxa"/>
            <w:gridSpan w:val="2"/>
          </w:tcPr>
          <w:p w14:paraId="6D2DD695" w14:textId="77777777" w:rsidR="009E484F" w:rsidRPr="0077128F" w:rsidRDefault="002C658A" w:rsidP="002C658A">
            <w:pPr>
              <w:jc w:val="center"/>
              <w:rPr>
                <w:sz w:val="22"/>
                <w:szCs w:val="22"/>
                <w:lang w:eastAsia="en-AU"/>
              </w:rPr>
            </w:pPr>
            <w:r w:rsidRPr="0077128F">
              <w:rPr>
                <w:sz w:val="22"/>
                <w:szCs w:val="22"/>
                <w:lang w:eastAsia="en-AU"/>
              </w:rPr>
              <w:t>-</w:t>
            </w:r>
          </w:p>
          <w:p w14:paraId="26D29416" w14:textId="6E81E2B6" w:rsidR="002C658A" w:rsidRPr="0077128F" w:rsidRDefault="002C658A" w:rsidP="002C658A">
            <w:pPr>
              <w:jc w:val="center"/>
              <w:rPr>
                <w:sz w:val="22"/>
                <w:szCs w:val="22"/>
                <w:lang w:eastAsia="en-AU"/>
              </w:rPr>
            </w:pPr>
            <w:r w:rsidRPr="0077128F">
              <w:rPr>
                <w:sz w:val="22"/>
                <w:szCs w:val="22"/>
                <w:lang w:eastAsia="en-AU"/>
              </w:rPr>
              <w:t>-</w:t>
            </w:r>
          </w:p>
        </w:tc>
      </w:tr>
      <w:tr w:rsidR="00FA6F0B" w:rsidRPr="0077128F" w14:paraId="266EB22B" w14:textId="77777777" w:rsidTr="0003415E">
        <w:trPr>
          <w:trHeight w:val="610"/>
          <w:jc w:val="center"/>
        </w:trPr>
        <w:tc>
          <w:tcPr>
            <w:tcW w:w="2830" w:type="dxa"/>
            <w:shd w:val="clear" w:color="auto" w:fill="auto"/>
          </w:tcPr>
          <w:p w14:paraId="5E30B947" w14:textId="0DBE9097" w:rsidR="00FA6F0B" w:rsidRPr="0077128F" w:rsidRDefault="00FA6F0B" w:rsidP="001F0EA2">
            <w:pPr>
              <w:rPr>
                <w:sz w:val="22"/>
                <w:szCs w:val="22"/>
                <w:lang w:eastAsia="en-AU"/>
              </w:rPr>
            </w:pPr>
            <w:r>
              <w:rPr>
                <w:sz w:val="22"/>
                <w:szCs w:val="22"/>
                <w:lang w:eastAsia="en-AU"/>
              </w:rPr>
              <w:t>Multi-Hazard Advisory Council</w:t>
            </w:r>
          </w:p>
        </w:tc>
        <w:tc>
          <w:tcPr>
            <w:tcW w:w="2812" w:type="dxa"/>
            <w:shd w:val="clear" w:color="auto" w:fill="auto"/>
          </w:tcPr>
          <w:p w14:paraId="4AA0B8D1" w14:textId="77777777" w:rsidR="00FA6F0B" w:rsidRPr="0077128F" w:rsidRDefault="00FA6F0B" w:rsidP="00FA6F0B">
            <w:pPr>
              <w:rPr>
                <w:sz w:val="22"/>
                <w:szCs w:val="22"/>
                <w:lang w:eastAsia="en-AU"/>
              </w:rPr>
            </w:pPr>
            <w:r w:rsidRPr="0077128F">
              <w:rPr>
                <w:sz w:val="22"/>
                <w:szCs w:val="22"/>
                <w:lang w:eastAsia="en-AU"/>
              </w:rPr>
              <w:t xml:space="preserve">Chair </w:t>
            </w:r>
          </w:p>
          <w:p w14:paraId="0E40CDC2" w14:textId="12DF100E" w:rsidR="00FA6F0B" w:rsidRPr="0077128F" w:rsidRDefault="00FA6F0B" w:rsidP="00FA6F0B">
            <w:pPr>
              <w:rPr>
                <w:sz w:val="22"/>
                <w:szCs w:val="22"/>
                <w:lang w:eastAsia="en-AU"/>
              </w:rPr>
            </w:pPr>
            <w:r w:rsidRPr="0077128F">
              <w:rPr>
                <w:sz w:val="22"/>
                <w:szCs w:val="22"/>
                <w:lang w:eastAsia="en-AU"/>
              </w:rPr>
              <w:t>Member</w:t>
            </w:r>
          </w:p>
        </w:tc>
        <w:tc>
          <w:tcPr>
            <w:tcW w:w="1687" w:type="dxa"/>
            <w:gridSpan w:val="2"/>
            <w:shd w:val="clear" w:color="auto" w:fill="auto"/>
            <w:noWrap/>
          </w:tcPr>
          <w:p w14:paraId="3C74363B" w14:textId="77777777" w:rsidR="00FA6F0B" w:rsidRPr="0077128F" w:rsidRDefault="00FA6F0B" w:rsidP="00FA6F0B">
            <w:pPr>
              <w:jc w:val="center"/>
              <w:rPr>
                <w:bCs/>
                <w:sz w:val="22"/>
                <w:szCs w:val="22"/>
                <w:lang w:eastAsia="en-AU"/>
              </w:rPr>
            </w:pPr>
            <w:r w:rsidRPr="0077128F">
              <w:rPr>
                <w:bCs/>
                <w:sz w:val="22"/>
                <w:szCs w:val="22"/>
              </w:rPr>
              <w:t>$</w:t>
            </w:r>
            <w:r>
              <w:rPr>
                <w:bCs/>
                <w:sz w:val="22"/>
                <w:szCs w:val="22"/>
              </w:rPr>
              <w:t>590</w:t>
            </w:r>
          </w:p>
          <w:p w14:paraId="672253B5" w14:textId="51513E1D" w:rsidR="00FA6F0B" w:rsidRPr="0077128F" w:rsidRDefault="00FA6F0B" w:rsidP="00FA6F0B">
            <w:pPr>
              <w:jc w:val="center"/>
              <w:rPr>
                <w:bCs/>
                <w:sz w:val="22"/>
                <w:szCs w:val="22"/>
              </w:rPr>
            </w:pPr>
            <w:r w:rsidRPr="0077128F">
              <w:rPr>
                <w:bCs/>
                <w:sz w:val="22"/>
                <w:szCs w:val="22"/>
              </w:rPr>
              <w:t>$</w:t>
            </w:r>
            <w:r>
              <w:rPr>
                <w:bCs/>
                <w:sz w:val="22"/>
                <w:szCs w:val="22"/>
              </w:rPr>
              <w:t>505</w:t>
            </w:r>
          </w:p>
        </w:tc>
        <w:tc>
          <w:tcPr>
            <w:tcW w:w="1688" w:type="dxa"/>
            <w:gridSpan w:val="2"/>
          </w:tcPr>
          <w:p w14:paraId="0AFAC2B7" w14:textId="77777777" w:rsidR="00FA6F0B" w:rsidRPr="0077128F" w:rsidRDefault="00FA6F0B" w:rsidP="00FA6F0B">
            <w:pPr>
              <w:jc w:val="center"/>
              <w:rPr>
                <w:sz w:val="22"/>
                <w:szCs w:val="22"/>
                <w:lang w:eastAsia="en-AU"/>
              </w:rPr>
            </w:pPr>
            <w:r w:rsidRPr="0077128F">
              <w:rPr>
                <w:sz w:val="22"/>
                <w:szCs w:val="22"/>
                <w:lang w:eastAsia="en-AU"/>
              </w:rPr>
              <w:t>-</w:t>
            </w:r>
          </w:p>
          <w:p w14:paraId="2AF2247E" w14:textId="510C98C2" w:rsidR="00FA6F0B" w:rsidRPr="0077128F" w:rsidRDefault="00FA6F0B" w:rsidP="00FA6F0B">
            <w:pPr>
              <w:jc w:val="center"/>
              <w:rPr>
                <w:sz w:val="22"/>
                <w:szCs w:val="22"/>
                <w:lang w:eastAsia="en-AU"/>
              </w:rPr>
            </w:pPr>
            <w:r w:rsidRPr="0077128F">
              <w:rPr>
                <w:sz w:val="22"/>
                <w:szCs w:val="22"/>
                <w:lang w:eastAsia="en-AU"/>
              </w:rPr>
              <w:t>-</w:t>
            </w:r>
          </w:p>
        </w:tc>
      </w:tr>
      <w:tr w:rsidR="0077128F" w:rsidRPr="0077128F" w14:paraId="477E0E56" w14:textId="7787E5DB" w:rsidTr="0003415E">
        <w:trPr>
          <w:trHeight w:val="610"/>
          <w:jc w:val="center"/>
        </w:trPr>
        <w:tc>
          <w:tcPr>
            <w:tcW w:w="2830" w:type="dxa"/>
            <w:shd w:val="clear" w:color="auto" w:fill="auto"/>
          </w:tcPr>
          <w:p w14:paraId="1DE3A1CF" w14:textId="128E0C7D" w:rsidR="009E484F" w:rsidRPr="0077128F" w:rsidRDefault="009E484F" w:rsidP="001F0EA2">
            <w:pPr>
              <w:rPr>
                <w:sz w:val="22"/>
                <w:szCs w:val="22"/>
                <w:lang w:eastAsia="en-AU"/>
              </w:rPr>
            </w:pPr>
            <w:r w:rsidRPr="0077128F">
              <w:rPr>
                <w:sz w:val="22"/>
                <w:szCs w:val="22"/>
                <w:lang w:eastAsia="en-AU"/>
              </w:rPr>
              <w:t>Natural Resource Management Advisory Committee</w:t>
            </w:r>
          </w:p>
        </w:tc>
        <w:tc>
          <w:tcPr>
            <w:tcW w:w="2812" w:type="dxa"/>
            <w:shd w:val="clear" w:color="auto" w:fill="auto"/>
          </w:tcPr>
          <w:p w14:paraId="40C34868" w14:textId="7BAAA08E" w:rsidR="009E484F" w:rsidRPr="0077128F" w:rsidRDefault="009E484F" w:rsidP="001F0EA2">
            <w:pPr>
              <w:rPr>
                <w:sz w:val="22"/>
                <w:szCs w:val="22"/>
                <w:lang w:eastAsia="en-AU"/>
              </w:rPr>
            </w:pPr>
            <w:r w:rsidRPr="0077128F">
              <w:rPr>
                <w:sz w:val="22"/>
                <w:szCs w:val="22"/>
                <w:lang w:eastAsia="en-AU"/>
              </w:rPr>
              <w:t xml:space="preserve">Chair </w:t>
            </w:r>
          </w:p>
          <w:p w14:paraId="1EBD9F31" w14:textId="5BDE517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2FC8AFD" w14:textId="77777777" w:rsidR="00E03C5D" w:rsidRPr="0077128F" w:rsidRDefault="00E03C5D" w:rsidP="00E03C5D">
            <w:pPr>
              <w:jc w:val="center"/>
              <w:rPr>
                <w:bCs/>
                <w:sz w:val="22"/>
                <w:szCs w:val="22"/>
                <w:lang w:eastAsia="en-AU"/>
              </w:rPr>
            </w:pPr>
            <w:r w:rsidRPr="0077128F">
              <w:rPr>
                <w:bCs/>
                <w:sz w:val="22"/>
                <w:szCs w:val="22"/>
              </w:rPr>
              <w:t>$</w:t>
            </w:r>
            <w:r>
              <w:rPr>
                <w:bCs/>
                <w:sz w:val="22"/>
                <w:szCs w:val="22"/>
              </w:rPr>
              <w:t>590</w:t>
            </w:r>
          </w:p>
          <w:p w14:paraId="2E09C2AC" w14:textId="4D6CBF29" w:rsidR="009E484F" w:rsidRPr="0077128F" w:rsidRDefault="00E03C5D" w:rsidP="00E03C5D">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07E34F04" w14:textId="77777777" w:rsidR="009E484F" w:rsidRPr="0077128F" w:rsidRDefault="002C658A" w:rsidP="002C658A">
            <w:pPr>
              <w:jc w:val="center"/>
              <w:rPr>
                <w:sz w:val="22"/>
                <w:szCs w:val="22"/>
                <w:lang w:eastAsia="en-AU"/>
              </w:rPr>
            </w:pPr>
            <w:r w:rsidRPr="0077128F">
              <w:rPr>
                <w:sz w:val="22"/>
                <w:szCs w:val="22"/>
                <w:lang w:eastAsia="en-AU"/>
              </w:rPr>
              <w:t>-</w:t>
            </w:r>
          </w:p>
          <w:p w14:paraId="338A08E8" w14:textId="5B1C2A83"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EF76D0" w14:textId="518479FB" w:rsidTr="0003415E">
        <w:trPr>
          <w:trHeight w:val="300"/>
          <w:jc w:val="center"/>
        </w:trPr>
        <w:tc>
          <w:tcPr>
            <w:tcW w:w="2830" w:type="dxa"/>
            <w:shd w:val="clear" w:color="auto" w:fill="auto"/>
            <w:hideMark/>
          </w:tcPr>
          <w:p w14:paraId="68315089" w14:textId="365AF956" w:rsidR="009E484F" w:rsidRPr="0077128F" w:rsidRDefault="009E484F" w:rsidP="001F0EA2">
            <w:pPr>
              <w:rPr>
                <w:sz w:val="22"/>
                <w:szCs w:val="22"/>
                <w:lang w:eastAsia="en-AU"/>
              </w:rPr>
            </w:pPr>
            <w:r w:rsidRPr="0077128F">
              <w:rPr>
                <w:sz w:val="22"/>
                <w:szCs w:val="22"/>
                <w:lang w:eastAsia="en-AU"/>
              </w:rPr>
              <w:t xml:space="preserve">Official Visitor </w:t>
            </w:r>
          </w:p>
        </w:tc>
        <w:tc>
          <w:tcPr>
            <w:tcW w:w="2812" w:type="dxa"/>
            <w:shd w:val="clear" w:color="auto" w:fill="auto"/>
            <w:hideMark/>
          </w:tcPr>
          <w:p w14:paraId="46EB76C7" w14:textId="7AE7E8AA" w:rsidR="009E484F" w:rsidRPr="0077128F" w:rsidRDefault="009E484F" w:rsidP="001F0EA2">
            <w:pPr>
              <w:rPr>
                <w:sz w:val="22"/>
                <w:szCs w:val="22"/>
                <w:lang w:eastAsia="en-AU"/>
              </w:rPr>
            </w:pPr>
            <w:r w:rsidRPr="0077128F">
              <w:rPr>
                <w:sz w:val="22"/>
                <w:szCs w:val="22"/>
                <w:lang w:eastAsia="en-AU"/>
              </w:rPr>
              <w:t xml:space="preserve">Visitor </w:t>
            </w:r>
          </w:p>
        </w:tc>
        <w:tc>
          <w:tcPr>
            <w:tcW w:w="1687" w:type="dxa"/>
            <w:gridSpan w:val="2"/>
            <w:shd w:val="clear" w:color="auto" w:fill="auto"/>
            <w:noWrap/>
          </w:tcPr>
          <w:p w14:paraId="5238966B" w14:textId="588CAAEE" w:rsidR="009E484F" w:rsidRPr="0077128F" w:rsidRDefault="00CE14AA" w:rsidP="009A2312">
            <w:pPr>
              <w:jc w:val="center"/>
              <w:rPr>
                <w:bCs/>
                <w:sz w:val="22"/>
                <w:szCs w:val="22"/>
                <w:lang w:eastAsia="en-AU"/>
              </w:rPr>
            </w:pPr>
            <w:r w:rsidRPr="0077128F">
              <w:rPr>
                <w:bCs/>
                <w:sz w:val="22"/>
                <w:szCs w:val="22"/>
              </w:rPr>
              <w:t>$5</w:t>
            </w:r>
            <w:r w:rsidR="00E03C5D">
              <w:rPr>
                <w:bCs/>
                <w:sz w:val="22"/>
                <w:szCs w:val="22"/>
              </w:rPr>
              <w:t>9</w:t>
            </w:r>
            <w:r w:rsidR="009A2312">
              <w:rPr>
                <w:bCs/>
                <w:sz w:val="22"/>
                <w:szCs w:val="22"/>
              </w:rPr>
              <w:t>0</w:t>
            </w:r>
          </w:p>
        </w:tc>
        <w:tc>
          <w:tcPr>
            <w:tcW w:w="1688" w:type="dxa"/>
            <w:gridSpan w:val="2"/>
          </w:tcPr>
          <w:p w14:paraId="624879E2" w14:textId="6297CE5C" w:rsidR="009E484F" w:rsidRPr="0077128F" w:rsidRDefault="002C658A" w:rsidP="002C658A">
            <w:pPr>
              <w:jc w:val="center"/>
              <w:rPr>
                <w:sz w:val="22"/>
                <w:szCs w:val="22"/>
                <w:lang w:eastAsia="en-AU"/>
              </w:rPr>
            </w:pPr>
            <w:r w:rsidRPr="0077128F">
              <w:rPr>
                <w:sz w:val="22"/>
                <w:szCs w:val="22"/>
                <w:lang w:eastAsia="en-AU"/>
              </w:rPr>
              <w:t>-</w:t>
            </w:r>
          </w:p>
        </w:tc>
      </w:tr>
      <w:tr w:rsidR="00054C69" w:rsidRPr="0077128F" w14:paraId="22B7FBC2" w14:textId="77777777" w:rsidTr="0003415E">
        <w:trPr>
          <w:trHeight w:val="300"/>
          <w:jc w:val="center"/>
        </w:trPr>
        <w:tc>
          <w:tcPr>
            <w:tcW w:w="2830" w:type="dxa"/>
            <w:shd w:val="clear" w:color="auto" w:fill="auto"/>
          </w:tcPr>
          <w:p w14:paraId="67254FA7" w14:textId="4180F0A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Our </w:t>
            </w:r>
            <w:proofErr w:type="spellStart"/>
            <w:r w:rsidRPr="00CA7C51">
              <w:rPr>
                <w:color w:val="000000" w:themeColor="text1"/>
                <w:sz w:val="22"/>
                <w:szCs w:val="22"/>
                <w:lang w:eastAsia="en-AU"/>
              </w:rPr>
              <w:t>Booris</w:t>
            </w:r>
            <w:proofErr w:type="spellEnd"/>
            <w:r w:rsidRPr="00CA7C51">
              <w:rPr>
                <w:color w:val="000000" w:themeColor="text1"/>
                <w:sz w:val="22"/>
                <w:szCs w:val="22"/>
                <w:lang w:eastAsia="en-AU"/>
              </w:rPr>
              <w:t xml:space="preserve"> Our Way Implementation Oversight Committee</w:t>
            </w:r>
          </w:p>
        </w:tc>
        <w:tc>
          <w:tcPr>
            <w:tcW w:w="2812" w:type="dxa"/>
            <w:shd w:val="clear" w:color="auto" w:fill="auto"/>
          </w:tcPr>
          <w:p w14:paraId="2B50452B"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1D6D9ED3" w14:textId="417A519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A890162" w14:textId="7822E872" w:rsidR="00054C69" w:rsidRPr="00CA7C51" w:rsidRDefault="00054C69" w:rsidP="00054C69">
            <w:pPr>
              <w:jc w:val="center"/>
              <w:rPr>
                <w:bCs/>
                <w:color w:val="000000" w:themeColor="text1"/>
                <w:sz w:val="22"/>
                <w:szCs w:val="22"/>
                <w:lang w:eastAsia="en-AU"/>
              </w:rPr>
            </w:pPr>
            <w:bookmarkStart w:id="8" w:name="OLE_LINK1"/>
            <w:r w:rsidRPr="00CA7C51">
              <w:rPr>
                <w:bCs/>
                <w:color w:val="000000" w:themeColor="text1"/>
                <w:sz w:val="22"/>
                <w:szCs w:val="22"/>
              </w:rPr>
              <w:t>$</w:t>
            </w:r>
            <w:r w:rsidR="00D179B3" w:rsidRPr="00CA7C51">
              <w:rPr>
                <w:bCs/>
                <w:color w:val="000000" w:themeColor="text1"/>
                <w:sz w:val="22"/>
                <w:szCs w:val="22"/>
              </w:rPr>
              <w:t>8</w:t>
            </w:r>
            <w:r w:rsidR="00E03C5D">
              <w:rPr>
                <w:bCs/>
                <w:color w:val="000000" w:themeColor="text1"/>
                <w:sz w:val="22"/>
                <w:szCs w:val="22"/>
              </w:rPr>
              <w:t>65</w:t>
            </w:r>
          </w:p>
          <w:p w14:paraId="1172C060" w14:textId="38600230" w:rsidR="00054C69" w:rsidRPr="00CA7C51" w:rsidRDefault="00054C69" w:rsidP="00D179B3">
            <w:pPr>
              <w:jc w:val="center"/>
              <w:rPr>
                <w:bCs/>
                <w:color w:val="000000" w:themeColor="text1"/>
                <w:sz w:val="22"/>
                <w:szCs w:val="22"/>
              </w:rPr>
            </w:pPr>
            <w:r w:rsidRPr="00CA7C51">
              <w:rPr>
                <w:bCs/>
                <w:color w:val="000000" w:themeColor="text1"/>
                <w:sz w:val="22"/>
                <w:szCs w:val="22"/>
              </w:rPr>
              <w:t>$</w:t>
            </w:r>
            <w:r w:rsidR="00D179B3" w:rsidRPr="00CA7C51">
              <w:rPr>
                <w:bCs/>
                <w:color w:val="000000" w:themeColor="text1"/>
                <w:sz w:val="22"/>
                <w:szCs w:val="22"/>
              </w:rPr>
              <w:t>7</w:t>
            </w:r>
            <w:bookmarkEnd w:id="8"/>
            <w:r w:rsidR="00E03C5D">
              <w:rPr>
                <w:bCs/>
                <w:color w:val="000000" w:themeColor="text1"/>
                <w:sz w:val="22"/>
                <w:szCs w:val="22"/>
              </w:rPr>
              <w:t>65</w:t>
            </w:r>
          </w:p>
        </w:tc>
        <w:tc>
          <w:tcPr>
            <w:tcW w:w="1688" w:type="dxa"/>
            <w:gridSpan w:val="2"/>
          </w:tcPr>
          <w:p w14:paraId="62258CDB" w14:textId="77777777" w:rsidR="00054C69" w:rsidRPr="0077128F" w:rsidRDefault="00054C69" w:rsidP="00054C69">
            <w:pPr>
              <w:jc w:val="center"/>
              <w:rPr>
                <w:sz w:val="22"/>
                <w:szCs w:val="22"/>
                <w:lang w:eastAsia="en-AU"/>
              </w:rPr>
            </w:pPr>
            <w:r w:rsidRPr="0077128F">
              <w:rPr>
                <w:sz w:val="22"/>
                <w:szCs w:val="22"/>
                <w:lang w:eastAsia="en-AU"/>
              </w:rPr>
              <w:t>-</w:t>
            </w:r>
          </w:p>
          <w:p w14:paraId="7A4ACD6E" w14:textId="55998812" w:rsidR="00054C69" w:rsidRPr="0077128F" w:rsidRDefault="00054C69" w:rsidP="00054C69">
            <w:pPr>
              <w:jc w:val="center"/>
              <w:rPr>
                <w:sz w:val="22"/>
                <w:szCs w:val="22"/>
                <w:lang w:eastAsia="en-AU"/>
              </w:rPr>
            </w:pPr>
            <w:r w:rsidRPr="0077128F">
              <w:rPr>
                <w:sz w:val="22"/>
                <w:szCs w:val="22"/>
                <w:lang w:eastAsia="en-AU"/>
              </w:rPr>
              <w:t>-</w:t>
            </w:r>
          </w:p>
        </w:tc>
      </w:tr>
      <w:tr w:rsidR="0077128F" w:rsidRPr="0077128F" w14:paraId="1A9A6CD5" w14:textId="1178BBEE" w:rsidTr="0003415E">
        <w:trPr>
          <w:trHeight w:val="634"/>
          <w:jc w:val="center"/>
        </w:trPr>
        <w:tc>
          <w:tcPr>
            <w:tcW w:w="2830" w:type="dxa"/>
            <w:shd w:val="clear" w:color="auto" w:fill="auto"/>
            <w:hideMark/>
          </w:tcPr>
          <w:p w14:paraId="2C1BDF85" w14:textId="77777777" w:rsidR="009E484F" w:rsidRPr="0077128F" w:rsidRDefault="009E484F" w:rsidP="001F0EA2">
            <w:pPr>
              <w:rPr>
                <w:sz w:val="22"/>
                <w:szCs w:val="22"/>
                <w:lang w:eastAsia="en-AU"/>
              </w:rPr>
            </w:pPr>
            <w:r w:rsidRPr="0077128F">
              <w:rPr>
                <w:sz w:val="22"/>
                <w:szCs w:val="22"/>
                <w:lang w:eastAsia="en-AU"/>
              </w:rPr>
              <w:t xml:space="preserve">Plumbing Advisory Board </w:t>
            </w:r>
          </w:p>
        </w:tc>
        <w:tc>
          <w:tcPr>
            <w:tcW w:w="2812" w:type="dxa"/>
            <w:shd w:val="clear" w:color="auto" w:fill="auto"/>
            <w:hideMark/>
          </w:tcPr>
          <w:p w14:paraId="445ABAF9" w14:textId="2DD5C8EE" w:rsidR="009E484F" w:rsidRPr="0077128F" w:rsidRDefault="009E484F" w:rsidP="001F0EA2">
            <w:pPr>
              <w:rPr>
                <w:sz w:val="22"/>
                <w:szCs w:val="22"/>
                <w:lang w:eastAsia="en-AU"/>
              </w:rPr>
            </w:pPr>
            <w:r w:rsidRPr="0077128F">
              <w:rPr>
                <w:sz w:val="22"/>
                <w:szCs w:val="22"/>
                <w:lang w:eastAsia="en-AU"/>
              </w:rPr>
              <w:t xml:space="preserve">Chair </w:t>
            </w:r>
          </w:p>
          <w:p w14:paraId="67C3B6A3" w14:textId="7D8A200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5CBC2D4" w14:textId="77777777" w:rsidR="00E03C5D" w:rsidRPr="0077128F" w:rsidRDefault="00E03C5D" w:rsidP="00E03C5D">
            <w:pPr>
              <w:jc w:val="center"/>
              <w:rPr>
                <w:bCs/>
                <w:sz w:val="22"/>
                <w:szCs w:val="22"/>
                <w:lang w:eastAsia="en-AU"/>
              </w:rPr>
            </w:pPr>
            <w:r w:rsidRPr="0077128F">
              <w:rPr>
                <w:bCs/>
                <w:sz w:val="22"/>
                <w:szCs w:val="22"/>
              </w:rPr>
              <w:t>$</w:t>
            </w:r>
            <w:r>
              <w:rPr>
                <w:bCs/>
                <w:sz w:val="22"/>
                <w:szCs w:val="22"/>
              </w:rPr>
              <w:t>590</w:t>
            </w:r>
          </w:p>
          <w:p w14:paraId="4375D5DE" w14:textId="64FE173E" w:rsidR="009E484F" w:rsidRPr="0077128F" w:rsidRDefault="00E03C5D" w:rsidP="00E03C5D">
            <w:pPr>
              <w:jc w:val="center"/>
              <w:rPr>
                <w:strike/>
                <w:sz w:val="22"/>
                <w:szCs w:val="22"/>
                <w:lang w:eastAsia="en-AU"/>
              </w:rPr>
            </w:pPr>
            <w:r w:rsidRPr="0077128F">
              <w:rPr>
                <w:bCs/>
                <w:sz w:val="22"/>
                <w:szCs w:val="22"/>
              </w:rPr>
              <w:t>$</w:t>
            </w:r>
            <w:r>
              <w:rPr>
                <w:bCs/>
                <w:sz w:val="22"/>
                <w:szCs w:val="22"/>
              </w:rPr>
              <w:t>505</w:t>
            </w:r>
          </w:p>
        </w:tc>
        <w:tc>
          <w:tcPr>
            <w:tcW w:w="1688" w:type="dxa"/>
            <w:gridSpan w:val="2"/>
          </w:tcPr>
          <w:p w14:paraId="74D49967" w14:textId="77777777" w:rsidR="009E484F" w:rsidRPr="0077128F" w:rsidRDefault="002C658A" w:rsidP="002C658A">
            <w:pPr>
              <w:jc w:val="center"/>
              <w:rPr>
                <w:sz w:val="22"/>
                <w:szCs w:val="22"/>
                <w:lang w:eastAsia="en-AU"/>
              </w:rPr>
            </w:pPr>
            <w:r w:rsidRPr="0077128F">
              <w:rPr>
                <w:sz w:val="22"/>
                <w:szCs w:val="22"/>
                <w:lang w:eastAsia="en-AU"/>
              </w:rPr>
              <w:t>-</w:t>
            </w:r>
          </w:p>
          <w:p w14:paraId="5FCE515B" w14:textId="022AACA7" w:rsidR="002C658A" w:rsidRPr="0077128F" w:rsidRDefault="002C658A" w:rsidP="002C658A">
            <w:pPr>
              <w:jc w:val="center"/>
              <w:rPr>
                <w:sz w:val="22"/>
                <w:szCs w:val="22"/>
                <w:lang w:eastAsia="en-AU"/>
              </w:rPr>
            </w:pPr>
            <w:r w:rsidRPr="0077128F">
              <w:rPr>
                <w:sz w:val="22"/>
                <w:szCs w:val="22"/>
                <w:lang w:eastAsia="en-AU"/>
              </w:rPr>
              <w:t>-</w:t>
            </w:r>
          </w:p>
        </w:tc>
      </w:tr>
      <w:tr w:rsidR="00DC24A4" w:rsidRPr="0077128F" w14:paraId="5893F918" w14:textId="77777777" w:rsidTr="0003415E">
        <w:trPr>
          <w:trHeight w:val="634"/>
          <w:jc w:val="center"/>
        </w:trPr>
        <w:tc>
          <w:tcPr>
            <w:tcW w:w="2830" w:type="dxa"/>
            <w:shd w:val="clear" w:color="auto" w:fill="auto"/>
          </w:tcPr>
          <w:p w14:paraId="1C4DF1DB" w14:textId="770BF1B1" w:rsidR="00DC24A4" w:rsidRPr="0077128F" w:rsidRDefault="00DC24A4" w:rsidP="001F0EA2">
            <w:pPr>
              <w:rPr>
                <w:sz w:val="22"/>
                <w:szCs w:val="22"/>
                <w:lang w:eastAsia="en-AU"/>
              </w:rPr>
            </w:pPr>
            <w:r>
              <w:rPr>
                <w:sz w:val="22"/>
                <w:szCs w:val="22"/>
                <w:lang w:eastAsia="en-AU"/>
              </w:rPr>
              <w:t>Priority Investment Program Advisory Panel</w:t>
            </w:r>
          </w:p>
        </w:tc>
        <w:tc>
          <w:tcPr>
            <w:tcW w:w="2812" w:type="dxa"/>
            <w:shd w:val="clear" w:color="auto" w:fill="auto"/>
          </w:tcPr>
          <w:p w14:paraId="3C5C17E5" w14:textId="77777777" w:rsidR="00DC24A4" w:rsidRPr="0077128F" w:rsidRDefault="00DC24A4" w:rsidP="00DC24A4">
            <w:pPr>
              <w:rPr>
                <w:sz w:val="22"/>
                <w:szCs w:val="22"/>
                <w:lang w:eastAsia="en-AU"/>
              </w:rPr>
            </w:pPr>
            <w:r w:rsidRPr="0077128F">
              <w:rPr>
                <w:sz w:val="22"/>
                <w:szCs w:val="22"/>
                <w:lang w:eastAsia="en-AU"/>
              </w:rPr>
              <w:t xml:space="preserve">Chair </w:t>
            </w:r>
          </w:p>
          <w:p w14:paraId="75441C39" w14:textId="340D8A27" w:rsidR="00DC24A4" w:rsidRPr="0077128F" w:rsidRDefault="00DC24A4" w:rsidP="00DC24A4">
            <w:pPr>
              <w:rPr>
                <w:sz w:val="22"/>
                <w:szCs w:val="22"/>
                <w:lang w:eastAsia="en-AU"/>
              </w:rPr>
            </w:pPr>
            <w:r w:rsidRPr="0077128F">
              <w:rPr>
                <w:sz w:val="22"/>
                <w:szCs w:val="22"/>
                <w:lang w:eastAsia="en-AU"/>
              </w:rPr>
              <w:t>Member</w:t>
            </w:r>
          </w:p>
        </w:tc>
        <w:tc>
          <w:tcPr>
            <w:tcW w:w="1687" w:type="dxa"/>
            <w:gridSpan w:val="2"/>
            <w:shd w:val="clear" w:color="auto" w:fill="auto"/>
            <w:noWrap/>
          </w:tcPr>
          <w:p w14:paraId="01DA3887" w14:textId="77777777" w:rsidR="00DC24A4" w:rsidRPr="0077128F" w:rsidRDefault="00DC24A4" w:rsidP="00DC24A4">
            <w:pPr>
              <w:jc w:val="center"/>
              <w:rPr>
                <w:bCs/>
                <w:sz w:val="22"/>
                <w:szCs w:val="22"/>
                <w:lang w:eastAsia="en-AU"/>
              </w:rPr>
            </w:pPr>
            <w:r w:rsidRPr="0077128F">
              <w:rPr>
                <w:bCs/>
                <w:sz w:val="22"/>
                <w:szCs w:val="22"/>
              </w:rPr>
              <w:t>$</w:t>
            </w:r>
            <w:r>
              <w:rPr>
                <w:bCs/>
                <w:sz w:val="22"/>
                <w:szCs w:val="22"/>
              </w:rPr>
              <w:t>590</w:t>
            </w:r>
          </w:p>
          <w:p w14:paraId="50FBA35A" w14:textId="2BB74A6B" w:rsidR="00DC24A4" w:rsidRPr="0077128F" w:rsidRDefault="00DC24A4" w:rsidP="00DC24A4">
            <w:pPr>
              <w:jc w:val="center"/>
              <w:rPr>
                <w:bCs/>
                <w:sz w:val="22"/>
                <w:szCs w:val="22"/>
              </w:rPr>
            </w:pPr>
            <w:r w:rsidRPr="0077128F">
              <w:rPr>
                <w:bCs/>
                <w:sz w:val="22"/>
                <w:szCs w:val="22"/>
              </w:rPr>
              <w:t>$</w:t>
            </w:r>
            <w:r>
              <w:rPr>
                <w:bCs/>
                <w:sz w:val="22"/>
                <w:szCs w:val="22"/>
              </w:rPr>
              <w:t>505</w:t>
            </w:r>
          </w:p>
        </w:tc>
        <w:tc>
          <w:tcPr>
            <w:tcW w:w="1688" w:type="dxa"/>
            <w:gridSpan w:val="2"/>
          </w:tcPr>
          <w:p w14:paraId="30911FE7" w14:textId="77777777" w:rsidR="00DC24A4" w:rsidRPr="0077128F" w:rsidRDefault="00DC24A4" w:rsidP="00DC24A4">
            <w:pPr>
              <w:jc w:val="center"/>
              <w:rPr>
                <w:sz w:val="22"/>
                <w:szCs w:val="22"/>
                <w:lang w:eastAsia="en-AU"/>
              </w:rPr>
            </w:pPr>
            <w:r w:rsidRPr="0077128F">
              <w:rPr>
                <w:sz w:val="22"/>
                <w:szCs w:val="22"/>
                <w:lang w:eastAsia="en-AU"/>
              </w:rPr>
              <w:t>-</w:t>
            </w:r>
          </w:p>
          <w:p w14:paraId="60B69C38" w14:textId="4A81AF84" w:rsidR="00DC24A4" w:rsidRPr="0077128F" w:rsidRDefault="00DC24A4" w:rsidP="00DC24A4">
            <w:pPr>
              <w:jc w:val="center"/>
              <w:rPr>
                <w:sz w:val="22"/>
                <w:szCs w:val="22"/>
                <w:lang w:eastAsia="en-AU"/>
              </w:rPr>
            </w:pPr>
            <w:r w:rsidRPr="0077128F">
              <w:rPr>
                <w:sz w:val="22"/>
                <w:szCs w:val="22"/>
                <w:lang w:eastAsia="en-AU"/>
              </w:rPr>
              <w:t>-</w:t>
            </w:r>
          </w:p>
        </w:tc>
      </w:tr>
      <w:tr w:rsidR="0077128F" w:rsidRPr="0077128F" w14:paraId="04828961" w14:textId="4DB6B840" w:rsidTr="0003415E">
        <w:trPr>
          <w:trHeight w:val="300"/>
          <w:jc w:val="center"/>
        </w:trPr>
        <w:tc>
          <w:tcPr>
            <w:tcW w:w="2830" w:type="dxa"/>
            <w:shd w:val="clear" w:color="auto" w:fill="auto"/>
            <w:hideMark/>
          </w:tcPr>
          <w:p w14:paraId="652B845F" w14:textId="1A449698" w:rsidR="009E484F" w:rsidRPr="0077128F" w:rsidRDefault="009E484F" w:rsidP="001F0EA2">
            <w:pPr>
              <w:rPr>
                <w:sz w:val="22"/>
                <w:szCs w:val="22"/>
                <w:lang w:eastAsia="en-AU"/>
              </w:rPr>
            </w:pPr>
            <w:r w:rsidRPr="0077128F">
              <w:rPr>
                <w:sz w:val="22"/>
                <w:szCs w:val="22"/>
                <w:lang w:eastAsia="en-AU"/>
              </w:rPr>
              <w:t>Public Interest Monitor Panel</w:t>
            </w:r>
          </w:p>
        </w:tc>
        <w:tc>
          <w:tcPr>
            <w:tcW w:w="2812" w:type="dxa"/>
            <w:shd w:val="clear" w:color="auto" w:fill="auto"/>
            <w:hideMark/>
          </w:tcPr>
          <w:p w14:paraId="51821AE9" w14:textId="3F159F9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74F33CA" w14:textId="2E9C1D4B" w:rsidR="009E484F" w:rsidRPr="0077128F" w:rsidRDefault="009E484F" w:rsidP="009A2312">
            <w:pPr>
              <w:jc w:val="center"/>
              <w:rPr>
                <w:bCs/>
                <w:sz w:val="22"/>
                <w:szCs w:val="22"/>
              </w:rPr>
            </w:pPr>
            <w:r w:rsidRPr="0077128F">
              <w:rPr>
                <w:bCs/>
                <w:sz w:val="22"/>
                <w:szCs w:val="22"/>
              </w:rPr>
              <w:t>$1,</w:t>
            </w:r>
            <w:r w:rsidR="00E03C5D">
              <w:rPr>
                <w:bCs/>
                <w:sz w:val="22"/>
                <w:szCs w:val="22"/>
              </w:rPr>
              <w:t>215</w:t>
            </w:r>
          </w:p>
        </w:tc>
        <w:tc>
          <w:tcPr>
            <w:tcW w:w="1688" w:type="dxa"/>
            <w:gridSpan w:val="2"/>
          </w:tcPr>
          <w:p w14:paraId="75C75167" w14:textId="73439FB7"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E5514CC" w14:textId="7A8ADAAB" w:rsidTr="0003415E">
        <w:trPr>
          <w:trHeight w:val="300"/>
          <w:jc w:val="center"/>
        </w:trPr>
        <w:tc>
          <w:tcPr>
            <w:tcW w:w="2830" w:type="dxa"/>
            <w:shd w:val="clear" w:color="auto" w:fill="auto"/>
          </w:tcPr>
          <w:p w14:paraId="1EC2E4BA" w14:textId="77777777" w:rsidR="009E484F" w:rsidRPr="0077128F" w:rsidRDefault="009E484F" w:rsidP="009E484F">
            <w:pPr>
              <w:rPr>
                <w:sz w:val="22"/>
                <w:szCs w:val="22"/>
                <w:lang w:eastAsia="en-AU"/>
              </w:rPr>
            </w:pPr>
            <w:r w:rsidRPr="0077128F">
              <w:rPr>
                <w:sz w:val="22"/>
                <w:szCs w:val="22"/>
                <w:lang w:eastAsia="en-AU"/>
              </w:rPr>
              <w:t>Public Sector Standards Commissioner</w:t>
            </w:r>
          </w:p>
        </w:tc>
        <w:tc>
          <w:tcPr>
            <w:tcW w:w="2812" w:type="dxa"/>
            <w:shd w:val="clear" w:color="auto" w:fill="auto"/>
          </w:tcPr>
          <w:p w14:paraId="35CD64A6" w14:textId="3490FFAA" w:rsidR="009E484F" w:rsidRPr="0077128F" w:rsidRDefault="009E484F" w:rsidP="009E484F">
            <w:pPr>
              <w:rPr>
                <w:sz w:val="22"/>
                <w:szCs w:val="22"/>
                <w:lang w:eastAsia="en-AU"/>
              </w:rPr>
            </w:pPr>
            <w:r w:rsidRPr="0077128F">
              <w:rPr>
                <w:sz w:val="22"/>
                <w:szCs w:val="22"/>
                <w:lang w:eastAsia="en-AU"/>
              </w:rPr>
              <w:t xml:space="preserve">Public Sector Standards Commissioner </w:t>
            </w:r>
          </w:p>
        </w:tc>
        <w:tc>
          <w:tcPr>
            <w:tcW w:w="1687" w:type="dxa"/>
            <w:gridSpan w:val="2"/>
            <w:shd w:val="clear" w:color="auto" w:fill="auto"/>
            <w:noWrap/>
          </w:tcPr>
          <w:p w14:paraId="239B0D2C" w14:textId="14B68F25" w:rsidR="009E484F" w:rsidRPr="0077128F" w:rsidRDefault="001137B5" w:rsidP="002C658A">
            <w:pPr>
              <w:jc w:val="center"/>
              <w:rPr>
                <w:strike/>
                <w:sz w:val="22"/>
                <w:szCs w:val="22"/>
                <w:lang w:eastAsia="en-AU"/>
              </w:rPr>
            </w:pPr>
            <w:r w:rsidRPr="0077128F">
              <w:rPr>
                <w:bCs/>
                <w:sz w:val="22"/>
                <w:szCs w:val="22"/>
              </w:rPr>
              <w:t>-</w:t>
            </w:r>
          </w:p>
        </w:tc>
        <w:tc>
          <w:tcPr>
            <w:tcW w:w="1688" w:type="dxa"/>
            <w:gridSpan w:val="2"/>
          </w:tcPr>
          <w:p w14:paraId="3D6FFC48" w14:textId="17FD6A50" w:rsidR="001142FD" w:rsidRPr="0077128F" w:rsidRDefault="001137B5" w:rsidP="002C658A">
            <w:pPr>
              <w:jc w:val="center"/>
              <w:rPr>
                <w:bCs/>
                <w:sz w:val="22"/>
                <w:szCs w:val="22"/>
              </w:rPr>
            </w:pPr>
            <w:r w:rsidRPr="0077128F">
              <w:rPr>
                <w:bCs/>
                <w:sz w:val="22"/>
                <w:szCs w:val="22"/>
              </w:rPr>
              <w:t>$</w:t>
            </w:r>
            <w:r w:rsidR="009A2312">
              <w:rPr>
                <w:bCs/>
                <w:sz w:val="22"/>
                <w:szCs w:val="22"/>
              </w:rPr>
              <w:t>17</w:t>
            </w:r>
            <w:r w:rsidR="00E03C5D">
              <w:rPr>
                <w:bCs/>
                <w:sz w:val="22"/>
                <w:szCs w:val="22"/>
              </w:rPr>
              <w:t>9</w:t>
            </w:r>
            <w:r w:rsidR="009A2312">
              <w:rPr>
                <w:bCs/>
                <w:sz w:val="22"/>
                <w:szCs w:val="22"/>
              </w:rPr>
              <w:t>,</w:t>
            </w:r>
            <w:r w:rsidR="00E03C5D">
              <w:rPr>
                <w:bCs/>
                <w:sz w:val="22"/>
                <w:szCs w:val="22"/>
              </w:rPr>
              <w:t>370</w:t>
            </w:r>
          </w:p>
          <w:p w14:paraId="3BF3D4DF" w14:textId="2249E3B7" w:rsidR="009E484F" w:rsidRPr="0077128F" w:rsidRDefault="009E484F" w:rsidP="002C658A">
            <w:pPr>
              <w:jc w:val="center"/>
              <w:rPr>
                <w:bCs/>
                <w:sz w:val="22"/>
                <w:szCs w:val="22"/>
              </w:rPr>
            </w:pPr>
          </w:p>
        </w:tc>
      </w:tr>
      <w:tr w:rsidR="0077128F" w:rsidRPr="0077128F" w14:paraId="5BE87F5E" w14:textId="143A4781" w:rsidTr="0003415E">
        <w:trPr>
          <w:gridAfter w:val="1"/>
          <w:wAfter w:w="13" w:type="dxa"/>
          <w:trHeight w:val="1125"/>
          <w:jc w:val="center"/>
        </w:trPr>
        <w:tc>
          <w:tcPr>
            <w:tcW w:w="2830" w:type="dxa"/>
            <w:shd w:val="clear" w:color="auto" w:fill="auto"/>
            <w:hideMark/>
          </w:tcPr>
          <w:p w14:paraId="64E057AF" w14:textId="77777777" w:rsidR="009E484F" w:rsidRPr="0077128F" w:rsidRDefault="009E484F" w:rsidP="009E484F">
            <w:pPr>
              <w:rPr>
                <w:sz w:val="22"/>
                <w:szCs w:val="22"/>
                <w:lang w:eastAsia="en-AU"/>
              </w:rPr>
            </w:pPr>
            <w:r w:rsidRPr="0077128F">
              <w:rPr>
                <w:sz w:val="22"/>
                <w:szCs w:val="22"/>
                <w:lang w:eastAsia="en-AU"/>
              </w:rPr>
              <w:t>Racing Appeals Tribunal</w:t>
            </w:r>
          </w:p>
        </w:tc>
        <w:tc>
          <w:tcPr>
            <w:tcW w:w="2812" w:type="dxa"/>
            <w:shd w:val="clear" w:color="auto" w:fill="auto"/>
            <w:hideMark/>
          </w:tcPr>
          <w:p w14:paraId="0D90CE30" w14:textId="3B984FD4" w:rsidR="009E484F" w:rsidRPr="0077128F" w:rsidRDefault="009E484F" w:rsidP="009E484F">
            <w:pPr>
              <w:rPr>
                <w:sz w:val="22"/>
                <w:szCs w:val="22"/>
                <w:lang w:eastAsia="en-AU"/>
              </w:rPr>
            </w:pPr>
            <w:r w:rsidRPr="0077128F">
              <w:rPr>
                <w:sz w:val="22"/>
                <w:szCs w:val="22"/>
                <w:lang w:eastAsia="en-AU"/>
              </w:rPr>
              <w:t xml:space="preserve">President </w:t>
            </w:r>
          </w:p>
          <w:p w14:paraId="0742B359" w14:textId="5D3B480A" w:rsidR="009E484F" w:rsidRPr="0077128F" w:rsidRDefault="009E484F" w:rsidP="009E484F">
            <w:pPr>
              <w:rPr>
                <w:sz w:val="22"/>
                <w:szCs w:val="22"/>
                <w:lang w:eastAsia="en-AU"/>
              </w:rPr>
            </w:pPr>
            <w:r w:rsidRPr="0077128F">
              <w:rPr>
                <w:sz w:val="22"/>
                <w:szCs w:val="22"/>
                <w:lang w:eastAsia="en-AU"/>
              </w:rPr>
              <w:t xml:space="preserve">Deputy President </w:t>
            </w:r>
          </w:p>
          <w:p w14:paraId="24E721BE" w14:textId="4647812C" w:rsidR="009E484F" w:rsidRPr="0077128F" w:rsidRDefault="009E484F" w:rsidP="009E484F">
            <w:pPr>
              <w:rPr>
                <w:sz w:val="22"/>
                <w:szCs w:val="22"/>
                <w:lang w:eastAsia="en-AU"/>
              </w:rPr>
            </w:pPr>
            <w:r w:rsidRPr="0077128F">
              <w:rPr>
                <w:sz w:val="22"/>
                <w:szCs w:val="22"/>
                <w:lang w:eastAsia="en-AU"/>
              </w:rPr>
              <w:t xml:space="preserve">Member </w:t>
            </w:r>
          </w:p>
          <w:p w14:paraId="520649A5" w14:textId="40335126" w:rsidR="009E484F" w:rsidRPr="0077128F" w:rsidRDefault="009E484F" w:rsidP="009E484F">
            <w:pPr>
              <w:rPr>
                <w:sz w:val="22"/>
                <w:szCs w:val="22"/>
                <w:lang w:eastAsia="en-AU"/>
              </w:rPr>
            </w:pPr>
            <w:r w:rsidRPr="0077128F">
              <w:rPr>
                <w:sz w:val="22"/>
                <w:szCs w:val="22"/>
                <w:lang w:eastAsia="en-AU"/>
              </w:rPr>
              <w:t xml:space="preserve">Assessor </w:t>
            </w:r>
          </w:p>
        </w:tc>
        <w:tc>
          <w:tcPr>
            <w:tcW w:w="1681" w:type="dxa"/>
            <w:shd w:val="clear" w:color="auto" w:fill="auto"/>
            <w:noWrap/>
          </w:tcPr>
          <w:p w14:paraId="56440DB1" w14:textId="6C3EB042" w:rsidR="009E484F" w:rsidRPr="0077128F" w:rsidRDefault="009E484F" w:rsidP="002C658A">
            <w:pPr>
              <w:jc w:val="center"/>
              <w:rPr>
                <w:bCs/>
                <w:sz w:val="22"/>
                <w:szCs w:val="22"/>
              </w:rPr>
            </w:pPr>
            <w:r w:rsidRPr="0077128F">
              <w:rPr>
                <w:bCs/>
                <w:sz w:val="22"/>
                <w:szCs w:val="22"/>
              </w:rPr>
              <w:t>$</w:t>
            </w:r>
            <w:r w:rsidR="00E03C5D">
              <w:rPr>
                <w:bCs/>
                <w:sz w:val="22"/>
                <w:szCs w:val="22"/>
              </w:rPr>
              <w:t>92</w:t>
            </w:r>
            <w:r w:rsidR="009A2312">
              <w:rPr>
                <w:bCs/>
                <w:sz w:val="22"/>
                <w:szCs w:val="22"/>
              </w:rPr>
              <w:t>5</w:t>
            </w:r>
          </w:p>
          <w:p w14:paraId="0BCE1579" w14:textId="198A3D86" w:rsidR="009E484F" w:rsidRPr="0077128F" w:rsidRDefault="00C81493" w:rsidP="002C658A">
            <w:pPr>
              <w:jc w:val="center"/>
              <w:rPr>
                <w:bCs/>
                <w:sz w:val="22"/>
                <w:szCs w:val="22"/>
              </w:rPr>
            </w:pPr>
            <w:r w:rsidRPr="0077128F">
              <w:rPr>
                <w:bCs/>
                <w:sz w:val="22"/>
                <w:szCs w:val="22"/>
              </w:rPr>
              <w:t>$8</w:t>
            </w:r>
            <w:r w:rsidR="00E03C5D">
              <w:rPr>
                <w:bCs/>
                <w:sz w:val="22"/>
                <w:szCs w:val="22"/>
              </w:rPr>
              <w:t>45</w:t>
            </w:r>
          </w:p>
          <w:p w14:paraId="7C1A7215" w14:textId="772F66CF" w:rsidR="009E484F" w:rsidRPr="0077128F" w:rsidRDefault="00CE14AA" w:rsidP="002C658A">
            <w:pPr>
              <w:jc w:val="center"/>
              <w:rPr>
                <w:bCs/>
                <w:sz w:val="22"/>
                <w:szCs w:val="22"/>
              </w:rPr>
            </w:pPr>
            <w:r w:rsidRPr="0077128F">
              <w:rPr>
                <w:bCs/>
                <w:sz w:val="22"/>
                <w:szCs w:val="22"/>
              </w:rPr>
              <w:t>$</w:t>
            </w:r>
            <w:r w:rsidR="00B353FA" w:rsidRPr="0077128F">
              <w:rPr>
                <w:bCs/>
                <w:sz w:val="22"/>
                <w:szCs w:val="22"/>
              </w:rPr>
              <w:t>5</w:t>
            </w:r>
            <w:r w:rsidR="00E03C5D">
              <w:rPr>
                <w:bCs/>
                <w:sz w:val="22"/>
                <w:szCs w:val="22"/>
              </w:rPr>
              <w:t>6</w:t>
            </w:r>
            <w:r w:rsidR="009A2312">
              <w:rPr>
                <w:bCs/>
                <w:sz w:val="22"/>
                <w:szCs w:val="22"/>
              </w:rPr>
              <w:t>0</w:t>
            </w:r>
          </w:p>
          <w:p w14:paraId="1D979980" w14:textId="2FA22510" w:rsidR="009E484F" w:rsidRPr="0077128F" w:rsidRDefault="00CE14AA" w:rsidP="009A2312">
            <w:pPr>
              <w:jc w:val="center"/>
              <w:rPr>
                <w:bCs/>
                <w:sz w:val="22"/>
                <w:szCs w:val="22"/>
              </w:rPr>
            </w:pPr>
            <w:r w:rsidRPr="0077128F">
              <w:rPr>
                <w:bCs/>
                <w:sz w:val="22"/>
                <w:szCs w:val="22"/>
              </w:rPr>
              <w:t>$</w:t>
            </w:r>
            <w:r w:rsidR="00B353FA" w:rsidRPr="0077128F">
              <w:rPr>
                <w:bCs/>
                <w:sz w:val="22"/>
                <w:szCs w:val="22"/>
              </w:rPr>
              <w:t>5</w:t>
            </w:r>
            <w:r w:rsidR="00E03C5D">
              <w:rPr>
                <w:bCs/>
                <w:sz w:val="22"/>
                <w:szCs w:val="22"/>
              </w:rPr>
              <w:t>6</w:t>
            </w:r>
            <w:r w:rsidR="009A2312">
              <w:rPr>
                <w:bCs/>
                <w:sz w:val="22"/>
                <w:szCs w:val="22"/>
              </w:rPr>
              <w:t>0</w:t>
            </w:r>
          </w:p>
        </w:tc>
        <w:tc>
          <w:tcPr>
            <w:tcW w:w="1681" w:type="dxa"/>
            <w:gridSpan w:val="2"/>
          </w:tcPr>
          <w:p w14:paraId="0453189C" w14:textId="77777777" w:rsidR="009E484F" w:rsidRPr="0077128F" w:rsidRDefault="002C658A" w:rsidP="002C658A">
            <w:pPr>
              <w:jc w:val="center"/>
              <w:rPr>
                <w:sz w:val="22"/>
                <w:szCs w:val="22"/>
                <w:lang w:eastAsia="en-AU"/>
              </w:rPr>
            </w:pPr>
            <w:r w:rsidRPr="0077128F">
              <w:rPr>
                <w:sz w:val="22"/>
                <w:szCs w:val="22"/>
                <w:lang w:eastAsia="en-AU"/>
              </w:rPr>
              <w:t>-</w:t>
            </w:r>
          </w:p>
          <w:p w14:paraId="7735A9D2" w14:textId="77777777" w:rsidR="002C658A" w:rsidRPr="0077128F" w:rsidRDefault="002C658A" w:rsidP="002C658A">
            <w:pPr>
              <w:jc w:val="center"/>
              <w:rPr>
                <w:sz w:val="22"/>
                <w:szCs w:val="22"/>
                <w:lang w:eastAsia="en-AU"/>
              </w:rPr>
            </w:pPr>
            <w:r w:rsidRPr="0077128F">
              <w:rPr>
                <w:sz w:val="22"/>
                <w:szCs w:val="22"/>
                <w:lang w:eastAsia="en-AU"/>
              </w:rPr>
              <w:t>-</w:t>
            </w:r>
          </w:p>
          <w:p w14:paraId="3C606E80" w14:textId="77777777" w:rsidR="002C658A" w:rsidRPr="0077128F" w:rsidRDefault="002C658A" w:rsidP="002C658A">
            <w:pPr>
              <w:jc w:val="center"/>
              <w:rPr>
                <w:sz w:val="22"/>
                <w:szCs w:val="22"/>
                <w:lang w:eastAsia="en-AU"/>
              </w:rPr>
            </w:pPr>
            <w:r w:rsidRPr="0077128F">
              <w:rPr>
                <w:sz w:val="22"/>
                <w:szCs w:val="22"/>
                <w:lang w:eastAsia="en-AU"/>
              </w:rPr>
              <w:t>-</w:t>
            </w:r>
          </w:p>
          <w:p w14:paraId="1AD5E733" w14:textId="5FB6F9D9"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15E7A65" w14:textId="1B134002" w:rsidTr="0003415E">
        <w:trPr>
          <w:gridAfter w:val="1"/>
          <w:wAfter w:w="13" w:type="dxa"/>
          <w:trHeight w:val="610"/>
          <w:jc w:val="center"/>
        </w:trPr>
        <w:tc>
          <w:tcPr>
            <w:tcW w:w="2830" w:type="dxa"/>
            <w:shd w:val="clear" w:color="auto" w:fill="auto"/>
            <w:hideMark/>
          </w:tcPr>
          <w:p w14:paraId="0484DCEC" w14:textId="39F9B28A" w:rsidR="009E484F" w:rsidRPr="0077128F" w:rsidRDefault="009E484F" w:rsidP="009E484F">
            <w:pPr>
              <w:rPr>
                <w:sz w:val="22"/>
                <w:szCs w:val="22"/>
                <w:lang w:eastAsia="en-AU"/>
              </w:rPr>
            </w:pPr>
            <w:r w:rsidRPr="0077128F">
              <w:rPr>
                <w:sz w:val="22"/>
                <w:szCs w:val="22"/>
                <w:lang w:eastAsia="en-AU"/>
              </w:rPr>
              <w:t xml:space="preserve">Radiation </w:t>
            </w:r>
            <w:r w:rsidR="00E03C5D">
              <w:rPr>
                <w:sz w:val="22"/>
                <w:szCs w:val="22"/>
                <w:lang w:eastAsia="en-AU"/>
              </w:rPr>
              <w:t>Advisory Committee</w:t>
            </w:r>
          </w:p>
        </w:tc>
        <w:tc>
          <w:tcPr>
            <w:tcW w:w="2812" w:type="dxa"/>
            <w:shd w:val="clear" w:color="auto" w:fill="auto"/>
            <w:hideMark/>
          </w:tcPr>
          <w:p w14:paraId="781BF531" w14:textId="0BBCE252" w:rsidR="009E484F" w:rsidRPr="0077128F" w:rsidRDefault="009E484F" w:rsidP="009E484F">
            <w:pPr>
              <w:rPr>
                <w:sz w:val="22"/>
                <w:szCs w:val="22"/>
                <w:lang w:eastAsia="en-AU"/>
              </w:rPr>
            </w:pPr>
            <w:r w:rsidRPr="0077128F">
              <w:rPr>
                <w:sz w:val="22"/>
                <w:szCs w:val="22"/>
                <w:lang w:eastAsia="en-AU"/>
              </w:rPr>
              <w:t xml:space="preserve">Chair </w:t>
            </w:r>
          </w:p>
          <w:p w14:paraId="639A4B9F" w14:textId="68430A26"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189100BF" w14:textId="77777777" w:rsidR="00E03C5D" w:rsidRPr="0077128F" w:rsidRDefault="00E03C5D" w:rsidP="00E03C5D">
            <w:pPr>
              <w:jc w:val="center"/>
              <w:rPr>
                <w:bCs/>
                <w:sz w:val="22"/>
                <w:szCs w:val="22"/>
                <w:lang w:eastAsia="en-AU"/>
              </w:rPr>
            </w:pPr>
            <w:r w:rsidRPr="0077128F">
              <w:rPr>
                <w:bCs/>
                <w:sz w:val="22"/>
                <w:szCs w:val="22"/>
              </w:rPr>
              <w:t>$</w:t>
            </w:r>
            <w:r>
              <w:rPr>
                <w:bCs/>
                <w:sz w:val="22"/>
                <w:szCs w:val="22"/>
              </w:rPr>
              <w:t>590</w:t>
            </w:r>
          </w:p>
          <w:p w14:paraId="7F7FB562" w14:textId="0DD664D9" w:rsidR="009E484F" w:rsidRPr="0077128F" w:rsidRDefault="00E03C5D" w:rsidP="00E03C5D">
            <w:pPr>
              <w:jc w:val="center"/>
              <w:rPr>
                <w:strike/>
                <w:sz w:val="22"/>
                <w:szCs w:val="22"/>
                <w:lang w:eastAsia="en-AU"/>
              </w:rPr>
            </w:pPr>
            <w:r w:rsidRPr="0077128F">
              <w:rPr>
                <w:bCs/>
                <w:sz w:val="22"/>
                <w:szCs w:val="22"/>
              </w:rPr>
              <w:t>$</w:t>
            </w:r>
            <w:r>
              <w:rPr>
                <w:bCs/>
                <w:sz w:val="22"/>
                <w:szCs w:val="22"/>
              </w:rPr>
              <w:t>505</w:t>
            </w:r>
          </w:p>
        </w:tc>
        <w:tc>
          <w:tcPr>
            <w:tcW w:w="1681" w:type="dxa"/>
            <w:gridSpan w:val="2"/>
          </w:tcPr>
          <w:p w14:paraId="099BE2F6" w14:textId="77777777" w:rsidR="009E484F" w:rsidRPr="0077128F" w:rsidRDefault="002C658A" w:rsidP="002C658A">
            <w:pPr>
              <w:jc w:val="center"/>
              <w:rPr>
                <w:sz w:val="22"/>
                <w:szCs w:val="22"/>
                <w:lang w:eastAsia="en-AU"/>
              </w:rPr>
            </w:pPr>
            <w:r w:rsidRPr="0077128F">
              <w:rPr>
                <w:sz w:val="22"/>
                <w:szCs w:val="22"/>
                <w:lang w:eastAsia="en-AU"/>
              </w:rPr>
              <w:t>-</w:t>
            </w:r>
          </w:p>
          <w:p w14:paraId="4C8B5435" w14:textId="15E41C9E" w:rsidR="002C658A" w:rsidRPr="0077128F" w:rsidRDefault="002C658A" w:rsidP="002C658A">
            <w:pPr>
              <w:jc w:val="center"/>
              <w:rPr>
                <w:sz w:val="22"/>
                <w:szCs w:val="22"/>
                <w:lang w:eastAsia="en-AU"/>
              </w:rPr>
            </w:pPr>
            <w:r w:rsidRPr="0077128F">
              <w:rPr>
                <w:sz w:val="22"/>
                <w:szCs w:val="22"/>
                <w:lang w:eastAsia="en-AU"/>
              </w:rPr>
              <w:t>-</w:t>
            </w:r>
          </w:p>
        </w:tc>
      </w:tr>
      <w:tr w:rsidR="00750145" w:rsidRPr="0077128F" w14:paraId="3A8788E7" w14:textId="77777777" w:rsidTr="0003415E">
        <w:trPr>
          <w:gridAfter w:val="1"/>
          <w:wAfter w:w="13" w:type="dxa"/>
          <w:trHeight w:val="610"/>
          <w:jc w:val="center"/>
        </w:trPr>
        <w:tc>
          <w:tcPr>
            <w:tcW w:w="2830" w:type="dxa"/>
            <w:shd w:val="clear" w:color="auto" w:fill="auto"/>
          </w:tcPr>
          <w:p w14:paraId="000E2985" w14:textId="4147C565" w:rsidR="00750145" w:rsidRPr="0077128F" w:rsidRDefault="00750145" w:rsidP="009E484F">
            <w:pPr>
              <w:rPr>
                <w:sz w:val="22"/>
                <w:szCs w:val="22"/>
                <w:lang w:eastAsia="en-AU"/>
              </w:rPr>
            </w:pPr>
            <w:r>
              <w:rPr>
                <w:sz w:val="22"/>
                <w:szCs w:val="22"/>
                <w:lang w:eastAsia="en-AU"/>
              </w:rPr>
              <w:t>Registration Standards Advisory Board</w:t>
            </w:r>
          </w:p>
        </w:tc>
        <w:tc>
          <w:tcPr>
            <w:tcW w:w="2812" w:type="dxa"/>
            <w:shd w:val="clear" w:color="auto" w:fill="auto"/>
          </w:tcPr>
          <w:p w14:paraId="473355DF" w14:textId="77777777" w:rsidR="00750145" w:rsidRPr="0077128F" w:rsidRDefault="00750145" w:rsidP="00750145">
            <w:pPr>
              <w:rPr>
                <w:sz w:val="22"/>
                <w:szCs w:val="22"/>
                <w:lang w:eastAsia="en-AU"/>
              </w:rPr>
            </w:pPr>
            <w:r w:rsidRPr="0077128F">
              <w:rPr>
                <w:sz w:val="22"/>
                <w:szCs w:val="22"/>
                <w:lang w:eastAsia="en-AU"/>
              </w:rPr>
              <w:t xml:space="preserve">Chair </w:t>
            </w:r>
          </w:p>
          <w:p w14:paraId="3A5B7329" w14:textId="17722661" w:rsidR="00750145" w:rsidRPr="0077128F" w:rsidRDefault="00750145" w:rsidP="00750145">
            <w:pPr>
              <w:rPr>
                <w:sz w:val="22"/>
                <w:szCs w:val="22"/>
                <w:lang w:eastAsia="en-AU"/>
              </w:rPr>
            </w:pPr>
            <w:r w:rsidRPr="0077128F">
              <w:rPr>
                <w:sz w:val="22"/>
                <w:szCs w:val="22"/>
                <w:lang w:eastAsia="en-AU"/>
              </w:rPr>
              <w:t>Member</w:t>
            </w:r>
          </w:p>
        </w:tc>
        <w:tc>
          <w:tcPr>
            <w:tcW w:w="1681" w:type="dxa"/>
            <w:shd w:val="clear" w:color="auto" w:fill="auto"/>
            <w:noWrap/>
          </w:tcPr>
          <w:p w14:paraId="586B34EF" w14:textId="77777777" w:rsidR="00750145" w:rsidRPr="0077128F" w:rsidRDefault="00750145" w:rsidP="00750145">
            <w:pPr>
              <w:jc w:val="center"/>
              <w:rPr>
                <w:bCs/>
                <w:sz w:val="22"/>
                <w:szCs w:val="22"/>
                <w:lang w:eastAsia="en-AU"/>
              </w:rPr>
            </w:pPr>
            <w:r w:rsidRPr="0077128F">
              <w:rPr>
                <w:bCs/>
                <w:sz w:val="22"/>
                <w:szCs w:val="22"/>
              </w:rPr>
              <w:t>$</w:t>
            </w:r>
            <w:r>
              <w:rPr>
                <w:bCs/>
                <w:sz w:val="22"/>
                <w:szCs w:val="22"/>
              </w:rPr>
              <w:t>590</w:t>
            </w:r>
          </w:p>
          <w:p w14:paraId="615DCD4D" w14:textId="23DA89DF" w:rsidR="00750145" w:rsidRPr="0077128F" w:rsidRDefault="00750145" w:rsidP="00750145">
            <w:pPr>
              <w:jc w:val="center"/>
              <w:rPr>
                <w:bCs/>
                <w:sz w:val="22"/>
                <w:szCs w:val="22"/>
              </w:rPr>
            </w:pPr>
            <w:r w:rsidRPr="0077128F">
              <w:rPr>
                <w:bCs/>
                <w:sz w:val="22"/>
                <w:szCs w:val="22"/>
              </w:rPr>
              <w:t>$</w:t>
            </w:r>
            <w:r>
              <w:rPr>
                <w:bCs/>
                <w:sz w:val="22"/>
                <w:szCs w:val="22"/>
              </w:rPr>
              <w:t>505</w:t>
            </w:r>
          </w:p>
        </w:tc>
        <w:tc>
          <w:tcPr>
            <w:tcW w:w="1681" w:type="dxa"/>
            <w:gridSpan w:val="2"/>
          </w:tcPr>
          <w:p w14:paraId="7865CF41" w14:textId="77777777" w:rsidR="00750145" w:rsidRPr="0077128F" w:rsidRDefault="00750145" w:rsidP="00750145">
            <w:pPr>
              <w:jc w:val="center"/>
              <w:rPr>
                <w:sz w:val="22"/>
                <w:szCs w:val="22"/>
                <w:lang w:eastAsia="en-AU"/>
              </w:rPr>
            </w:pPr>
            <w:r w:rsidRPr="0077128F">
              <w:rPr>
                <w:sz w:val="22"/>
                <w:szCs w:val="22"/>
                <w:lang w:eastAsia="en-AU"/>
              </w:rPr>
              <w:t>-</w:t>
            </w:r>
          </w:p>
          <w:p w14:paraId="6699EF8B" w14:textId="74CCEC51" w:rsidR="00750145" w:rsidRPr="0077128F" w:rsidRDefault="00750145" w:rsidP="00750145">
            <w:pPr>
              <w:jc w:val="center"/>
              <w:rPr>
                <w:sz w:val="22"/>
                <w:szCs w:val="22"/>
                <w:lang w:eastAsia="en-AU"/>
              </w:rPr>
            </w:pPr>
            <w:r w:rsidRPr="0077128F">
              <w:rPr>
                <w:sz w:val="22"/>
                <w:szCs w:val="22"/>
                <w:lang w:eastAsia="en-AU"/>
              </w:rPr>
              <w:t>-</w:t>
            </w:r>
          </w:p>
        </w:tc>
      </w:tr>
      <w:tr w:rsidR="0077128F" w:rsidRPr="0077128F" w14:paraId="72DED07A" w14:textId="182A5A09" w:rsidTr="0003415E">
        <w:trPr>
          <w:gridAfter w:val="1"/>
          <w:wAfter w:w="13" w:type="dxa"/>
          <w:trHeight w:val="300"/>
          <w:jc w:val="center"/>
        </w:trPr>
        <w:tc>
          <w:tcPr>
            <w:tcW w:w="2830" w:type="dxa"/>
            <w:shd w:val="clear" w:color="auto" w:fill="auto"/>
            <w:hideMark/>
          </w:tcPr>
          <w:p w14:paraId="3B5EE378" w14:textId="3C5EA4C6" w:rsidR="009E484F" w:rsidRPr="0077128F" w:rsidRDefault="009E484F" w:rsidP="009E484F">
            <w:pPr>
              <w:rPr>
                <w:sz w:val="22"/>
                <w:szCs w:val="22"/>
                <w:lang w:eastAsia="en-AU"/>
              </w:rPr>
            </w:pPr>
            <w:r w:rsidRPr="0077128F">
              <w:rPr>
                <w:sz w:val="22"/>
                <w:szCs w:val="22"/>
                <w:lang w:eastAsia="en-AU"/>
              </w:rPr>
              <w:t>Scientific Committee</w:t>
            </w:r>
          </w:p>
        </w:tc>
        <w:tc>
          <w:tcPr>
            <w:tcW w:w="2812" w:type="dxa"/>
            <w:shd w:val="clear" w:color="auto" w:fill="auto"/>
            <w:hideMark/>
          </w:tcPr>
          <w:p w14:paraId="424953C7" w14:textId="6EE95401" w:rsidR="009E484F" w:rsidRPr="0077128F" w:rsidRDefault="009E484F" w:rsidP="009E484F">
            <w:pPr>
              <w:rPr>
                <w:sz w:val="22"/>
                <w:szCs w:val="22"/>
                <w:lang w:eastAsia="en-AU"/>
              </w:rPr>
            </w:pPr>
            <w:r w:rsidRPr="0077128F">
              <w:rPr>
                <w:sz w:val="22"/>
                <w:szCs w:val="22"/>
                <w:lang w:eastAsia="en-AU"/>
              </w:rPr>
              <w:t xml:space="preserve">Chair </w:t>
            </w:r>
          </w:p>
          <w:p w14:paraId="121FC353" w14:textId="0848A267"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42F0B26" w14:textId="77777777" w:rsidR="00E03C5D" w:rsidRPr="0077128F" w:rsidRDefault="00E03C5D" w:rsidP="00E03C5D">
            <w:pPr>
              <w:jc w:val="center"/>
              <w:rPr>
                <w:bCs/>
                <w:sz w:val="22"/>
                <w:szCs w:val="22"/>
                <w:lang w:eastAsia="en-AU"/>
              </w:rPr>
            </w:pPr>
            <w:r w:rsidRPr="0077128F">
              <w:rPr>
                <w:bCs/>
                <w:sz w:val="22"/>
                <w:szCs w:val="22"/>
              </w:rPr>
              <w:t>$</w:t>
            </w:r>
            <w:r>
              <w:rPr>
                <w:bCs/>
                <w:sz w:val="22"/>
                <w:szCs w:val="22"/>
              </w:rPr>
              <w:t>590</w:t>
            </w:r>
          </w:p>
          <w:p w14:paraId="5C0625A3" w14:textId="4BCBB2A8" w:rsidR="009E484F" w:rsidRPr="0077128F" w:rsidRDefault="00E03C5D" w:rsidP="00E03C5D">
            <w:pPr>
              <w:jc w:val="center"/>
              <w:rPr>
                <w:strike/>
                <w:sz w:val="22"/>
                <w:szCs w:val="22"/>
                <w:lang w:eastAsia="en-AU"/>
              </w:rPr>
            </w:pPr>
            <w:r w:rsidRPr="0077128F">
              <w:rPr>
                <w:bCs/>
                <w:sz w:val="22"/>
                <w:szCs w:val="22"/>
              </w:rPr>
              <w:t>$</w:t>
            </w:r>
            <w:r>
              <w:rPr>
                <w:bCs/>
                <w:sz w:val="22"/>
                <w:szCs w:val="22"/>
              </w:rPr>
              <w:t>505</w:t>
            </w:r>
          </w:p>
        </w:tc>
        <w:tc>
          <w:tcPr>
            <w:tcW w:w="1681" w:type="dxa"/>
            <w:gridSpan w:val="2"/>
          </w:tcPr>
          <w:p w14:paraId="6B2AA752"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77128F" w:rsidRPr="0077128F" w14:paraId="4DF36C4F" w14:textId="6A81C2C1" w:rsidTr="0003415E">
        <w:trPr>
          <w:gridAfter w:val="1"/>
          <w:wAfter w:w="13" w:type="dxa"/>
          <w:trHeight w:val="920"/>
          <w:jc w:val="center"/>
        </w:trPr>
        <w:tc>
          <w:tcPr>
            <w:tcW w:w="2830" w:type="dxa"/>
            <w:shd w:val="clear" w:color="auto" w:fill="auto"/>
            <w:hideMark/>
          </w:tcPr>
          <w:p w14:paraId="7AB23E38" w14:textId="5E61F165" w:rsidR="009E484F" w:rsidRPr="009B77E5" w:rsidRDefault="009E484F" w:rsidP="009E484F">
            <w:pPr>
              <w:rPr>
                <w:sz w:val="22"/>
                <w:szCs w:val="22"/>
                <w:lang w:eastAsia="en-AU"/>
              </w:rPr>
            </w:pPr>
            <w:r w:rsidRPr="009B77E5">
              <w:rPr>
                <w:sz w:val="22"/>
                <w:szCs w:val="22"/>
                <w:lang w:eastAsia="en-AU"/>
              </w:rPr>
              <w:t>Sentence Administration Board</w:t>
            </w:r>
          </w:p>
        </w:tc>
        <w:tc>
          <w:tcPr>
            <w:tcW w:w="2812" w:type="dxa"/>
            <w:shd w:val="clear" w:color="auto" w:fill="auto"/>
            <w:hideMark/>
          </w:tcPr>
          <w:p w14:paraId="2309E5FA" w14:textId="39ACFA7E" w:rsidR="009E484F" w:rsidRPr="009B77E5" w:rsidRDefault="009E484F" w:rsidP="009E484F">
            <w:pPr>
              <w:rPr>
                <w:sz w:val="22"/>
                <w:szCs w:val="22"/>
                <w:lang w:eastAsia="en-AU"/>
              </w:rPr>
            </w:pPr>
            <w:r w:rsidRPr="009B77E5">
              <w:rPr>
                <w:sz w:val="22"/>
                <w:szCs w:val="22"/>
                <w:lang w:eastAsia="en-AU"/>
              </w:rPr>
              <w:t xml:space="preserve">Chair </w:t>
            </w:r>
          </w:p>
          <w:p w14:paraId="4DC87692" w14:textId="3C129688" w:rsidR="009E484F" w:rsidRPr="009B77E5" w:rsidRDefault="009E484F" w:rsidP="009E484F">
            <w:pPr>
              <w:rPr>
                <w:sz w:val="22"/>
                <w:szCs w:val="22"/>
                <w:lang w:eastAsia="en-AU"/>
              </w:rPr>
            </w:pPr>
            <w:r w:rsidRPr="009B77E5">
              <w:rPr>
                <w:sz w:val="22"/>
                <w:szCs w:val="22"/>
                <w:lang w:eastAsia="en-AU"/>
              </w:rPr>
              <w:t xml:space="preserve">Deputy Chair </w:t>
            </w:r>
          </w:p>
          <w:p w14:paraId="1E799535" w14:textId="658AFC98" w:rsidR="009E484F" w:rsidRPr="009B77E5" w:rsidRDefault="009E484F" w:rsidP="009E484F">
            <w:pPr>
              <w:rPr>
                <w:sz w:val="22"/>
                <w:szCs w:val="22"/>
                <w:lang w:eastAsia="en-AU"/>
              </w:rPr>
            </w:pPr>
            <w:r w:rsidRPr="009B77E5">
              <w:rPr>
                <w:sz w:val="22"/>
                <w:szCs w:val="22"/>
                <w:lang w:eastAsia="en-AU"/>
              </w:rPr>
              <w:t xml:space="preserve">Member </w:t>
            </w:r>
          </w:p>
        </w:tc>
        <w:tc>
          <w:tcPr>
            <w:tcW w:w="1681" w:type="dxa"/>
            <w:shd w:val="clear" w:color="auto" w:fill="auto"/>
            <w:noWrap/>
          </w:tcPr>
          <w:p w14:paraId="6460EE67" w14:textId="77777777" w:rsidR="009E484F" w:rsidRPr="009B77E5" w:rsidRDefault="002C658A" w:rsidP="002C658A">
            <w:pPr>
              <w:jc w:val="center"/>
              <w:rPr>
                <w:bCs/>
                <w:sz w:val="22"/>
                <w:szCs w:val="22"/>
              </w:rPr>
            </w:pPr>
            <w:r w:rsidRPr="009B77E5">
              <w:rPr>
                <w:bCs/>
                <w:sz w:val="22"/>
                <w:szCs w:val="22"/>
              </w:rPr>
              <w:t>-</w:t>
            </w:r>
          </w:p>
          <w:p w14:paraId="75A6CB64" w14:textId="009B6BCC" w:rsidR="009E484F" w:rsidRPr="009B77E5" w:rsidRDefault="002C658A" w:rsidP="002C658A">
            <w:pPr>
              <w:jc w:val="center"/>
              <w:rPr>
                <w:bCs/>
                <w:sz w:val="22"/>
                <w:szCs w:val="22"/>
              </w:rPr>
            </w:pPr>
            <w:r w:rsidRPr="009B77E5">
              <w:rPr>
                <w:bCs/>
                <w:sz w:val="22"/>
                <w:szCs w:val="22"/>
              </w:rPr>
              <w:t>-</w:t>
            </w:r>
          </w:p>
          <w:p w14:paraId="59D4A60F" w14:textId="56F4D043" w:rsidR="009E484F" w:rsidRPr="009B77E5" w:rsidRDefault="009E484F" w:rsidP="002C658A">
            <w:pPr>
              <w:jc w:val="center"/>
              <w:rPr>
                <w:bCs/>
                <w:sz w:val="22"/>
                <w:szCs w:val="22"/>
              </w:rPr>
            </w:pPr>
            <w:r w:rsidRPr="009B77E5">
              <w:rPr>
                <w:bCs/>
                <w:sz w:val="22"/>
                <w:szCs w:val="22"/>
              </w:rPr>
              <w:t>$1,</w:t>
            </w:r>
            <w:r w:rsidR="00892F14">
              <w:rPr>
                <w:bCs/>
                <w:sz w:val="22"/>
                <w:szCs w:val="22"/>
              </w:rPr>
              <w:t>115</w:t>
            </w:r>
          </w:p>
        </w:tc>
        <w:tc>
          <w:tcPr>
            <w:tcW w:w="1681" w:type="dxa"/>
            <w:gridSpan w:val="2"/>
          </w:tcPr>
          <w:p w14:paraId="563EB837" w14:textId="1D864AC8" w:rsidR="009E484F" w:rsidRPr="009B77E5" w:rsidRDefault="009E484F" w:rsidP="002C658A">
            <w:pPr>
              <w:jc w:val="center"/>
              <w:rPr>
                <w:bCs/>
                <w:color w:val="000000" w:themeColor="text1"/>
                <w:sz w:val="22"/>
                <w:szCs w:val="22"/>
              </w:rPr>
            </w:pPr>
            <w:r w:rsidRPr="009B77E5">
              <w:rPr>
                <w:bCs/>
                <w:color w:val="000000" w:themeColor="text1"/>
                <w:sz w:val="22"/>
                <w:szCs w:val="22"/>
              </w:rPr>
              <w:t>$</w:t>
            </w:r>
            <w:r w:rsidR="00E03C5D">
              <w:rPr>
                <w:bCs/>
                <w:color w:val="000000" w:themeColor="text1"/>
                <w:sz w:val="22"/>
                <w:szCs w:val="22"/>
              </w:rPr>
              <w:t>102</w:t>
            </w:r>
            <w:r w:rsidR="00B20C7C" w:rsidRPr="009B77E5">
              <w:rPr>
                <w:bCs/>
                <w:color w:val="000000" w:themeColor="text1"/>
                <w:sz w:val="22"/>
                <w:szCs w:val="22"/>
              </w:rPr>
              <w:t>,</w:t>
            </w:r>
            <w:r w:rsidR="00E03C5D">
              <w:rPr>
                <w:bCs/>
                <w:color w:val="000000" w:themeColor="text1"/>
                <w:sz w:val="22"/>
                <w:szCs w:val="22"/>
              </w:rPr>
              <w:t>5</w:t>
            </w:r>
            <w:r w:rsidR="00B20C7C" w:rsidRPr="009B77E5">
              <w:rPr>
                <w:bCs/>
                <w:color w:val="000000" w:themeColor="text1"/>
                <w:sz w:val="22"/>
                <w:szCs w:val="22"/>
              </w:rPr>
              <w:t>9</w:t>
            </w:r>
            <w:r w:rsidR="00E03C5D">
              <w:rPr>
                <w:bCs/>
                <w:color w:val="000000" w:themeColor="text1"/>
                <w:sz w:val="22"/>
                <w:szCs w:val="22"/>
              </w:rPr>
              <w:t>5</w:t>
            </w:r>
          </w:p>
          <w:p w14:paraId="3F2E0ACB" w14:textId="610ACD3B" w:rsidR="009E484F" w:rsidRPr="009B77E5" w:rsidRDefault="00CE14AA" w:rsidP="002C658A">
            <w:pPr>
              <w:jc w:val="center"/>
              <w:rPr>
                <w:bCs/>
                <w:color w:val="000000" w:themeColor="text1"/>
                <w:sz w:val="22"/>
                <w:szCs w:val="22"/>
              </w:rPr>
            </w:pPr>
            <w:r w:rsidRPr="009B77E5">
              <w:rPr>
                <w:bCs/>
                <w:color w:val="000000" w:themeColor="text1"/>
                <w:sz w:val="22"/>
                <w:szCs w:val="22"/>
              </w:rPr>
              <w:t>$</w:t>
            </w:r>
            <w:r w:rsidR="00B20C7C" w:rsidRPr="009B77E5">
              <w:rPr>
                <w:bCs/>
                <w:color w:val="000000" w:themeColor="text1"/>
                <w:sz w:val="22"/>
                <w:szCs w:val="22"/>
              </w:rPr>
              <w:t>9</w:t>
            </w:r>
            <w:r w:rsidR="00E03C5D">
              <w:rPr>
                <w:bCs/>
                <w:color w:val="000000" w:themeColor="text1"/>
                <w:sz w:val="22"/>
                <w:szCs w:val="22"/>
              </w:rPr>
              <w:t>1</w:t>
            </w:r>
            <w:r w:rsidR="00B20C7C" w:rsidRPr="009B77E5">
              <w:rPr>
                <w:bCs/>
                <w:color w:val="000000" w:themeColor="text1"/>
                <w:sz w:val="22"/>
                <w:szCs w:val="22"/>
              </w:rPr>
              <w:t>,</w:t>
            </w:r>
            <w:r w:rsidR="00E03C5D">
              <w:rPr>
                <w:bCs/>
                <w:color w:val="000000" w:themeColor="text1"/>
                <w:sz w:val="22"/>
                <w:szCs w:val="22"/>
              </w:rPr>
              <w:t>94</w:t>
            </w:r>
            <w:r w:rsidR="00D947A9" w:rsidRPr="009B77E5">
              <w:rPr>
                <w:bCs/>
                <w:color w:val="000000" w:themeColor="text1"/>
                <w:sz w:val="22"/>
                <w:szCs w:val="22"/>
              </w:rPr>
              <w:t>5</w:t>
            </w:r>
          </w:p>
          <w:p w14:paraId="0F1944AD" w14:textId="74F9AAD3" w:rsidR="002C658A" w:rsidRPr="009B77E5" w:rsidRDefault="002C658A" w:rsidP="002C658A">
            <w:pPr>
              <w:jc w:val="center"/>
              <w:rPr>
                <w:bCs/>
                <w:color w:val="000000" w:themeColor="text1"/>
                <w:sz w:val="22"/>
                <w:szCs w:val="22"/>
              </w:rPr>
            </w:pPr>
            <w:r w:rsidRPr="009B77E5">
              <w:rPr>
                <w:bCs/>
                <w:color w:val="000000" w:themeColor="text1"/>
                <w:sz w:val="22"/>
                <w:szCs w:val="22"/>
              </w:rPr>
              <w:t>-</w:t>
            </w:r>
          </w:p>
        </w:tc>
      </w:tr>
      <w:tr w:rsidR="0077128F" w:rsidRPr="0077128F" w14:paraId="180E369B" w14:textId="576C5D2A" w:rsidTr="0003415E">
        <w:trPr>
          <w:gridAfter w:val="1"/>
          <w:wAfter w:w="13" w:type="dxa"/>
          <w:trHeight w:val="920"/>
          <w:jc w:val="center"/>
        </w:trPr>
        <w:tc>
          <w:tcPr>
            <w:tcW w:w="2830" w:type="dxa"/>
            <w:shd w:val="clear" w:color="auto" w:fill="auto"/>
          </w:tcPr>
          <w:p w14:paraId="1BD5FEA7" w14:textId="5ACED4DE" w:rsidR="009E484F" w:rsidRPr="0077128F" w:rsidRDefault="009E484F" w:rsidP="009E484F">
            <w:pPr>
              <w:rPr>
                <w:sz w:val="22"/>
                <w:szCs w:val="22"/>
                <w:lang w:eastAsia="en-AU"/>
              </w:rPr>
            </w:pPr>
            <w:r w:rsidRPr="0077128F">
              <w:rPr>
                <w:sz w:val="22"/>
                <w:szCs w:val="22"/>
                <w:lang w:eastAsia="en-AU"/>
              </w:rPr>
              <w:t>Suburban Land Agency Board</w:t>
            </w:r>
          </w:p>
        </w:tc>
        <w:tc>
          <w:tcPr>
            <w:tcW w:w="2812" w:type="dxa"/>
            <w:shd w:val="clear" w:color="auto" w:fill="auto"/>
          </w:tcPr>
          <w:p w14:paraId="7B970DA1" w14:textId="3025A252" w:rsidR="009E484F" w:rsidRPr="0077128F" w:rsidRDefault="009E484F" w:rsidP="009E484F">
            <w:pPr>
              <w:rPr>
                <w:sz w:val="22"/>
                <w:szCs w:val="22"/>
                <w:lang w:eastAsia="en-AU"/>
              </w:rPr>
            </w:pPr>
            <w:r w:rsidRPr="0077128F">
              <w:rPr>
                <w:sz w:val="22"/>
                <w:szCs w:val="22"/>
                <w:lang w:eastAsia="en-AU"/>
              </w:rPr>
              <w:t xml:space="preserve">Chair </w:t>
            </w:r>
          </w:p>
          <w:p w14:paraId="6CF2C5D5" w14:textId="2ED0DF22" w:rsidR="009E484F" w:rsidRPr="0077128F" w:rsidRDefault="009E484F" w:rsidP="009E484F">
            <w:pPr>
              <w:rPr>
                <w:sz w:val="22"/>
                <w:szCs w:val="22"/>
                <w:lang w:eastAsia="en-AU"/>
              </w:rPr>
            </w:pPr>
            <w:r w:rsidRPr="0077128F">
              <w:rPr>
                <w:sz w:val="22"/>
                <w:szCs w:val="22"/>
                <w:lang w:eastAsia="en-AU"/>
              </w:rPr>
              <w:t xml:space="preserve">Deputy Chair </w:t>
            </w:r>
          </w:p>
          <w:p w14:paraId="389C6F65" w14:textId="1E0CEFCC"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91B5013" w14:textId="77777777" w:rsidR="009E484F" w:rsidRPr="0077128F" w:rsidRDefault="002C658A" w:rsidP="002C658A">
            <w:pPr>
              <w:jc w:val="center"/>
              <w:rPr>
                <w:sz w:val="22"/>
                <w:szCs w:val="22"/>
                <w:lang w:eastAsia="en-AU"/>
              </w:rPr>
            </w:pPr>
            <w:r w:rsidRPr="0077128F">
              <w:rPr>
                <w:sz w:val="22"/>
                <w:szCs w:val="22"/>
                <w:lang w:eastAsia="en-AU"/>
              </w:rPr>
              <w:t>-</w:t>
            </w:r>
          </w:p>
          <w:p w14:paraId="5FA0802F" w14:textId="77777777" w:rsidR="002C658A" w:rsidRPr="0077128F" w:rsidRDefault="002C658A" w:rsidP="002C658A">
            <w:pPr>
              <w:jc w:val="center"/>
              <w:rPr>
                <w:sz w:val="22"/>
                <w:szCs w:val="22"/>
                <w:lang w:eastAsia="en-AU"/>
              </w:rPr>
            </w:pPr>
            <w:r w:rsidRPr="0077128F">
              <w:rPr>
                <w:sz w:val="22"/>
                <w:szCs w:val="22"/>
                <w:lang w:eastAsia="en-AU"/>
              </w:rPr>
              <w:t>-</w:t>
            </w:r>
          </w:p>
          <w:p w14:paraId="072E58B8" w14:textId="23D5C014" w:rsidR="002C658A" w:rsidRPr="0077128F" w:rsidRDefault="002C658A" w:rsidP="002C658A">
            <w:pPr>
              <w:jc w:val="center"/>
              <w:rPr>
                <w:strike/>
                <w:sz w:val="22"/>
                <w:szCs w:val="22"/>
                <w:highlight w:val="yellow"/>
                <w:lang w:eastAsia="en-AU"/>
              </w:rPr>
            </w:pPr>
            <w:r w:rsidRPr="0077128F">
              <w:rPr>
                <w:sz w:val="22"/>
                <w:szCs w:val="22"/>
                <w:lang w:eastAsia="en-AU"/>
              </w:rPr>
              <w:t>-</w:t>
            </w:r>
          </w:p>
        </w:tc>
        <w:tc>
          <w:tcPr>
            <w:tcW w:w="1681" w:type="dxa"/>
            <w:gridSpan w:val="2"/>
          </w:tcPr>
          <w:p w14:paraId="749900DD" w14:textId="0E8BF1AB"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7</w:t>
            </w:r>
            <w:r w:rsidR="00892F14">
              <w:rPr>
                <w:bCs/>
                <w:color w:val="000000" w:themeColor="text1"/>
                <w:sz w:val="22"/>
                <w:szCs w:val="22"/>
              </w:rPr>
              <w:t>9</w:t>
            </w:r>
            <w:r w:rsidR="009A2312">
              <w:rPr>
                <w:bCs/>
                <w:color w:val="000000" w:themeColor="text1"/>
                <w:sz w:val="22"/>
                <w:szCs w:val="22"/>
              </w:rPr>
              <w:t>,</w:t>
            </w:r>
            <w:r w:rsidR="00892F14">
              <w:rPr>
                <w:bCs/>
                <w:color w:val="000000" w:themeColor="text1"/>
                <w:sz w:val="22"/>
                <w:szCs w:val="22"/>
              </w:rPr>
              <w:t>20</w:t>
            </w:r>
            <w:r w:rsidR="009A2312">
              <w:rPr>
                <w:bCs/>
                <w:color w:val="000000" w:themeColor="text1"/>
                <w:sz w:val="22"/>
                <w:szCs w:val="22"/>
              </w:rPr>
              <w:t>5</w:t>
            </w:r>
          </w:p>
          <w:p w14:paraId="2CC315F2" w14:textId="682E1839" w:rsidR="009E484F" w:rsidRPr="00E074DF" w:rsidRDefault="008B2F59" w:rsidP="002C658A">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6</w:t>
            </w:r>
            <w:r w:rsidR="00892F14">
              <w:rPr>
                <w:bCs/>
                <w:color w:val="000000" w:themeColor="text1"/>
                <w:sz w:val="22"/>
                <w:szCs w:val="22"/>
              </w:rPr>
              <w:t>3</w:t>
            </w:r>
            <w:r w:rsidR="009A2312">
              <w:rPr>
                <w:bCs/>
                <w:color w:val="000000" w:themeColor="text1"/>
                <w:sz w:val="22"/>
                <w:szCs w:val="22"/>
              </w:rPr>
              <w:t>,</w:t>
            </w:r>
            <w:r w:rsidR="00892F14">
              <w:rPr>
                <w:bCs/>
                <w:color w:val="000000" w:themeColor="text1"/>
                <w:sz w:val="22"/>
                <w:szCs w:val="22"/>
              </w:rPr>
              <w:t>37</w:t>
            </w:r>
            <w:r w:rsidR="009A2312">
              <w:rPr>
                <w:bCs/>
                <w:color w:val="000000" w:themeColor="text1"/>
                <w:sz w:val="22"/>
                <w:szCs w:val="22"/>
              </w:rPr>
              <w:t>0</w:t>
            </w:r>
          </w:p>
          <w:p w14:paraId="733EF690" w14:textId="03DC121F" w:rsidR="009E484F" w:rsidRPr="00E074DF" w:rsidRDefault="009E484F" w:rsidP="009A2312">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4</w:t>
            </w:r>
            <w:r w:rsidR="00892F14">
              <w:rPr>
                <w:bCs/>
                <w:color w:val="000000" w:themeColor="text1"/>
                <w:sz w:val="22"/>
                <w:szCs w:val="22"/>
              </w:rPr>
              <w:t>2</w:t>
            </w:r>
            <w:r w:rsidR="009A2312">
              <w:rPr>
                <w:bCs/>
                <w:color w:val="000000" w:themeColor="text1"/>
                <w:sz w:val="22"/>
                <w:szCs w:val="22"/>
              </w:rPr>
              <w:t>,</w:t>
            </w:r>
            <w:r w:rsidR="00892F14">
              <w:rPr>
                <w:bCs/>
                <w:color w:val="000000" w:themeColor="text1"/>
                <w:sz w:val="22"/>
                <w:szCs w:val="22"/>
              </w:rPr>
              <w:t>44</w:t>
            </w:r>
            <w:r w:rsidR="009A2312">
              <w:rPr>
                <w:bCs/>
                <w:color w:val="000000" w:themeColor="text1"/>
                <w:sz w:val="22"/>
                <w:szCs w:val="22"/>
              </w:rPr>
              <w:t>5</w:t>
            </w:r>
          </w:p>
        </w:tc>
      </w:tr>
      <w:tr w:rsidR="0077128F" w:rsidRPr="0077128F" w14:paraId="0176A736" w14:textId="5185D824" w:rsidTr="0003415E">
        <w:trPr>
          <w:gridAfter w:val="1"/>
          <w:wAfter w:w="13" w:type="dxa"/>
          <w:trHeight w:val="300"/>
          <w:jc w:val="center"/>
        </w:trPr>
        <w:tc>
          <w:tcPr>
            <w:tcW w:w="2830" w:type="dxa"/>
            <w:shd w:val="clear" w:color="auto" w:fill="auto"/>
            <w:hideMark/>
          </w:tcPr>
          <w:p w14:paraId="77DF6A84" w14:textId="2B62745A" w:rsidR="009E484F" w:rsidRPr="0077128F" w:rsidRDefault="009E484F" w:rsidP="009E484F">
            <w:pPr>
              <w:rPr>
                <w:sz w:val="22"/>
                <w:szCs w:val="22"/>
                <w:lang w:eastAsia="en-AU"/>
              </w:rPr>
            </w:pPr>
            <w:r w:rsidRPr="0077128F">
              <w:rPr>
                <w:sz w:val="22"/>
                <w:szCs w:val="22"/>
                <w:lang w:eastAsia="en-AU"/>
              </w:rPr>
              <w:t>Survey Practice Advisory Committee</w:t>
            </w:r>
          </w:p>
        </w:tc>
        <w:tc>
          <w:tcPr>
            <w:tcW w:w="2812" w:type="dxa"/>
            <w:shd w:val="clear" w:color="auto" w:fill="auto"/>
            <w:hideMark/>
          </w:tcPr>
          <w:p w14:paraId="51063E77" w14:textId="20092F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7974673" w14:textId="6F85C216" w:rsidR="009E484F" w:rsidRPr="0077128F" w:rsidRDefault="008B2F59" w:rsidP="009A2312">
            <w:pPr>
              <w:jc w:val="center"/>
              <w:rPr>
                <w:strike/>
                <w:sz w:val="22"/>
                <w:szCs w:val="22"/>
                <w:lang w:eastAsia="en-AU"/>
              </w:rPr>
            </w:pPr>
            <w:r w:rsidRPr="0077128F">
              <w:rPr>
                <w:bCs/>
                <w:sz w:val="22"/>
                <w:szCs w:val="22"/>
              </w:rPr>
              <w:t>$4</w:t>
            </w:r>
            <w:r w:rsidR="00892F14">
              <w:rPr>
                <w:bCs/>
                <w:sz w:val="22"/>
                <w:szCs w:val="22"/>
              </w:rPr>
              <w:t>95</w:t>
            </w:r>
          </w:p>
        </w:tc>
        <w:tc>
          <w:tcPr>
            <w:tcW w:w="1681" w:type="dxa"/>
            <w:gridSpan w:val="2"/>
          </w:tcPr>
          <w:p w14:paraId="16C1B13A" w14:textId="5A368E0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F34F2D9" w14:textId="1FB8B0E0" w:rsidTr="0003415E">
        <w:trPr>
          <w:gridAfter w:val="1"/>
          <w:wAfter w:w="13" w:type="dxa"/>
          <w:trHeight w:val="300"/>
          <w:jc w:val="center"/>
        </w:trPr>
        <w:tc>
          <w:tcPr>
            <w:tcW w:w="2830" w:type="dxa"/>
            <w:shd w:val="clear" w:color="auto" w:fill="auto"/>
            <w:hideMark/>
          </w:tcPr>
          <w:p w14:paraId="609BC3BC" w14:textId="77777777" w:rsidR="009E484F" w:rsidRPr="0077128F" w:rsidRDefault="009E484F" w:rsidP="009E484F">
            <w:pPr>
              <w:rPr>
                <w:sz w:val="22"/>
                <w:szCs w:val="22"/>
                <w:lang w:eastAsia="en-AU"/>
              </w:rPr>
            </w:pPr>
            <w:r w:rsidRPr="0077128F">
              <w:rPr>
                <w:sz w:val="22"/>
                <w:szCs w:val="22"/>
                <w:lang w:eastAsia="en-AU"/>
              </w:rPr>
              <w:t>Teacher Quality Institute Board</w:t>
            </w:r>
          </w:p>
        </w:tc>
        <w:tc>
          <w:tcPr>
            <w:tcW w:w="2812" w:type="dxa"/>
            <w:shd w:val="clear" w:color="auto" w:fill="auto"/>
            <w:hideMark/>
          </w:tcPr>
          <w:p w14:paraId="52B0ED3F" w14:textId="715833C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688A5D94" w14:textId="79F3059E"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0B663AB3" w14:textId="2537C64B" w:rsidR="009E484F" w:rsidRPr="0077128F" w:rsidRDefault="002F3CB8" w:rsidP="009A2312">
            <w:pPr>
              <w:jc w:val="center"/>
              <w:rPr>
                <w:bCs/>
                <w:sz w:val="22"/>
                <w:szCs w:val="22"/>
                <w:lang w:eastAsia="en-AU"/>
              </w:rPr>
            </w:pPr>
            <w:r w:rsidRPr="0077128F">
              <w:rPr>
                <w:bCs/>
                <w:sz w:val="22"/>
                <w:szCs w:val="22"/>
              </w:rPr>
              <w:t>$</w:t>
            </w:r>
            <w:r w:rsidR="007E64D2" w:rsidRPr="0077128F">
              <w:rPr>
                <w:bCs/>
                <w:sz w:val="22"/>
                <w:szCs w:val="22"/>
              </w:rPr>
              <w:t>2</w:t>
            </w:r>
            <w:r w:rsidR="00892F14">
              <w:rPr>
                <w:bCs/>
                <w:sz w:val="22"/>
                <w:szCs w:val="22"/>
              </w:rPr>
              <w:t>1</w:t>
            </w:r>
            <w:r w:rsidR="007E64D2" w:rsidRPr="0077128F">
              <w:rPr>
                <w:bCs/>
                <w:sz w:val="22"/>
                <w:szCs w:val="22"/>
              </w:rPr>
              <w:t>,</w:t>
            </w:r>
            <w:r w:rsidR="00892F14">
              <w:rPr>
                <w:bCs/>
                <w:sz w:val="22"/>
                <w:szCs w:val="22"/>
              </w:rPr>
              <w:t>12</w:t>
            </w:r>
            <w:r w:rsidR="009A2312">
              <w:rPr>
                <w:bCs/>
                <w:sz w:val="22"/>
                <w:szCs w:val="22"/>
              </w:rPr>
              <w:t>0</w:t>
            </w:r>
          </w:p>
        </w:tc>
      </w:tr>
      <w:tr w:rsidR="0077128F" w:rsidRPr="0077128F" w14:paraId="356C3EF2" w14:textId="6BE696C7" w:rsidTr="0003415E">
        <w:trPr>
          <w:gridAfter w:val="1"/>
          <w:wAfter w:w="13" w:type="dxa"/>
          <w:trHeight w:val="300"/>
          <w:jc w:val="center"/>
        </w:trPr>
        <w:tc>
          <w:tcPr>
            <w:tcW w:w="2830" w:type="dxa"/>
            <w:shd w:val="clear" w:color="auto" w:fill="auto"/>
          </w:tcPr>
          <w:p w14:paraId="1EE8B098" w14:textId="6DC00FA3" w:rsidR="009E484F" w:rsidRPr="0077128F" w:rsidRDefault="009E484F" w:rsidP="009E484F">
            <w:pPr>
              <w:rPr>
                <w:sz w:val="22"/>
                <w:szCs w:val="22"/>
                <w:lang w:eastAsia="en-AU"/>
              </w:rPr>
            </w:pPr>
            <w:r w:rsidRPr="0077128F">
              <w:rPr>
                <w:sz w:val="22"/>
                <w:szCs w:val="22"/>
                <w:lang w:eastAsia="en-AU"/>
              </w:rPr>
              <w:lastRenderedPageBreak/>
              <w:t xml:space="preserve">Territory Records Advisory Council </w:t>
            </w:r>
          </w:p>
        </w:tc>
        <w:tc>
          <w:tcPr>
            <w:tcW w:w="2812" w:type="dxa"/>
            <w:shd w:val="clear" w:color="auto" w:fill="auto"/>
          </w:tcPr>
          <w:p w14:paraId="00B492BD" w14:textId="1B6B861D" w:rsidR="009E484F" w:rsidRPr="0077128F" w:rsidRDefault="009E484F" w:rsidP="009E484F">
            <w:pPr>
              <w:rPr>
                <w:sz w:val="22"/>
                <w:szCs w:val="22"/>
                <w:lang w:eastAsia="en-AU"/>
              </w:rPr>
            </w:pPr>
            <w:r w:rsidRPr="0077128F">
              <w:rPr>
                <w:sz w:val="22"/>
                <w:szCs w:val="22"/>
                <w:lang w:eastAsia="en-AU"/>
              </w:rPr>
              <w:t xml:space="preserve">Chair </w:t>
            </w:r>
          </w:p>
          <w:p w14:paraId="5FCB6E97" w14:textId="0704D344"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779F230" w14:textId="1F67DC15" w:rsidR="009E484F" w:rsidRPr="0077128F" w:rsidRDefault="009E484F" w:rsidP="002C658A">
            <w:pPr>
              <w:jc w:val="center"/>
              <w:rPr>
                <w:bCs/>
                <w:sz w:val="22"/>
                <w:szCs w:val="22"/>
              </w:rPr>
            </w:pPr>
            <w:r w:rsidRPr="0077128F">
              <w:rPr>
                <w:bCs/>
                <w:sz w:val="22"/>
                <w:szCs w:val="22"/>
              </w:rPr>
              <w:t>$</w:t>
            </w:r>
            <w:r w:rsidR="00E2542D" w:rsidRPr="0077128F">
              <w:rPr>
                <w:bCs/>
                <w:sz w:val="22"/>
                <w:szCs w:val="22"/>
              </w:rPr>
              <w:t>7</w:t>
            </w:r>
            <w:r w:rsidR="00892F14">
              <w:rPr>
                <w:bCs/>
                <w:sz w:val="22"/>
                <w:szCs w:val="22"/>
              </w:rPr>
              <w:t>50</w:t>
            </w:r>
          </w:p>
          <w:p w14:paraId="1A5E799D" w14:textId="470B6B6F" w:rsidR="009E484F" w:rsidRPr="0077128F" w:rsidRDefault="008B2F59" w:rsidP="009A2312">
            <w:pPr>
              <w:jc w:val="center"/>
              <w:rPr>
                <w:bCs/>
                <w:sz w:val="22"/>
                <w:szCs w:val="22"/>
              </w:rPr>
            </w:pPr>
            <w:r w:rsidRPr="0077128F">
              <w:rPr>
                <w:bCs/>
                <w:sz w:val="22"/>
                <w:szCs w:val="22"/>
              </w:rPr>
              <w:t>$</w:t>
            </w:r>
            <w:r w:rsidR="00E2542D" w:rsidRPr="0077128F">
              <w:rPr>
                <w:bCs/>
                <w:sz w:val="22"/>
                <w:szCs w:val="22"/>
              </w:rPr>
              <w:t>5</w:t>
            </w:r>
            <w:r w:rsidR="00892F14">
              <w:rPr>
                <w:bCs/>
                <w:sz w:val="22"/>
                <w:szCs w:val="22"/>
              </w:rPr>
              <w:t>9</w:t>
            </w:r>
            <w:r w:rsidR="009A2312">
              <w:rPr>
                <w:bCs/>
                <w:sz w:val="22"/>
                <w:szCs w:val="22"/>
              </w:rPr>
              <w:t>0</w:t>
            </w:r>
          </w:p>
        </w:tc>
        <w:tc>
          <w:tcPr>
            <w:tcW w:w="1681" w:type="dxa"/>
            <w:gridSpan w:val="2"/>
          </w:tcPr>
          <w:p w14:paraId="7B2B7A40" w14:textId="77777777" w:rsidR="009E484F" w:rsidRPr="0077128F" w:rsidRDefault="002C658A" w:rsidP="002C658A">
            <w:pPr>
              <w:jc w:val="center"/>
              <w:rPr>
                <w:sz w:val="22"/>
                <w:szCs w:val="22"/>
                <w:lang w:eastAsia="en-AU"/>
              </w:rPr>
            </w:pPr>
            <w:r w:rsidRPr="0077128F">
              <w:rPr>
                <w:sz w:val="22"/>
                <w:szCs w:val="22"/>
                <w:lang w:eastAsia="en-AU"/>
              </w:rPr>
              <w:t>-</w:t>
            </w:r>
          </w:p>
          <w:p w14:paraId="08334183" w14:textId="22678814"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520D121" w14:textId="316503C0" w:rsidTr="0003415E">
        <w:trPr>
          <w:gridAfter w:val="1"/>
          <w:wAfter w:w="13" w:type="dxa"/>
          <w:trHeight w:val="300"/>
          <w:jc w:val="center"/>
        </w:trPr>
        <w:tc>
          <w:tcPr>
            <w:tcW w:w="2830" w:type="dxa"/>
            <w:shd w:val="clear" w:color="auto" w:fill="auto"/>
            <w:hideMark/>
          </w:tcPr>
          <w:p w14:paraId="5AA6CD9B" w14:textId="4DFDF331" w:rsidR="009E484F" w:rsidRPr="0077128F" w:rsidRDefault="009E484F" w:rsidP="009E484F">
            <w:pPr>
              <w:rPr>
                <w:sz w:val="22"/>
                <w:szCs w:val="22"/>
                <w:lang w:eastAsia="en-AU"/>
              </w:rPr>
            </w:pPr>
            <w:r w:rsidRPr="0077128F">
              <w:rPr>
                <w:sz w:val="22"/>
                <w:szCs w:val="22"/>
                <w:lang w:eastAsia="en-AU"/>
              </w:rPr>
              <w:t>Tree Advisory Panel</w:t>
            </w:r>
          </w:p>
        </w:tc>
        <w:tc>
          <w:tcPr>
            <w:tcW w:w="2812" w:type="dxa"/>
            <w:shd w:val="clear" w:color="auto" w:fill="auto"/>
            <w:hideMark/>
          </w:tcPr>
          <w:p w14:paraId="4C2A934B" w14:textId="5F298B2D" w:rsidR="009E484F" w:rsidRPr="0077128F" w:rsidRDefault="009E484F" w:rsidP="009E484F">
            <w:pPr>
              <w:rPr>
                <w:sz w:val="22"/>
                <w:szCs w:val="22"/>
                <w:lang w:eastAsia="en-AU"/>
              </w:rPr>
            </w:pPr>
            <w:r w:rsidRPr="0077128F">
              <w:rPr>
                <w:sz w:val="22"/>
                <w:szCs w:val="22"/>
                <w:lang w:eastAsia="en-AU"/>
              </w:rPr>
              <w:t xml:space="preserve">Chair </w:t>
            </w:r>
          </w:p>
          <w:p w14:paraId="186171E0" w14:textId="57CD35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F74F3F2" w14:textId="77777777" w:rsidR="00892F14" w:rsidRPr="0077128F" w:rsidRDefault="00892F14" w:rsidP="00892F14">
            <w:pPr>
              <w:jc w:val="center"/>
              <w:rPr>
                <w:bCs/>
                <w:sz w:val="22"/>
                <w:szCs w:val="22"/>
                <w:lang w:eastAsia="en-AU"/>
              </w:rPr>
            </w:pPr>
            <w:r w:rsidRPr="0077128F">
              <w:rPr>
                <w:bCs/>
                <w:sz w:val="22"/>
                <w:szCs w:val="22"/>
              </w:rPr>
              <w:t>$</w:t>
            </w:r>
            <w:r>
              <w:rPr>
                <w:bCs/>
                <w:sz w:val="22"/>
                <w:szCs w:val="22"/>
              </w:rPr>
              <w:t>590</w:t>
            </w:r>
          </w:p>
          <w:p w14:paraId="3E0B5DF8" w14:textId="24BF7DA2" w:rsidR="009E484F" w:rsidRPr="0077128F" w:rsidRDefault="00892F14" w:rsidP="00892F14">
            <w:pPr>
              <w:jc w:val="center"/>
              <w:rPr>
                <w:strike/>
                <w:sz w:val="22"/>
                <w:szCs w:val="22"/>
                <w:lang w:eastAsia="en-AU"/>
              </w:rPr>
            </w:pPr>
            <w:r w:rsidRPr="0077128F">
              <w:rPr>
                <w:bCs/>
                <w:sz w:val="22"/>
                <w:szCs w:val="22"/>
              </w:rPr>
              <w:t>$</w:t>
            </w:r>
            <w:r>
              <w:rPr>
                <w:bCs/>
                <w:sz w:val="22"/>
                <w:szCs w:val="22"/>
              </w:rPr>
              <w:t>505</w:t>
            </w:r>
          </w:p>
        </w:tc>
        <w:tc>
          <w:tcPr>
            <w:tcW w:w="1681" w:type="dxa"/>
            <w:gridSpan w:val="2"/>
          </w:tcPr>
          <w:p w14:paraId="78DC229B" w14:textId="77777777" w:rsidR="009E484F" w:rsidRPr="0077128F" w:rsidRDefault="002C658A" w:rsidP="002C658A">
            <w:pPr>
              <w:jc w:val="center"/>
              <w:rPr>
                <w:sz w:val="22"/>
                <w:szCs w:val="22"/>
                <w:lang w:eastAsia="en-AU"/>
              </w:rPr>
            </w:pPr>
            <w:r w:rsidRPr="0077128F">
              <w:rPr>
                <w:sz w:val="22"/>
                <w:szCs w:val="22"/>
                <w:lang w:eastAsia="en-AU"/>
              </w:rPr>
              <w:t>-</w:t>
            </w:r>
          </w:p>
          <w:p w14:paraId="0B4DA955" w14:textId="1F0740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6A61905" w14:textId="100950AA" w:rsidTr="0003415E">
        <w:trPr>
          <w:gridAfter w:val="1"/>
          <w:wAfter w:w="13" w:type="dxa"/>
          <w:trHeight w:val="70"/>
          <w:jc w:val="center"/>
        </w:trPr>
        <w:tc>
          <w:tcPr>
            <w:tcW w:w="2830" w:type="dxa"/>
            <w:shd w:val="clear" w:color="auto" w:fill="auto"/>
          </w:tcPr>
          <w:p w14:paraId="2C4AE3B1" w14:textId="77777777" w:rsidR="009E484F" w:rsidRPr="0077128F" w:rsidRDefault="009E484F" w:rsidP="009E484F">
            <w:pPr>
              <w:rPr>
                <w:sz w:val="22"/>
                <w:szCs w:val="22"/>
                <w:lang w:eastAsia="en-AU"/>
              </w:rPr>
            </w:pPr>
            <w:r w:rsidRPr="0077128F">
              <w:rPr>
                <w:sz w:val="22"/>
                <w:szCs w:val="22"/>
                <w:lang w:eastAsia="en-AU"/>
              </w:rPr>
              <w:t>Veterans’ Advisory Council</w:t>
            </w:r>
          </w:p>
        </w:tc>
        <w:tc>
          <w:tcPr>
            <w:tcW w:w="2812" w:type="dxa"/>
            <w:shd w:val="clear" w:color="auto" w:fill="auto"/>
          </w:tcPr>
          <w:p w14:paraId="500DBF3D" w14:textId="7685C9FD"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3A6E5B01" w14:textId="71CD791B" w:rsidR="009E484F" w:rsidRPr="0077128F" w:rsidRDefault="008B2F59" w:rsidP="009A2312">
            <w:pPr>
              <w:jc w:val="center"/>
              <w:rPr>
                <w:bCs/>
                <w:sz w:val="22"/>
                <w:szCs w:val="22"/>
              </w:rPr>
            </w:pPr>
            <w:r w:rsidRPr="0077128F">
              <w:rPr>
                <w:bCs/>
                <w:sz w:val="22"/>
                <w:szCs w:val="22"/>
              </w:rPr>
              <w:t>$5</w:t>
            </w:r>
            <w:r w:rsidR="00892F14">
              <w:rPr>
                <w:bCs/>
                <w:sz w:val="22"/>
                <w:szCs w:val="22"/>
              </w:rPr>
              <w:t>7</w:t>
            </w:r>
            <w:r w:rsidR="009A2312">
              <w:rPr>
                <w:bCs/>
                <w:sz w:val="22"/>
                <w:szCs w:val="22"/>
              </w:rPr>
              <w:t>0</w:t>
            </w:r>
          </w:p>
        </w:tc>
        <w:tc>
          <w:tcPr>
            <w:tcW w:w="1681" w:type="dxa"/>
            <w:gridSpan w:val="2"/>
          </w:tcPr>
          <w:p w14:paraId="506838AA" w14:textId="07C7557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B45F598" w14:textId="4952A05B" w:rsidTr="0003415E">
        <w:trPr>
          <w:gridAfter w:val="1"/>
          <w:wAfter w:w="13" w:type="dxa"/>
          <w:trHeight w:val="70"/>
          <w:jc w:val="center"/>
        </w:trPr>
        <w:tc>
          <w:tcPr>
            <w:tcW w:w="2830" w:type="dxa"/>
            <w:shd w:val="clear" w:color="auto" w:fill="auto"/>
            <w:hideMark/>
          </w:tcPr>
          <w:p w14:paraId="21441062" w14:textId="0E76E463" w:rsidR="009E484F" w:rsidRPr="0077128F" w:rsidRDefault="00813DE0" w:rsidP="009E484F">
            <w:pPr>
              <w:rPr>
                <w:sz w:val="22"/>
                <w:szCs w:val="22"/>
                <w:lang w:eastAsia="en-AU"/>
              </w:rPr>
            </w:pPr>
            <w:r w:rsidRPr="0077128F">
              <w:rPr>
                <w:sz w:val="22"/>
                <w:szCs w:val="22"/>
                <w:lang w:eastAsia="en-AU"/>
              </w:rPr>
              <w:t xml:space="preserve">Veterinary Practitioners </w:t>
            </w:r>
            <w:r w:rsidR="009E484F" w:rsidRPr="0077128F">
              <w:rPr>
                <w:sz w:val="22"/>
                <w:szCs w:val="22"/>
                <w:lang w:eastAsia="en-AU"/>
              </w:rPr>
              <w:t>Board</w:t>
            </w:r>
          </w:p>
        </w:tc>
        <w:tc>
          <w:tcPr>
            <w:tcW w:w="2812" w:type="dxa"/>
            <w:shd w:val="clear" w:color="auto" w:fill="auto"/>
            <w:hideMark/>
          </w:tcPr>
          <w:p w14:paraId="4B35322E" w14:textId="4E45DFD5" w:rsidR="009E484F" w:rsidRPr="0077128F" w:rsidRDefault="00BB0E2D" w:rsidP="009E484F">
            <w:pPr>
              <w:rPr>
                <w:sz w:val="22"/>
                <w:szCs w:val="22"/>
                <w:lang w:eastAsia="en-AU"/>
              </w:rPr>
            </w:pPr>
            <w:r w:rsidRPr="0077128F">
              <w:rPr>
                <w:sz w:val="22"/>
                <w:szCs w:val="22"/>
                <w:lang w:eastAsia="en-AU"/>
              </w:rPr>
              <w:t>President</w:t>
            </w:r>
          </w:p>
          <w:p w14:paraId="52D2D97D" w14:textId="54FE7140"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4B5685C5" w14:textId="77777777" w:rsidR="00892F14" w:rsidRPr="0077128F" w:rsidRDefault="00892F14" w:rsidP="00892F14">
            <w:pPr>
              <w:jc w:val="center"/>
              <w:rPr>
                <w:bCs/>
                <w:sz w:val="22"/>
                <w:szCs w:val="22"/>
                <w:lang w:eastAsia="en-AU"/>
              </w:rPr>
            </w:pPr>
            <w:r w:rsidRPr="0077128F">
              <w:rPr>
                <w:bCs/>
                <w:sz w:val="22"/>
                <w:szCs w:val="22"/>
              </w:rPr>
              <w:t>$</w:t>
            </w:r>
            <w:r>
              <w:rPr>
                <w:bCs/>
                <w:sz w:val="22"/>
                <w:szCs w:val="22"/>
              </w:rPr>
              <w:t>590</w:t>
            </w:r>
          </w:p>
          <w:p w14:paraId="4007188F" w14:textId="5156BCB1" w:rsidR="009E484F" w:rsidRPr="0077128F" w:rsidRDefault="00892F14" w:rsidP="00892F14">
            <w:pPr>
              <w:jc w:val="center"/>
              <w:rPr>
                <w:bCs/>
                <w:sz w:val="22"/>
                <w:szCs w:val="22"/>
              </w:rPr>
            </w:pPr>
            <w:r w:rsidRPr="0077128F">
              <w:rPr>
                <w:bCs/>
                <w:sz w:val="22"/>
                <w:szCs w:val="22"/>
              </w:rPr>
              <w:t>$</w:t>
            </w:r>
            <w:r>
              <w:rPr>
                <w:bCs/>
                <w:sz w:val="22"/>
                <w:szCs w:val="22"/>
              </w:rPr>
              <w:t>505</w:t>
            </w:r>
          </w:p>
        </w:tc>
        <w:tc>
          <w:tcPr>
            <w:tcW w:w="1681" w:type="dxa"/>
            <w:gridSpan w:val="2"/>
          </w:tcPr>
          <w:p w14:paraId="0526005C" w14:textId="1DE88C43" w:rsidR="009E484F" w:rsidRPr="0077128F" w:rsidRDefault="002C658A" w:rsidP="002C658A">
            <w:pPr>
              <w:jc w:val="center"/>
              <w:rPr>
                <w:sz w:val="22"/>
                <w:szCs w:val="22"/>
                <w:lang w:eastAsia="en-AU"/>
              </w:rPr>
            </w:pPr>
            <w:r w:rsidRPr="0077128F">
              <w:rPr>
                <w:sz w:val="22"/>
                <w:szCs w:val="22"/>
                <w:lang w:eastAsia="en-AU"/>
              </w:rPr>
              <w:t>-</w:t>
            </w:r>
          </w:p>
          <w:p w14:paraId="01DEB1A8" w14:textId="7D599A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A034ED2" w14:textId="57523167" w:rsidTr="0003415E">
        <w:trPr>
          <w:gridAfter w:val="1"/>
          <w:wAfter w:w="13" w:type="dxa"/>
          <w:trHeight w:val="70"/>
          <w:jc w:val="center"/>
        </w:trPr>
        <w:tc>
          <w:tcPr>
            <w:tcW w:w="2830" w:type="dxa"/>
            <w:shd w:val="clear" w:color="auto" w:fill="auto"/>
            <w:hideMark/>
          </w:tcPr>
          <w:p w14:paraId="71F0437E" w14:textId="022470A0" w:rsidR="009E484F" w:rsidRPr="0077128F" w:rsidRDefault="009E484F" w:rsidP="00813DE0">
            <w:pPr>
              <w:rPr>
                <w:sz w:val="22"/>
                <w:szCs w:val="22"/>
                <w:lang w:eastAsia="en-AU"/>
              </w:rPr>
            </w:pPr>
            <w:r w:rsidRPr="0077128F">
              <w:rPr>
                <w:sz w:val="22"/>
                <w:szCs w:val="22"/>
                <w:lang w:eastAsia="en-AU"/>
              </w:rPr>
              <w:t xml:space="preserve">Veterinary </w:t>
            </w:r>
            <w:r w:rsidR="00813DE0" w:rsidRPr="0077128F">
              <w:rPr>
                <w:sz w:val="22"/>
                <w:szCs w:val="22"/>
                <w:lang w:eastAsia="en-AU"/>
              </w:rPr>
              <w:t>Practitioners Committee</w:t>
            </w:r>
            <w:r w:rsidRPr="0077128F">
              <w:rPr>
                <w:sz w:val="22"/>
                <w:szCs w:val="22"/>
                <w:lang w:eastAsia="en-AU"/>
              </w:rPr>
              <w:t xml:space="preserve"> of Inquiry</w:t>
            </w:r>
          </w:p>
        </w:tc>
        <w:tc>
          <w:tcPr>
            <w:tcW w:w="2812" w:type="dxa"/>
            <w:shd w:val="clear" w:color="auto" w:fill="auto"/>
            <w:hideMark/>
          </w:tcPr>
          <w:p w14:paraId="295A2ECA" w14:textId="404B9697" w:rsidR="009E484F" w:rsidRPr="0077128F" w:rsidRDefault="009E484F" w:rsidP="009E484F">
            <w:pPr>
              <w:rPr>
                <w:sz w:val="22"/>
                <w:szCs w:val="22"/>
                <w:lang w:eastAsia="en-AU"/>
              </w:rPr>
            </w:pPr>
            <w:r w:rsidRPr="0077128F">
              <w:rPr>
                <w:sz w:val="22"/>
                <w:szCs w:val="22"/>
                <w:lang w:eastAsia="en-AU"/>
              </w:rPr>
              <w:t xml:space="preserve">Chair </w:t>
            </w:r>
          </w:p>
          <w:p w14:paraId="03C1B229" w14:textId="2EDCFFBD"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38DC79E7" w14:textId="7DD5AC98" w:rsidR="009E484F" w:rsidRPr="00264E6D" w:rsidRDefault="009E484F" w:rsidP="002C658A">
            <w:pPr>
              <w:jc w:val="center"/>
              <w:rPr>
                <w:bCs/>
                <w:sz w:val="22"/>
                <w:szCs w:val="22"/>
              </w:rPr>
            </w:pPr>
            <w:r w:rsidRPr="00264E6D">
              <w:rPr>
                <w:bCs/>
                <w:sz w:val="22"/>
                <w:szCs w:val="22"/>
              </w:rPr>
              <w:t>$</w:t>
            </w:r>
            <w:r w:rsidR="009A2312" w:rsidRPr="00264E6D">
              <w:rPr>
                <w:bCs/>
                <w:sz w:val="22"/>
                <w:szCs w:val="22"/>
              </w:rPr>
              <w:t>9</w:t>
            </w:r>
            <w:r w:rsidR="00892F14">
              <w:rPr>
                <w:bCs/>
                <w:sz w:val="22"/>
                <w:szCs w:val="22"/>
              </w:rPr>
              <w:t>2</w:t>
            </w:r>
            <w:r w:rsidR="009A2312" w:rsidRPr="00264E6D">
              <w:rPr>
                <w:bCs/>
                <w:sz w:val="22"/>
                <w:szCs w:val="22"/>
              </w:rPr>
              <w:t>5</w:t>
            </w:r>
          </w:p>
          <w:p w14:paraId="7D3D76CB" w14:textId="291E241F" w:rsidR="009E484F" w:rsidRPr="0077128F" w:rsidRDefault="008B2F59" w:rsidP="00264E6D">
            <w:pPr>
              <w:jc w:val="center"/>
              <w:rPr>
                <w:bCs/>
                <w:sz w:val="22"/>
                <w:szCs w:val="22"/>
              </w:rPr>
            </w:pPr>
            <w:r w:rsidRPr="00264E6D">
              <w:rPr>
                <w:bCs/>
                <w:sz w:val="22"/>
                <w:szCs w:val="22"/>
              </w:rPr>
              <w:t>$</w:t>
            </w:r>
            <w:r w:rsidR="00264E6D" w:rsidRPr="00264E6D">
              <w:rPr>
                <w:bCs/>
                <w:sz w:val="22"/>
                <w:szCs w:val="22"/>
              </w:rPr>
              <w:t>8</w:t>
            </w:r>
            <w:r w:rsidR="00892F14">
              <w:rPr>
                <w:bCs/>
                <w:sz w:val="22"/>
                <w:szCs w:val="22"/>
              </w:rPr>
              <w:t>3</w:t>
            </w:r>
            <w:r w:rsidR="00264E6D" w:rsidRPr="00264E6D">
              <w:rPr>
                <w:bCs/>
                <w:sz w:val="22"/>
                <w:szCs w:val="22"/>
              </w:rPr>
              <w:t>0</w:t>
            </w:r>
          </w:p>
        </w:tc>
        <w:tc>
          <w:tcPr>
            <w:tcW w:w="1681" w:type="dxa"/>
            <w:gridSpan w:val="2"/>
          </w:tcPr>
          <w:p w14:paraId="6AF995CF" w14:textId="77777777" w:rsidR="009E484F" w:rsidRPr="0077128F" w:rsidRDefault="002C658A" w:rsidP="002C658A">
            <w:pPr>
              <w:jc w:val="center"/>
              <w:rPr>
                <w:sz w:val="22"/>
                <w:szCs w:val="22"/>
                <w:lang w:eastAsia="en-AU"/>
              </w:rPr>
            </w:pPr>
            <w:r w:rsidRPr="0077128F">
              <w:rPr>
                <w:sz w:val="22"/>
                <w:szCs w:val="22"/>
                <w:lang w:eastAsia="en-AU"/>
              </w:rPr>
              <w:t>-</w:t>
            </w:r>
          </w:p>
          <w:p w14:paraId="073E1F2E" w14:textId="03F506F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20B945" w14:textId="33177F87" w:rsidTr="0003415E">
        <w:trPr>
          <w:gridAfter w:val="1"/>
          <w:wAfter w:w="13" w:type="dxa"/>
          <w:trHeight w:val="300"/>
          <w:jc w:val="center"/>
        </w:trPr>
        <w:tc>
          <w:tcPr>
            <w:tcW w:w="2830" w:type="dxa"/>
            <w:shd w:val="clear" w:color="auto" w:fill="auto"/>
          </w:tcPr>
          <w:p w14:paraId="13850337" w14:textId="77777777" w:rsidR="009E484F" w:rsidRPr="0077128F" w:rsidRDefault="009E484F" w:rsidP="009E484F">
            <w:pPr>
              <w:rPr>
                <w:sz w:val="22"/>
                <w:szCs w:val="22"/>
                <w:lang w:eastAsia="en-AU"/>
              </w:rPr>
            </w:pPr>
            <w:r w:rsidRPr="0077128F">
              <w:rPr>
                <w:sz w:val="22"/>
                <w:szCs w:val="22"/>
                <w:lang w:eastAsia="en-AU"/>
              </w:rPr>
              <w:t>Work Safety Council</w:t>
            </w:r>
          </w:p>
        </w:tc>
        <w:tc>
          <w:tcPr>
            <w:tcW w:w="2812" w:type="dxa"/>
            <w:shd w:val="clear" w:color="auto" w:fill="auto"/>
          </w:tcPr>
          <w:p w14:paraId="70D910FF" w14:textId="5FC7753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526DF36F" w14:textId="6FEF4857"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2784339D" w14:textId="35496280" w:rsidR="009E484F" w:rsidRPr="0077128F" w:rsidRDefault="001A41D1" w:rsidP="009A2312">
            <w:pPr>
              <w:jc w:val="center"/>
              <w:rPr>
                <w:bCs/>
                <w:sz w:val="22"/>
                <w:szCs w:val="22"/>
              </w:rPr>
            </w:pPr>
            <w:r w:rsidRPr="0077128F">
              <w:rPr>
                <w:bCs/>
                <w:sz w:val="22"/>
                <w:szCs w:val="22"/>
              </w:rPr>
              <w:t>$</w:t>
            </w:r>
            <w:r w:rsidR="007E64D2" w:rsidRPr="0077128F">
              <w:rPr>
                <w:bCs/>
                <w:sz w:val="22"/>
                <w:szCs w:val="22"/>
              </w:rPr>
              <w:t>2</w:t>
            </w:r>
            <w:r w:rsidR="00892F14">
              <w:rPr>
                <w:bCs/>
                <w:sz w:val="22"/>
                <w:szCs w:val="22"/>
              </w:rPr>
              <w:t>1</w:t>
            </w:r>
            <w:r w:rsidR="007E64D2" w:rsidRPr="0077128F">
              <w:rPr>
                <w:bCs/>
                <w:sz w:val="22"/>
                <w:szCs w:val="22"/>
              </w:rPr>
              <w:t>,</w:t>
            </w:r>
            <w:r w:rsidR="00892F14">
              <w:rPr>
                <w:bCs/>
                <w:sz w:val="22"/>
                <w:szCs w:val="22"/>
              </w:rPr>
              <w:t>12</w:t>
            </w:r>
            <w:r w:rsidR="009A2312">
              <w:rPr>
                <w:bCs/>
                <w:sz w:val="22"/>
                <w:szCs w:val="22"/>
              </w:rPr>
              <w:t>0</w:t>
            </w:r>
          </w:p>
        </w:tc>
      </w:tr>
      <w:tr w:rsidR="0077128F" w:rsidRPr="0077128F" w14:paraId="79D4FB3C" w14:textId="15BCD226" w:rsidTr="0003415E">
        <w:trPr>
          <w:gridAfter w:val="1"/>
          <w:wAfter w:w="13" w:type="dxa"/>
          <w:trHeight w:val="300"/>
          <w:jc w:val="center"/>
        </w:trPr>
        <w:tc>
          <w:tcPr>
            <w:tcW w:w="2830" w:type="dxa"/>
            <w:shd w:val="clear" w:color="auto" w:fill="auto"/>
            <w:hideMark/>
          </w:tcPr>
          <w:p w14:paraId="48AB3148" w14:textId="77777777" w:rsidR="009E484F" w:rsidRPr="0077128F" w:rsidRDefault="009E484F" w:rsidP="009E484F">
            <w:pPr>
              <w:rPr>
                <w:sz w:val="22"/>
                <w:szCs w:val="22"/>
                <w:lang w:eastAsia="en-AU"/>
              </w:rPr>
            </w:pPr>
            <w:r w:rsidRPr="0077128F">
              <w:rPr>
                <w:sz w:val="22"/>
                <w:szCs w:val="22"/>
                <w:lang w:eastAsia="en-AU"/>
              </w:rPr>
              <w:t>Youth Advisory Council</w:t>
            </w:r>
          </w:p>
        </w:tc>
        <w:tc>
          <w:tcPr>
            <w:tcW w:w="2812" w:type="dxa"/>
            <w:shd w:val="clear" w:color="auto" w:fill="auto"/>
            <w:hideMark/>
          </w:tcPr>
          <w:p w14:paraId="6A8E80A7" w14:textId="49981C5B"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77EA7D47" w14:textId="58E79526" w:rsidR="009E484F" w:rsidRPr="0077128F" w:rsidRDefault="008B2F59" w:rsidP="009A2312">
            <w:pPr>
              <w:jc w:val="center"/>
              <w:rPr>
                <w:bCs/>
                <w:sz w:val="22"/>
                <w:szCs w:val="22"/>
                <w:lang w:eastAsia="en-AU"/>
              </w:rPr>
            </w:pPr>
            <w:r w:rsidRPr="0077128F">
              <w:rPr>
                <w:bCs/>
                <w:sz w:val="22"/>
                <w:szCs w:val="22"/>
              </w:rPr>
              <w:t>$5</w:t>
            </w:r>
            <w:r w:rsidR="00892F14">
              <w:rPr>
                <w:bCs/>
                <w:sz w:val="22"/>
                <w:szCs w:val="22"/>
              </w:rPr>
              <w:t>9</w:t>
            </w:r>
            <w:r w:rsidR="009A2312">
              <w:rPr>
                <w:bCs/>
                <w:sz w:val="22"/>
                <w:szCs w:val="22"/>
              </w:rPr>
              <w:t>0</w:t>
            </w:r>
          </w:p>
        </w:tc>
        <w:tc>
          <w:tcPr>
            <w:tcW w:w="1681" w:type="dxa"/>
            <w:gridSpan w:val="2"/>
          </w:tcPr>
          <w:p w14:paraId="07D6B38E" w14:textId="2CFFE48A" w:rsidR="009E484F" w:rsidRPr="0077128F" w:rsidRDefault="002C658A" w:rsidP="002C658A">
            <w:pPr>
              <w:jc w:val="center"/>
              <w:rPr>
                <w:sz w:val="22"/>
                <w:szCs w:val="22"/>
                <w:lang w:eastAsia="en-AU"/>
              </w:rPr>
            </w:pPr>
            <w:r w:rsidRPr="0077128F">
              <w:rPr>
                <w:sz w:val="22"/>
                <w:szCs w:val="22"/>
                <w:lang w:eastAsia="en-AU"/>
              </w:rPr>
              <w:t>-</w:t>
            </w:r>
          </w:p>
        </w:tc>
      </w:tr>
    </w:tbl>
    <w:p w14:paraId="7AB7231B" w14:textId="0CC0AAC0" w:rsidR="001F0EA2" w:rsidRPr="00E074DF" w:rsidRDefault="001F0EA2" w:rsidP="00CD176E">
      <w:pPr>
        <w:pStyle w:val="Heading3"/>
        <w:numPr>
          <w:ilvl w:val="0"/>
          <w:numId w:val="0"/>
        </w:numPr>
        <w:spacing w:before="120"/>
        <w:rPr>
          <w:b w:val="0"/>
          <w:color w:val="000000" w:themeColor="text1"/>
          <w:sz w:val="22"/>
          <w:szCs w:val="22"/>
        </w:rPr>
      </w:pPr>
      <w:r w:rsidRPr="00E074DF">
        <w:rPr>
          <w:b w:val="0"/>
          <w:color w:val="000000" w:themeColor="text1"/>
          <w:sz w:val="22"/>
          <w:szCs w:val="22"/>
        </w:rPr>
        <w:t xml:space="preserve">*The remuneration of the Inspector of Correctional Services cannot </w:t>
      </w:r>
      <w:r w:rsidRPr="00264E6D">
        <w:rPr>
          <w:b w:val="0"/>
          <w:color w:val="000000" w:themeColor="text1"/>
          <w:sz w:val="22"/>
          <w:szCs w:val="22"/>
        </w:rPr>
        <w:t>exceed $</w:t>
      </w:r>
      <w:r w:rsidR="00FE0799">
        <w:rPr>
          <w:b w:val="0"/>
          <w:color w:val="000000" w:themeColor="text1"/>
          <w:sz w:val="22"/>
          <w:szCs w:val="22"/>
        </w:rPr>
        <w:t>238,765</w:t>
      </w:r>
      <w:r w:rsidRPr="00264E6D">
        <w:rPr>
          <w:b w:val="0"/>
          <w:color w:val="000000" w:themeColor="text1"/>
          <w:sz w:val="22"/>
          <w:szCs w:val="22"/>
        </w:rPr>
        <w:t xml:space="preserve"> per </w:t>
      </w:r>
      <w:r w:rsidRPr="00E074DF">
        <w:rPr>
          <w:b w:val="0"/>
          <w:color w:val="000000" w:themeColor="text1"/>
          <w:sz w:val="22"/>
          <w:szCs w:val="22"/>
        </w:rPr>
        <w:t>annum.</w:t>
      </w:r>
    </w:p>
    <w:p w14:paraId="5ECABBD1" w14:textId="59E57B16" w:rsidR="001F0EA2" w:rsidRPr="00CA6C52" w:rsidRDefault="00015F44" w:rsidP="001F0EA2">
      <w:pPr>
        <w:pStyle w:val="Heading3"/>
        <w:numPr>
          <w:ilvl w:val="1"/>
          <w:numId w:val="1"/>
        </w:numPr>
        <w:spacing w:before="120"/>
        <w:rPr>
          <w:b w:val="0"/>
          <w:szCs w:val="24"/>
        </w:rPr>
      </w:pPr>
      <w:r>
        <w:rPr>
          <w:b w:val="0"/>
          <w:color w:val="000000" w:themeColor="text1"/>
          <w:szCs w:val="24"/>
        </w:rPr>
        <w:t>A p</w:t>
      </w:r>
      <w:r w:rsidR="001F0EA2" w:rsidRPr="00B242F4">
        <w:rPr>
          <w:b w:val="0"/>
          <w:color w:val="000000" w:themeColor="text1"/>
          <w:szCs w:val="24"/>
        </w:rPr>
        <w:t xml:space="preserve">ublic </w:t>
      </w:r>
      <w:r w:rsidR="001F0EA2" w:rsidRPr="00E074DF">
        <w:rPr>
          <w:b w:val="0"/>
          <w:color w:val="000000" w:themeColor="text1"/>
          <w:szCs w:val="24"/>
        </w:rPr>
        <w:t xml:space="preserve">servant </w:t>
      </w:r>
      <w:r w:rsidR="009B10E0" w:rsidRPr="00E074DF">
        <w:rPr>
          <w:b w:val="0"/>
          <w:color w:val="000000" w:themeColor="text1"/>
          <w:szCs w:val="24"/>
        </w:rPr>
        <w:t>who</w:t>
      </w:r>
      <w:r w:rsidR="001F0EA2" w:rsidRPr="00E074DF">
        <w:rPr>
          <w:b w:val="0"/>
          <w:color w:val="000000" w:themeColor="text1"/>
          <w:szCs w:val="24"/>
        </w:rPr>
        <w:t xml:space="preserve"> serve</w:t>
      </w:r>
      <w:r>
        <w:rPr>
          <w:b w:val="0"/>
          <w:color w:val="000000" w:themeColor="text1"/>
          <w:szCs w:val="24"/>
        </w:rPr>
        <w:t>s</w:t>
      </w:r>
      <w:r w:rsidR="001F0EA2" w:rsidRPr="00E074DF">
        <w:rPr>
          <w:b w:val="0"/>
          <w:color w:val="000000" w:themeColor="text1"/>
          <w:szCs w:val="24"/>
        </w:rPr>
        <w:t xml:space="preserve"> as a Part-time Public Office Holder </w:t>
      </w:r>
      <w:r>
        <w:rPr>
          <w:b w:val="0"/>
          <w:color w:val="000000" w:themeColor="text1"/>
          <w:szCs w:val="24"/>
        </w:rPr>
        <w:t>is</w:t>
      </w:r>
      <w:r w:rsidRPr="00E074DF">
        <w:rPr>
          <w:b w:val="0"/>
          <w:color w:val="000000" w:themeColor="text1"/>
          <w:szCs w:val="24"/>
        </w:rPr>
        <w:t xml:space="preserve"> </w:t>
      </w:r>
      <w:r w:rsidR="001F0EA2" w:rsidRPr="00E074DF">
        <w:rPr>
          <w:b w:val="0"/>
          <w:color w:val="000000" w:themeColor="text1"/>
          <w:szCs w:val="24"/>
        </w:rPr>
        <w:t>not entitled to receive remuneration, allowances or entitlements provided in this Determination, unless in exceptional circumstances</w:t>
      </w:r>
      <w:r w:rsidR="001F0EA2"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w:t>
      </w:r>
      <w:proofErr w:type="gramStart"/>
      <w:r w:rsidRPr="00D62589">
        <w:t>Determination;</w:t>
      </w:r>
      <w:proofErr w:type="gramEnd"/>
      <w:r w:rsidRPr="00D62589">
        <w:t xml:space="preserve">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w:t>
      </w:r>
      <w:proofErr w:type="gramStart"/>
      <w:r>
        <w:t>day</w:t>
      </w:r>
      <w:r w:rsidRPr="00D62589">
        <w:t>;</w:t>
      </w:r>
      <w:proofErr w:type="gramEnd"/>
      <w:r w:rsidRPr="00D62589">
        <w:t xml:space="preserve"> </w:t>
      </w:r>
    </w:p>
    <w:p w14:paraId="013FB79F" w14:textId="4A5D6F85" w:rsidR="001F0EA2" w:rsidRDefault="001F0EA2" w:rsidP="001F0EA2">
      <w:pPr>
        <w:tabs>
          <w:tab w:val="left" w:pos="1134"/>
        </w:tabs>
        <w:spacing w:before="120" w:after="60"/>
        <w:ind w:left="1134" w:hanging="414"/>
      </w:pPr>
      <w:r w:rsidRPr="00D62589">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w:t>
      </w:r>
      <w:r w:rsidRPr="00C018B7">
        <w:rPr>
          <w:color w:val="000000" w:themeColor="text1"/>
        </w:rPr>
        <w:t xml:space="preserve">Preparation time spent by an office holder that the chairperson, nominated </w:t>
      </w:r>
      <w:r w:rsidR="005845A9" w:rsidRPr="00C018B7">
        <w:rPr>
          <w:color w:val="000000" w:themeColor="text1"/>
        </w:rPr>
        <w:t xml:space="preserve">presiding </w:t>
      </w:r>
      <w:r w:rsidRPr="00C018B7">
        <w:rPr>
          <w:color w:val="000000" w:themeColor="text1"/>
        </w:rPr>
        <w:t>officer (if applicable) or the authorised secretariat considers is excessive to normal preparation time may be treated as ‘business of the authority</w:t>
      </w:r>
      <w:proofErr w:type="gramStart"/>
      <w:r w:rsidRPr="00C018B7">
        <w:rPr>
          <w:color w:val="000000" w:themeColor="text1"/>
        </w:rPr>
        <w:t>’;</w:t>
      </w:r>
      <w:proofErr w:type="gramEnd"/>
      <w:r w:rsidRPr="00C018B7">
        <w:rPr>
          <w:color w:val="000000" w:themeColor="text1"/>
        </w:rPr>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t>
      </w:r>
      <w:proofErr w:type="gramStart"/>
      <w:r w:rsidRPr="00D62589">
        <w:t>warrants</w:t>
      </w:r>
      <w:proofErr w:type="gramEnd"/>
      <w:r w:rsidRPr="00D62589">
        <w:t xml:space="preserve">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lastRenderedPageBreak/>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499CC3C3" w14:textId="77777777" w:rsidR="001F0EA2" w:rsidRPr="00D62589" w:rsidRDefault="001F0EA2" w:rsidP="001F0EA2">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2AADAEC9" w14:textId="77777777" w:rsidR="00EE66E8" w:rsidRDefault="00EE66E8" w:rsidP="001F0EA2">
      <w:pPr>
        <w:rPr>
          <w:u w:val="single"/>
        </w:rPr>
      </w:pPr>
    </w:p>
    <w:p w14:paraId="1E0EE7E2" w14:textId="77777777" w:rsidR="001F0EA2" w:rsidRPr="00B94655" w:rsidRDefault="001F0EA2" w:rsidP="001F0EA2">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Pr>
          <w:u w:val="single"/>
        </w:rPr>
        <w:t xml:space="preserve">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B94655" w:rsidRDefault="001F0EA2" w:rsidP="001F0EA2">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Pr>
          <w:u w:val="single"/>
        </w:rPr>
        <w:t xml:space="preserve">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w:t>
      </w:r>
      <w:proofErr w:type="gramStart"/>
      <w:r w:rsidRPr="00D62589">
        <w:t>fee;</w:t>
      </w:r>
      <w:proofErr w:type="gramEnd"/>
      <w:r w:rsidRPr="00D62589">
        <w:t xml:space="preserv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w:t>
      </w:r>
      <w:proofErr w:type="gramStart"/>
      <w:r w:rsidRPr="00D62589">
        <w:t>fee;</w:t>
      </w:r>
      <w:proofErr w:type="gramEnd"/>
      <w:r w:rsidRPr="00D62589">
        <w:t xml:space="preserv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w:t>
      </w:r>
      <w:proofErr w:type="gramStart"/>
      <w:r w:rsidRPr="00D62589">
        <w:t>fee;</w:t>
      </w:r>
      <w:proofErr w:type="gramEnd"/>
      <w:r w:rsidRPr="00D62589">
        <w:t xml:space="preserv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lastRenderedPageBreak/>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w:t>
      </w:r>
      <w:proofErr w:type="gramStart"/>
      <w:r>
        <w:rPr>
          <w:sz w:val="18"/>
          <w:szCs w:val="18"/>
        </w:rPr>
        <w:t>two hour</w:t>
      </w:r>
      <w:proofErr w:type="gramEnd"/>
      <w:r>
        <w:rPr>
          <w:sz w:val="18"/>
          <w:szCs w:val="18"/>
        </w:rPr>
        <w:t xml:space="preserve">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B94655" w:rsidRDefault="001F0EA2" w:rsidP="001F0EA2">
      <w:pPr>
        <w:rPr>
          <w:u w:val="single"/>
        </w:rPr>
      </w:pPr>
      <w:r w:rsidRPr="00B94655">
        <w:rPr>
          <w:u w:val="single"/>
        </w:rPr>
        <w:t xml:space="preserve">Work </w:t>
      </w:r>
      <w:r>
        <w:rPr>
          <w:u w:val="single"/>
        </w:rPr>
        <w:t xml:space="preserve">aggregate periods </w:t>
      </w:r>
      <w:r w:rsidRPr="00B94655">
        <w:rPr>
          <w:u w:val="single"/>
        </w:rPr>
        <w:t>consisting of less than three hours</w:t>
      </w:r>
      <w:r>
        <w:rPr>
          <w:u w:val="single"/>
        </w:rPr>
        <w:t xml:space="preserve">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975F2B" w:rsidRDefault="001F0EA2" w:rsidP="001F0EA2">
      <w:pPr>
        <w:spacing w:before="120" w:after="60"/>
        <w:ind w:left="720" w:hanging="11"/>
        <w:rPr>
          <w:u w:val="single"/>
        </w:rPr>
      </w:pPr>
      <w:r w:rsidRPr="00975F2B">
        <w:rPr>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lastRenderedPageBreak/>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26D4104C" w14:textId="6F9CD568" w:rsidR="001F0EA2" w:rsidRPr="0075183B" w:rsidRDefault="001F0EA2" w:rsidP="001F0EA2">
      <w:pPr>
        <w:spacing w:before="120" w:after="60"/>
        <w:ind w:left="709" w:hanging="709"/>
      </w:pPr>
      <w:r w:rsidRPr="008879E2">
        <w:rPr>
          <w:color w:val="000000" w:themeColor="text1"/>
        </w:rPr>
        <w:t xml:space="preserve">5.2 </w:t>
      </w:r>
      <w:r w:rsidRPr="008879E2">
        <w:rPr>
          <w:color w:val="000000" w:themeColor="text1"/>
        </w:rPr>
        <w:tab/>
      </w:r>
      <w:r w:rsidRPr="008879E2">
        <w:rPr>
          <w:color w:val="000000" w:themeColor="text1"/>
          <w:szCs w:val="24"/>
        </w:rPr>
        <w:t xml:space="preserve">For a person, appointed to an office </w:t>
      </w:r>
      <w:r w:rsidR="00912464" w:rsidRPr="008879E2">
        <w:rPr>
          <w:color w:val="000000" w:themeColor="text1"/>
          <w:szCs w:val="24"/>
        </w:rPr>
        <w:t xml:space="preserve">listed </w:t>
      </w:r>
      <w:r w:rsidRPr="008879E2">
        <w:rPr>
          <w:color w:val="000000" w:themeColor="text1"/>
          <w:szCs w:val="24"/>
        </w:rPr>
        <w:t xml:space="preserve">in </w:t>
      </w:r>
      <w:r>
        <w:rPr>
          <w:szCs w:val="24"/>
        </w:rPr>
        <w:t>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081F53F" w14:textId="77777777" w:rsidR="001F0EA2" w:rsidRDefault="001F0EA2" w:rsidP="001F0EA2">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04AA503A" w14:textId="77777777" w:rsidR="001F0EA2" w:rsidRDefault="001F0EA2" w:rsidP="001F0EA2">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4D4687C" w14:textId="230F3B98" w:rsidR="001F0EA2" w:rsidRPr="008879E2" w:rsidRDefault="001F0EA2" w:rsidP="001F0EA2">
      <w:pPr>
        <w:spacing w:before="120" w:after="60"/>
        <w:ind w:left="709" w:hanging="709"/>
        <w:rPr>
          <w:color w:val="000000" w:themeColor="text1"/>
        </w:rPr>
      </w:pPr>
      <w:r>
        <w:t>5.3</w:t>
      </w:r>
      <w:r w:rsidRPr="00D62589">
        <w:t xml:space="preserve"> </w:t>
      </w:r>
      <w:r w:rsidRPr="00D62589">
        <w:tab/>
      </w:r>
      <w:r>
        <w:rPr>
          <w:szCs w:val="24"/>
        </w:rPr>
        <w:t xml:space="preserve">For a person, appointed to an </w:t>
      </w:r>
      <w:r w:rsidRPr="008879E2">
        <w:rPr>
          <w:color w:val="000000" w:themeColor="text1"/>
          <w:szCs w:val="24"/>
        </w:rPr>
        <w:t xml:space="preserve">office </w:t>
      </w:r>
      <w:r w:rsidR="00912464" w:rsidRPr="008879E2">
        <w:rPr>
          <w:color w:val="000000" w:themeColor="text1"/>
          <w:szCs w:val="24"/>
        </w:rPr>
        <w:t xml:space="preserve">listed </w:t>
      </w:r>
      <w:r w:rsidRPr="008879E2">
        <w:rPr>
          <w:color w:val="000000" w:themeColor="text1"/>
          <w:szCs w:val="24"/>
        </w:rPr>
        <w:t xml:space="preserve">in clause 2 of this Determination, who </w:t>
      </w:r>
      <w:r w:rsidRPr="008879E2">
        <w:rPr>
          <w:color w:val="000000" w:themeColor="text1"/>
        </w:rPr>
        <w:t xml:space="preserve">is not </w:t>
      </w:r>
      <w:r w:rsidRPr="008879E2">
        <w:rPr>
          <w:color w:val="000000" w:themeColor="text1"/>
          <w:szCs w:val="24"/>
        </w:rPr>
        <w:t>currently</w:t>
      </w:r>
      <w:r w:rsidRPr="008879E2">
        <w:rPr>
          <w:color w:val="000000" w:themeColor="text1"/>
        </w:rPr>
        <w:t xml:space="preserve"> a member of the CSS or PSS but was a member of the PSS Accumulation Plan (</w:t>
      </w:r>
      <w:proofErr w:type="spellStart"/>
      <w:r w:rsidRPr="008879E2">
        <w:rPr>
          <w:color w:val="000000" w:themeColor="text1"/>
        </w:rPr>
        <w:t>PSSap</w:t>
      </w:r>
      <w:proofErr w:type="spellEnd"/>
      <w:r w:rsidRPr="008879E2">
        <w:rPr>
          <w:color w:val="000000" w:themeColor="text1"/>
        </w:rPr>
        <w:t>) until it closed to the Territory on 30 June 2006, and has maintained continuous employment with the Territory:</w:t>
      </w:r>
    </w:p>
    <w:p w14:paraId="33B9255B" w14:textId="77777777" w:rsidR="001F0EA2" w:rsidRPr="008879E2" w:rsidRDefault="001F0EA2" w:rsidP="009C2F2E">
      <w:pPr>
        <w:numPr>
          <w:ilvl w:val="2"/>
          <w:numId w:val="15"/>
        </w:numPr>
        <w:tabs>
          <w:tab w:val="clear" w:pos="720"/>
          <w:tab w:val="num" w:pos="1440"/>
        </w:tabs>
        <w:spacing w:before="120" w:after="60"/>
        <w:ind w:left="1080" w:hanging="360"/>
        <w:rPr>
          <w:color w:val="000000" w:themeColor="text1"/>
        </w:rPr>
      </w:pPr>
      <w:r w:rsidRPr="008879E2">
        <w:rPr>
          <w:color w:val="000000" w:themeColor="text1"/>
        </w:rPr>
        <w:t>the value of the employer’s superannuation contribution is a notional 16% of the base remuneration as provided in clause 2 of this Determination; and</w:t>
      </w:r>
    </w:p>
    <w:p w14:paraId="60DAD266" w14:textId="77777777" w:rsidR="001F0EA2" w:rsidRPr="008879E2" w:rsidRDefault="001F0EA2" w:rsidP="001F0EA2">
      <w:pPr>
        <w:numPr>
          <w:ilvl w:val="2"/>
          <w:numId w:val="1"/>
        </w:numPr>
        <w:tabs>
          <w:tab w:val="clear" w:pos="720"/>
          <w:tab w:val="num" w:pos="1440"/>
        </w:tabs>
        <w:spacing w:before="120" w:after="60"/>
        <w:ind w:left="1080" w:hanging="360"/>
        <w:rPr>
          <w:color w:val="000000" w:themeColor="text1"/>
        </w:rPr>
      </w:pPr>
      <w:r w:rsidRPr="008879E2">
        <w:rPr>
          <w:color w:val="000000" w:themeColor="text1"/>
        </w:rPr>
        <w:t>the employer will contribute that amount to an agreed superannuation fund nominated by the person appointed to an office in clause 2 of this Determination.</w:t>
      </w:r>
    </w:p>
    <w:p w14:paraId="45C671B0" w14:textId="095647B7" w:rsidR="001F0EA2" w:rsidRPr="00C018B7" w:rsidRDefault="001F0EA2" w:rsidP="001F0EA2">
      <w:pPr>
        <w:spacing w:before="120" w:after="60"/>
        <w:ind w:left="709" w:hanging="709"/>
        <w:rPr>
          <w:color w:val="000000" w:themeColor="text1"/>
        </w:rPr>
      </w:pPr>
      <w:r w:rsidRPr="008879E2">
        <w:rPr>
          <w:color w:val="000000" w:themeColor="text1"/>
        </w:rPr>
        <w:t xml:space="preserve">5.4 </w:t>
      </w:r>
      <w:r w:rsidRPr="008879E2">
        <w:rPr>
          <w:color w:val="000000" w:themeColor="text1"/>
        </w:rPr>
        <w:tab/>
      </w:r>
      <w:r w:rsidRPr="00E074DF">
        <w:rPr>
          <w:color w:val="000000" w:themeColor="text1"/>
        </w:rPr>
        <w:t xml:space="preserve">For a person, appointed to an office </w:t>
      </w:r>
      <w:r w:rsidR="00912464" w:rsidRPr="00E074DF">
        <w:rPr>
          <w:color w:val="000000" w:themeColor="text1"/>
        </w:rPr>
        <w:t xml:space="preserve">listed </w:t>
      </w:r>
      <w:r w:rsidRPr="00E074DF">
        <w:rPr>
          <w:color w:val="000000" w:themeColor="text1"/>
        </w:rPr>
        <w:t xml:space="preserve">in clause 2 of this Determination, who is a member of any other superannuation fund, the employer’s superannuation contribution is to </w:t>
      </w:r>
      <w:r w:rsidRPr="00C018B7">
        <w:rPr>
          <w:color w:val="000000" w:themeColor="text1"/>
        </w:rPr>
        <w:t xml:space="preserve">be made at a rate </w:t>
      </w:r>
      <w:r w:rsidR="00774447" w:rsidRPr="00C018B7">
        <w:rPr>
          <w:color w:val="000000" w:themeColor="text1"/>
        </w:rPr>
        <w:t>equivalent to</w:t>
      </w:r>
      <w:r w:rsidRPr="00C018B7">
        <w:rPr>
          <w:color w:val="000000" w:themeColor="text1"/>
        </w:rPr>
        <w:t xml:space="preserve"> the Employer Superannuation Guarantee Charge Percentage as provided by the </w:t>
      </w:r>
      <w:r w:rsidRPr="00C018B7">
        <w:rPr>
          <w:i/>
          <w:color w:val="000000" w:themeColor="text1"/>
        </w:rPr>
        <w:t>Superannuation Guarantee (Administration) Act 1992</w:t>
      </w:r>
      <w:r w:rsidRPr="00C018B7">
        <w:rPr>
          <w:color w:val="000000" w:themeColor="text1"/>
        </w:rPr>
        <w:t>.</w:t>
      </w:r>
    </w:p>
    <w:p w14:paraId="7EC3E695" w14:textId="066C7F89" w:rsidR="00264E6D" w:rsidRPr="00C018B7" w:rsidRDefault="00264E6D" w:rsidP="00264E6D">
      <w:pPr>
        <w:pStyle w:val="ColorfulList-Accent11"/>
        <w:tabs>
          <w:tab w:val="left" w:pos="426"/>
        </w:tabs>
        <w:spacing w:before="120" w:after="60"/>
        <w:ind w:left="709"/>
        <w:rPr>
          <w:color w:val="000000" w:themeColor="text1"/>
          <w:sz w:val="20"/>
        </w:rPr>
      </w:pPr>
      <w:r w:rsidRPr="00C018B7">
        <w:rPr>
          <w:color w:val="000000" w:themeColor="text1"/>
          <w:sz w:val="20"/>
        </w:rPr>
        <w:t>Note: at the commencement of this Determination, the Employer Superannuation Guarantee Charge Percentage is 10</w:t>
      </w:r>
      <w:r w:rsidR="00CB2D66">
        <w:rPr>
          <w:color w:val="000000" w:themeColor="text1"/>
          <w:sz w:val="20"/>
        </w:rPr>
        <w:t>.5</w:t>
      </w:r>
      <w:r w:rsidRPr="00C018B7">
        <w:rPr>
          <w:color w:val="000000" w:themeColor="text1"/>
          <w:sz w:val="20"/>
        </w:rPr>
        <w:t>% and increases to 1</w:t>
      </w:r>
      <w:r w:rsidR="00CB2D66">
        <w:rPr>
          <w:color w:val="000000" w:themeColor="text1"/>
          <w:sz w:val="20"/>
        </w:rPr>
        <w:t>1</w:t>
      </w:r>
      <w:r w:rsidRPr="00C018B7">
        <w:rPr>
          <w:color w:val="000000" w:themeColor="text1"/>
          <w:sz w:val="20"/>
        </w:rPr>
        <w:t>% on 1 July 202</w:t>
      </w:r>
      <w:r w:rsidR="00CB2D66">
        <w:rPr>
          <w:color w:val="000000" w:themeColor="text1"/>
          <w:sz w:val="20"/>
        </w:rPr>
        <w:t>3</w:t>
      </w:r>
      <w:r w:rsidRPr="00C018B7">
        <w:rPr>
          <w:color w:val="000000" w:themeColor="text1"/>
          <w:sz w:val="20"/>
        </w:rPr>
        <w:t>.</w:t>
      </w:r>
    </w:p>
    <w:p w14:paraId="43E18EF8" w14:textId="53A1B90F" w:rsidR="00B353FA" w:rsidRPr="00C018B7" w:rsidRDefault="001F0EA2" w:rsidP="00CB2D66">
      <w:pPr>
        <w:spacing w:before="120" w:after="60"/>
        <w:ind w:left="709" w:hanging="709"/>
        <w:rPr>
          <w:color w:val="000000" w:themeColor="text1"/>
        </w:rPr>
      </w:pPr>
      <w:r w:rsidRPr="00E074DF">
        <w:rPr>
          <w:color w:val="000000" w:themeColor="text1"/>
        </w:rPr>
        <w:t xml:space="preserve">5.5 </w:t>
      </w:r>
      <w:r w:rsidRPr="00E074DF">
        <w:rPr>
          <w:color w:val="000000" w:themeColor="text1"/>
        </w:rPr>
        <w:tab/>
      </w:r>
      <w:r w:rsidR="00B353FA" w:rsidRPr="00E074DF">
        <w:rPr>
          <w:color w:val="000000" w:themeColor="text1"/>
        </w:rPr>
        <w:t>The employer provides an additional employer superannuation contribution.</w:t>
      </w:r>
      <w:r w:rsidR="00BE5B36" w:rsidRPr="00E074DF">
        <w:rPr>
          <w:color w:val="000000" w:themeColor="text1"/>
        </w:rPr>
        <w:t xml:space="preserve"> The </w:t>
      </w:r>
      <w:r w:rsidR="00B353FA" w:rsidRPr="00C018B7">
        <w:rPr>
          <w:color w:val="000000" w:themeColor="text1"/>
        </w:rPr>
        <w:t xml:space="preserve">additional </w:t>
      </w:r>
      <w:r w:rsidR="00BE5B36" w:rsidRPr="00C018B7">
        <w:rPr>
          <w:color w:val="000000" w:themeColor="text1"/>
        </w:rPr>
        <w:t xml:space="preserve">employer superannuation contribution </w:t>
      </w:r>
      <w:r w:rsidR="00B353FA" w:rsidRPr="00C018B7">
        <w:rPr>
          <w:color w:val="000000" w:themeColor="text1"/>
        </w:rPr>
        <w:t xml:space="preserve">is the same rate provided under </w:t>
      </w:r>
      <w:r w:rsidR="00AE696C" w:rsidRPr="00C018B7">
        <w:rPr>
          <w:color w:val="000000" w:themeColor="text1"/>
        </w:rPr>
        <w:t xml:space="preserve">clause </w:t>
      </w:r>
      <w:r w:rsidR="00B353FA" w:rsidRPr="00C018B7">
        <w:rPr>
          <w:color w:val="000000" w:themeColor="text1"/>
        </w:rPr>
        <w:t xml:space="preserve">D7 </w:t>
      </w:r>
      <w:r w:rsidR="00264E6D" w:rsidRPr="00C018B7">
        <w:rPr>
          <w:color w:val="000000" w:themeColor="text1"/>
        </w:rPr>
        <w:t xml:space="preserve">in the </w:t>
      </w:r>
      <w:r w:rsidR="00264E6D" w:rsidRPr="00C018B7">
        <w:rPr>
          <w:i/>
          <w:color w:val="000000" w:themeColor="text1"/>
        </w:rPr>
        <w:t>ACT Public Sector Administrative and Related Classifications Enterprise Agreement 2021-2022</w:t>
      </w:r>
      <w:r w:rsidR="00264E6D" w:rsidRPr="00C018B7">
        <w:rPr>
          <w:color w:val="000000" w:themeColor="text1"/>
        </w:rPr>
        <w:t xml:space="preserve"> </w:t>
      </w:r>
      <w:r w:rsidR="00CB2D66">
        <w:rPr>
          <w:color w:val="000000" w:themeColor="text1"/>
        </w:rPr>
        <w:t>or its replacement</w:t>
      </w:r>
      <w:r w:rsidR="00264E6D" w:rsidRPr="00C018B7">
        <w:rPr>
          <w:color w:val="000000" w:themeColor="text1"/>
        </w:rPr>
        <w:t>.</w:t>
      </w:r>
    </w:p>
    <w:p w14:paraId="667A96AD" w14:textId="3A55B785" w:rsidR="001F0EA2" w:rsidRPr="00C018B7" w:rsidRDefault="001F0EA2" w:rsidP="001F0EA2">
      <w:pPr>
        <w:spacing w:before="120" w:after="60"/>
        <w:ind w:left="709" w:hanging="709"/>
        <w:rPr>
          <w:color w:val="000000" w:themeColor="text1"/>
        </w:rPr>
      </w:pPr>
      <w:r w:rsidRPr="00C018B7">
        <w:rPr>
          <w:color w:val="000000" w:themeColor="text1"/>
        </w:rPr>
        <w:t xml:space="preserve">5.6 </w:t>
      </w:r>
      <w:r w:rsidRPr="00C018B7">
        <w:rPr>
          <w:color w:val="000000" w:themeColor="text1"/>
        </w:rPr>
        <w:tab/>
        <w:t xml:space="preserve">In respect of a person appointed to an office </w:t>
      </w:r>
      <w:r w:rsidR="00BE5B36" w:rsidRPr="00C018B7">
        <w:rPr>
          <w:color w:val="000000" w:themeColor="text1"/>
        </w:rPr>
        <w:t xml:space="preserve">listed </w:t>
      </w:r>
      <w:r w:rsidRPr="00C018B7">
        <w:rPr>
          <w:color w:val="000000" w:themeColor="text1"/>
        </w:rPr>
        <w:t xml:space="preserve">in clause 2 of this Determination, who </w:t>
      </w:r>
      <w:r w:rsidR="009B10E0" w:rsidRPr="00C018B7">
        <w:rPr>
          <w:color w:val="000000" w:themeColor="text1"/>
        </w:rPr>
        <w:t>is</w:t>
      </w:r>
      <w:r w:rsidRPr="00C018B7">
        <w:rPr>
          <w:color w:val="000000" w:themeColor="text1"/>
        </w:rPr>
        <w:t xml:space="preserve"> not</w:t>
      </w:r>
      <w:r w:rsidR="009B10E0" w:rsidRPr="00C018B7">
        <w:rPr>
          <w:color w:val="000000" w:themeColor="text1"/>
        </w:rPr>
        <w:t xml:space="preserve"> a</w:t>
      </w:r>
      <w:r w:rsidRPr="00C018B7">
        <w:rPr>
          <w:color w:val="000000" w:themeColor="text1"/>
        </w:rPr>
        <w:t xml:space="preserve"> CSS or PSS member:</w:t>
      </w:r>
    </w:p>
    <w:p w14:paraId="07F3510E" w14:textId="3E788E97" w:rsidR="001F0EA2" w:rsidRPr="00C018B7" w:rsidRDefault="00264E6D" w:rsidP="009C2F2E">
      <w:pPr>
        <w:pStyle w:val="ColorfulList-Accent11"/>
        <w:numPr>
          <w:ilvl w:val="0"/>
          <w:numId w:val="13"/>
        </w:numPr>
        <w:spacing w:before="120" w:after="60"/>
        <w:contextualSpacing w:val="0"/>
        <w:rPr>
          <w:color w:val="000000" w:themeColor="text1"/>
        </w:rPr>
      </w:pPr>
      <w:r w:rsidRPr="00C018B7">
        <w:rPr>
          <w:color w:val="000000" w:themeColor="text1"/>
        </w:rPr>
        <w:t xml:space="preserve">for each pay period </w:t>
      </w:r>
      <w:r w:rsidR="007513ED">
        <w:rPr>
          <w:color w:val="000000" w:themeColor="text1"/>
        </w:rPr>
        <w:t xml:space="preserve">in which </w:t>
      </w:r>
      <w:r w:rsidR="001F0EA2" w:rsidRPr="00C018B7">
        <w:rPr>
          <w:color w:val="000000" w:themeColor="text1"/>
        </w:rPr>
        <w:t xml:space="preserve">the person contributes 3% or more of their base remuneration to </w:t>
      </w:r>
      <w:r w:rsidRPr="00C018B7">
        <w:rPr>
          <w:color w:val="000000" w:themeColor="text1"/>
        </w:rPr>
        <w:t xml:space="preserve">their nominated </w:t>
      </w:r>
      <w:r w:rsidR="001F0EA2" w:rsidRPr="00C018B7">
        <w:rPr>
          <w:color w:val="000000" w:themeColor="text1"/>
        </w:rPr>
        <w:t>superannuation fund in the form of employee contributions</w:t>
      </w:r>
      <w:r w:rsidRPr="00C018B7">
        <w:rPr>
          <w:color w:val="000000" w:themeColor="text1"/>
        </w:rPr>
        <w:t xml:space="preserve"> (either in pre or post tax dollars)</w:t>
      </w:r>
      <w:r w:rsidR="001F0EA2" w:rsidRPr="00C018B7">
        <w:rPr>
          <w:color w:val="000000" w:themeColor="text1"/>
        </w:rPr>
        <w:t xml:space="preserve">, the Territory will contribute an additional 1% employer superannuation contribution </w:t>
      </w:r>
      <w:r w:rsidRPr="00C018B7">
        <w:rPr>
          <w:color w:val="000000" w:themeColor="text1"/>
        </w:rPr>
        <w:t xml:space="preserve">pro-rata per pay </w:t>
      </w:r>
      <w:r w:rsidR="001F0EA2" w:rsidRPr="00C018B7">
        <w:rPr>
          <w:color w:val="000000" w:themeColor="text1"/>
        </w:rPr>
        <w:t xml:space="preserve">above the </w:t>
      </w:r>
      <w:r w:rsidRPr="00C018B7">
        <w:rPr>
          <w:color w:val="000000" w:themeColor="text1"/>
        </w:rPr>
        <w:lastRenderedPageBreak/>
        <w:t>entitlement</w:t>
      </w:r>
      <w:r w:rsidR="001F0EA2" w:rsidRPr="00C018B7">
        <w:rPr>
          <w:color w:val="000000" w:themeColor="text1"/>
        </w:rPr>
        <w:t xml:space="preserve"> in clause 5.5</w:t>
      </w:r>
      <w:r w:rsidRPr="00C018B7">
        <w:rPr>
          <w:color w:val="000000" w:themeColor="text1"/>
        </w:rPr>
        <w:t>, based on the person’s gross fortnightly OTE (or other methods where prescribed by the nominated superannuation fund rules).</w:t>
      </w:r>
    </w:p>
    <w:p w14:paraId="5CC92152" w14:textId="50BACD6F" w:rsidR="00264E6D" w:rsidRPr="00C018B7" w:rsidRDefault="00264E6D" w:rsidP="00264E6D">
      <w:pPr>
        <w:spacing w:before="80" w:after="60"/>
        <w:ind w:left="709" w:hanging="709"/>
        <w:rPr>
          <w:color w:val="000000" w:themeColor="text1"/>
        </w:rPr>
      </w:pPr>
      <w:r w:rsidRPr="00C018B7">
        <w:rPr>
          <w:color w:val="000000" w:themeColor="text1"/>
        </w:rPr>
        <w:t xml:space="preserve">5.7 </w:t>
      </w:r>
      <w:r w:rsidRPr="00C018B7">
        <w:rPr>
          <w:color w:val="000000" w:themeColor="text1"/>
        </w:rPr>
        <w:tab/>
        <w:t xml:space="preserve">If the legislated minimum Superannuation Guarantee rate mentioned in clause 5.4 of this Determination is increased, it will be absorbed by the additional employer contribution provided in clause </w:t>
      </w:r>
      <w:proofErr w:type="gramStart"/>
      <w:r w:rsidRPr="00C018B7">
        <w:rPr>
          <w:color w:val="000000" w:themeColor="text1"/>
        </w:rPr>
        <w:t>5.5, but</w:t>
      </w:r>
      <w:proofErr w:type="gramEnd"/>
      <w:r w:rsidRPr="00C018B7">
        <w:rPr>
          <w:color w:val="000000" w:themeColor="text1"/>
        </w:rPr>
        <w:t xml:space="preserve"> will not affect the entitlement in clause 5.6.</w:t>
      </w:r>
    </w:p>
    <w:p w14:paraId="1C793046" w14:textId="14760446" w:rsidR="001F0EA2" w:rsidRPr="00E074DF" w:rsidRDefault="00264E6D" w:rsidP="001F0EA2">
      <w:pPr>
        <w:spacing w:before="120" w:after="60"/>
        <w:ind w:left="709" w:hanging="709"/>
        <w:rPr>
          <w:color w:val="000000" w:themeColor="text1"/>
        </w:rPr>
      </w:pPr>
      <w:r>
        <w:rPr>
          <w:color w:val="000000" w:themeColor="text1"/>
        </w:rPr>
        <w:t>5.8</w:t>
      </w:r>
      <w:r w:rsidR="001F0EA2" w:rsidRPr="00E074DF">
        <w:rPr>
          <w:color w:val="000000" w:themeColor="text1"/>
        </w:rPr>
        <w:t xml:space="preserve"> </w:t>
      </w:r>
      <w:r w:rsidR="001F0EA2" w:rsidRPr="00E074DF">
        <w:rPr>
          <w:color w:val="000000" w:themeColor="text1"/>
        </w:rPr>
        <w:tab/>
        <w:t>The</w:t>
      </w:r>
      <w:r w:rsidR="001F0EA2" w:rsidRPr="00E074DF">
        <w:rPr>
          <w:color w:val="000000" w:themeColor="text1"/>
          <w:lang w:val="en-US"/>
        </w:rPr>
        <w:t xml:space="preserve"> </w:t>
      </w:r>
      <w:r w:rsidR="001F0EA2" w:rsidRPr="00E074DF">
        <w:rPr>
          <w:color w:val="000000" w:themeColor="text1"/>
        </w:rPr>
        <w:t xml:space="preserve">value of the employer’s superannuation contribution must not be paid in cash to </w:t>
      </w:r>
      <w:r w:rsidR="001F0EA2"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001F0EA2" w:rsidRPr="00E074DF">
        <w:rPr>
          <w:color w:val="000000" w:themeColor="text1"/>
          <w:szCs w:val="24"/>
        </w:rPr>
        <w:t xml:space="preserve"> in clause 2 of this Determination</w:t>
      </w:r>
      <w:r w:rsidR="001F0EA2"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r>
        <w:t xml:space="preserve">means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4"/>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6F24E8F4" w:rsidR="001F0EA2" w:rsidRPr="00EA04F4" w:rsidRDefault="001F0EA2" w:rsidP="001F0EA2">
      <w:pPr>
        <w:spacing w:before="80" w:after="60"/>
        <w:ind w:left="709" w:hanging="709"/>
      </w:pPr>
      <w:r>
        <w:t xml:space="preserve">6.3 </w:t>
      </w:r>
      <w:r>
        <w:tab/>
        <w:t xml:space="preserve">All reasonable expenses incurred by a traveller can be reimbursed.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w:t>
      </w:r>
      <w:proofErr w:type="gramStart"/>
      <w:r>
        <w:t>transport;</w:t>
      </w:r>
      <w:proofErr w:type="gramEnd"/>
      <w:r>
        <w:t xml:space="preserve"> </w:t>
      </w:r>
    </w:p>
    <w:p w14:paraId="65EA12B5" w14:textId="77777777" w:rsidR="001F0EA2" w:rsidRDefault="001F0EA2" w:rsidP="0079194D">
      <w:pPr>
        <w:numPr>
          <w:ilvl w:val="2"/>
          <w:numId w:val="4"/>
        </w:numPr>
        <w:ind w:left="1134" w:hanging="436"/>
      </w:pPr>
      <w:r>
        <w:t xml:space="preserve">commercially provided </w:t>
      </w:r>
      <w:proofErr w:type="gramStart"/>
      <w:r>
        <w:t>flights;</w:t>
      </w:r>
      <w:proofErr w:type="gramEnd"/>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 xml:space="preserve">Commercially provided travel should be selected </w:t>
      </w:r>
      <w:proofErr w:type="gramStart"/>
      <w:r>
        <w:t>on the basis of</w:t>
      </w:r>
      <w:proofErr w:type="gramEnd"/>
      <w:r>
        <w:t>:</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lastRenderedPageBreak/>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xml:space="preserve">— economy </w:t>
      </w:r>
      <w:proofErr w:type="gramStart"/>
      <w:r w:rsidRPr="00A026E3">
        <w:rPr>
          <w:rFonts w:eastAsia="Calibri"/>
          <w:szCs w:val="24"/>
        </w:rPr>
        <w:t>class;</w:t>
      </w:r>
      <w:proofErr w:type="gramEnd"/>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xml:space="preserve">— business </w:t>
      </w:r>
      <w:proofErr w:type="gramStart"/>
      <w:r w:rsidRPr="00A026E3">
        <w:rPr>
          <w:rFonts w:eastAsia="Calibri"/>
          <w:szCs w:val="24"/>
        </w:rPr>
        <w:t>class;</w:t>
      </w:r>
      <w:proofErr w:type="gramEnd"/>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4FA47D68" w14:textId="065531D1" w:rsidR="00264E6D" w:rsidRPr="00C018B7" w:rsidRDefault="001F0EA2" w:rsidP="00CB2D66">
      <w:pPr>
        <w:spacing w:before="120" w:after="60"/>
        <w:ind w:left="698" w:hanging="698"/>
        <w:rPr>
          <w:color w:val="000000" w:themeColor="text1"/>
        </w:rPr>
      </w:pPr>
      <w:r>
        <w:t>6.</w:t>
      </w:r>
      <w:r w:rsidRPr="00C018B7">
        <w:rPr>
          <w:color w:val="000000" w:themeColor="text1"/>
        </w:rPr>
        <w:t>10</w:t>
      </w:r>
      <w:r w:rsidRPr="00C018B7">
        <w:rPr>
          <w:color w:val="000000" w:themeColor="text1"/>
        </w:rPr>
        <w:tab/>
        <w:t xml:space="preserve">If a traveller is approved to travel by private motor vehicle, the employer will </w:t>
      </w:r>
      <w:r w:rsidRPr="00C018B7">
        <w:rPr>
          <w:color w:val="000000" w:themeColor="text1"/>
        </w:rPr>
        <w:br/>
        <w:t xml:space="preserve">pay the owner of the vehicle an allowance calculated in accordance with the Motor Vehicle Allowance set out in </w:t>
      </w:r>
      <w:r w:rsidR="00264E6D" w:rsidRPr="00C018B7">
        <w:rPr>
          <w:color w:val="000000" w:themeColor="text1"/>
        </w:rPr>
        <w:t>in</w:t>
      </w:r>
      <w:r w:rsidR="00CB2D66">
        <w:rPr>
          <w:color w:val="000000" w:themeColor="text1"/>
        </w:rPr>
        <w:t xml:space="preserve"> </w:t>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2021-2022</w:t>
      </w:r>
      <w:r w:rsidR="00264E6D" w:rsidRPr="00C018B7">
        <w:rPr>
          <w:color w:val="000000" w:themeColor="text1"/>
        </w:rPr>
        <w:t xml:space="preserve"> </w:t>
      </w:r>
      <w:r w:rsidR="00CB2D66">
        <w:rPr>
          <w:color w:val="000000" w:themeColor="text1"/>
        </w:rPr>
        <w:t>or its replacement</w:t>
      </w:r>
      <w:r w:rsidR="00264E6D" w:rsidRPr="00C018B7">
        <w:rPr>
          <w:color w:val="000000" w:themeColor="text1"/>
        </w:rPr>
        <w:t>.</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xml:space="preserve">— 4.5 </w:t>
      </w:r>
      <w:proofErr w:type="gramStart"/>
      <w:r w:rsidRPr="00A026E3">
        <w:rPr>
          <w:rFonts w:eastAsia="Calibri"/>
          <w:szCs w:val="24"/>
        </w:rPr>
        <w:t>stars;</w:t>
      </w:r>
      <w:proofErr w:type="gramEnd"/>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w:t>
      </w:r>
      <w:proofErr w:type="gramStart"/>
      <w:r>
        <w:t>4.5 star</w:t>
      </w:r>
      <w:proofErr w:type="gramEnd"/>
      <w:r>
        <w:t xml:space="preserve">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 xml:space="preserve">to allow a </w:t>
      </w:r>
      <w:proofErr w:type="spellStart"/>
      <w:r>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 xml:space="preserve">is being </w:t>
      </w:r>
      <w:proofErr w:type="gramStart"/>
      <w:r w:rsidRPr="001458A6">
        <w:rPr>
          <w:sz w:val="20"/>
          <w:lang w:val="en-US"/>
        </w:rPr>
        <w:t>held</w:t>
      </w:r>
      <w:r>
        <w:rPr>
          <w:sz w:val="20"/>
          <w:lang w:val="en-US"/>
        </w:rPr>
        <w:t>;</w:t>
      </w:r>
      <w:proofErr w:type="gramEnd"/>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w:t>
      </w:r>
      <w:proofErr w:type="gramStart"/>
      <w:r w:rsidRPr="007F635D">
        <w:rPr>
          <w:sz w:val="20"/>
          <w:lang w:val="en-US"/>
        </w:rPr>
        <w:t>Minister</w:t>
      </w:r>
      <w:r>
        <w:rPr>
          <w:sz w:val="20"/>
          <w:lang w:val="en-US"/>
        </w:rPr>
        <w:t>,</w:t>
      </w:r>
      <w:r w:rsidRPr="007F635D">
        <w:rPr>
          <w:sz w:val="20"/>
          <w:lang w:val="en-US"/>
        </w:rPr>
        <w:t xml:space="preserve"> if</w:t>
      </w:r>
      <w:proofErr w:type="gramEnd"/>
      <w:r w:rsidRPr="007F635D">
        <w:rPr>
          <w:sz w:val="20"/>
          <w:lang w:val="en-US"/>
        </w:rPr>
        <w:t xml:space="preserve">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9C2F2E">
      <w:pPr>
        <w:numPr>
          <w:ilvl w:val="1"/>
          <w:numId w:val="5"/>
        </w:numPr>
        <w:spacing w:before="120" w:after="60"/>
        <w:ind w:left="709" w:hanging="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9C2F2E">
      <w:pPr>
        <w:numPr>
          <w:ilvl w:val="1"/>
          <w:numId w:val="5"/>
        </w:numPr>
        <w:spacing w:before="120" w:after="60"/>
        <w:ind w:left="709" w:hanging="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9C2F2E">
      <w:pPr>
        <w:pStyle w:val="ListParagraph"/>
        <w:numPr>
          <w:ilvl w:val="1"/>
          <w:numId w:val="5"/>
        </w:numPr>
        <w:spacing w:before="80" w:after="60"/>
        <w:ind w:left="709" w:hanging="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w:t>
      </w:r>
      <w:proofErr w:type="gramStart"/>
      <w:r w:rsidRPr="00380585">
        <w:rPr>
          <w:sz w:val="24"/>
          <w:szCs w:val="24"/>
        </w:rPr>
        <w:t>as a result of</w:t>
      </w:r>
      <w:proofErr w:type="gramEnd"/>
      <w:r w:rsidRPr="00380585">
        <w:rPr>
          <w:sz w:val="24"/>
          <w:szCs w:val="24"/>
        </w:rPr>
        <w:t xml:space="preserve">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41C72AC7" w14:textId="77777777" w:rsidR="001F0EA2" w:rsidRPr="009669DA" w:rsidRDefault="001F0EA2" w:rsidP="001F0EA2">
      <w:pPr>
        <w:spacing w:before="80"/>
        <w:ind w:left="709"/>
        <w:jc w:val="both"/>
      </w:pPr>
      <w:r w:rsidRPr="009669DA">
        <w:rPr>
          <w:b/>
          <w:bCs/>
          <w:i/>
          <w:iCs/>
        </w:rPr>
        <w:t>agreed superannuation fund</w:t>
      </w:r>
      <w:r w:rsidRPr="009669DA">
        <w:t xml:space="preserve"> means a fund complying with the requirements of:</w:t>
      </w:r>
    </w:p>
    <w:p w14:paraId="10C0D988" w14:textId="77777777" w:rsidR="001F0EA2" w:rsidRPr="009669DA" w:rsidRDefault="001F0EA2" w:rsidP="009C2F2E">
      <w:pPr>
        <w:numPr>
          <w:ilvl w:val="0"/>
          <w:numId w:val="14"/>
        </w:numPr>
        <w:spacing w:after="60"/>
        <w:contextualSpacing/>
        <w:jc w:val="both"/>
      </w:pPr>
      <w:r w:rsidRPr="009669DA">
        <w:lastRenderedPageBreak/>
        <w:t xml:space="preserve">the </w:t>
      </w:r>
      <w:r w:rsidRPr="009669DA">
        <w:rPr>
          <w:i/>
        </w:rPr>
        <w:t>Income Tax Assessment Act 1936</w:t>
      </w:r>
      <w:r w:rsidRPr="009669DA">
        <w:t xml:space="preserve"> (</w:t>
      </w:r>
      <w:proofErr w:type="spellStart"/>
      <w:r w:rsidRPr="009669DA">
        <w:t>Cth</w:t>
      </w:r>
      <w:proofErr w:type="spellEnd"/>
      <w:r w:rsidRPr="009669DA">
        <w:t>); and</w:t>
      </w:r>
    </w:p>
    <w:p w14:paraId="5165E396" w14:textId="77777777" w:rsidR="001F0EA2" w:rsidRPr="009669DA" w:rsidRDefault="001F0EA2" w:rsidP="009C2F2E">
      <w:pPr>
        <w:numPr>
          <w:ilvl w:val="0"/>
          <w:numId w:val="14"/>
        </w:numPr>
        <w:spacing w:before="80"/>
        <w:contextualSpacing/>
        <w:jc w:val="both"/>
      </w:pPr>
      <w:r w:rsidRPr="009669DA">
        <w:t xml:space="preserve">the </w:t>
      </w:r>
      <w:r w:rsidRPr="009669DA">
        <w:rPr>
          <w:i/>
        </w:rPr>
        <w:t>Superannuation Industry (Supervision) Act 1993</w:t>
      </w:r>
      <w:r w:rsidRPr="009669DA">
        <w:t xml:space="preserve"> (</w:t>
      </w:r>
      <w:proofErr w:type="spellStart"/>
      <w:r w:rsidRPr="009669DA">
        <w:t>Cth</w:t>
      </w:r>
      <w:proofErr w:type="spellEnd"/>
      <w:r w:rsidRPr="009669DA">
        <w:t>).</w:t>
      </w:r>
    </w:p>
    <w:p w14:paraId="4CD8DFA3" w14:textId="77777777" w:rsidR="001F0EA2" w:rsidRDefault="001F0EA2" w:rsidP="001F0EA2">
      <w:pPr>
        <w:spacing w:before="80"/>
        <w:ind w:left="709"/>
        <w:jc w:val="both"/>
      </w:pPr>
      <w:r>
        <w:rPr>
          <w:b/>
          <w:i/>
        </w:rPr>
        <w:t xml:space="preserve">CSS </w:t>
      </w:r>
      <w:r>
        <w:t xml:space="preserve">means the </w:t>
      </w:r>
      <w:r w:rsidRPr="0075183B">
        <w:t>Comm</w:t>
      </w:r>
      <w:r>
        <w:t>onwealth Superannuation Scheme.</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24697258" w14:textId="77777777" w:rsidR="001F0EA2" w:rsidRDefault="001F0EA2" w:rsidP="001F0EA2">
      <w:pPr>
        <w:spacing w:before="80"/>
        <w:ind w:left="709"/>
        <w:jc w:val="both"/>
      </w:pPr>
      <w:r>
        <w:rPr>
          <w:b/>
          <w:i/>
        </w:rPr>
        <w:t xml:space="preserve">PSS </w:t>
      </w:r>
      <w:r>
        <w:t xml:space="preserve">means the </w:t>
      </w:r>
      <w:r w:rsidRPr="0075183B">
        <w:t>Publi</w:t>
      </w:r>
      <w:r>
        <w:t>c Sector Superannuation Scheme.</w:t>
      </w:r>
    </w:p>
    <w:p w14:paraId="7C545D67" w14:textId="77777777" w:rsidR="001F0EA2" w:rsidRDefault="001F0EA2" w:rsidP="001F0EA2">
      <w:pPr>
        <w:spacing w:before="80"/>
        <w:ind w:left="709"/>
        <w:jc w:val="both"/>
      </w:pPr>
      <w:proofErr w:type="spellStart"/>
      <w:r>
        <w:rPr>
          <w:b/>
          <w:i/>
        </w:rPr>
        <w:t>PSSap</w:t>
      </w:r>
      <w:proofErr w:type="spellEnd"/>
      <w:r>
        <w:rPr>
          <w:b/>
          <w:i/>
        </w:rPr>
        <w:t xml:space="preserve"> </w:t>
      </w:r>
      <w:r>
        <w:t>means the PSS Accumulation Plan.</w:t>
      </w:r>
    </w:p>
    <w:p w14:paraId="4B90248A" w14:textId="77777777" w:rsidR="001F0EA2" w:rsidRDefault="001F0EA2" w:rsidP="001F0EA2">
      <w:pPr>
        <w:spacing w:before="8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6368C35C"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6D45E1">
        <w:rPr>
          <w:color w:val="000000" w:themeColor="text1"/>
          <w:sz w:val="24"/>
          <w:szCs w:val="24"/>
        </w:rPr>
        <w:t>13 of 202</w:t>
      </w:r>
      <w:r w:rsidR="0040490B">
        <w:rPr>
          <w:color w:val="000000" w:themeColor="text1"/>
          <w:sz w:val="24"/>
          <w:szCs w:val="24"/>
        </w:rPr>
        <w:t>1</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p w14:paraId="362B1A90" w14:textId="4A6C9AB4" w:rsidR="001F0EA2" w:rsidRDefault="001F0EA2" w:rsidP="001F0EA2">
      <w:pPr>
        <w:tabs>
          <w:tab w:val="left" w:pos="4253"/>
          <w:tab w:val="left" w:leader="dot" w:pos="8222"/>
        </w:tabs>
        <w:rPr>
          <w:szCs w:val="24"/>
        </w:rPr>
      </w:pPr>
    </w:p>
    <w:tbl>
      <w:tblPr>
        <w:tblW w:w="0" w:type="auto"/>
        <w:tblLook w:val="04A0" w:firstRow="1" w:lastRow="0" w:firstColumn="1" w:lastColumn="0" w:noHBand="0" w:noVBand="1"/>
      </w:tblPr>
      <w:tblGrid>
        <w:gridCol w:w="4529"/>
        <w:gridCol w:w="4488"/>
      </w:tblGrid>
      <w:tr w:rsidR="0016219C" w:rsidRPr="006A51E8" w14:paraId="72D7B068" w14:textId="77777777" w:rsidTr="00CA79C3">
        <w:tc>
          <w:tcPr>
            <w:tcW w:w="4529" w:type="dxa"/>
          </w:tcPr>
          <w:p w14:paraId="63664AA8" w14:textId="77777777" w:rsidR="0016219C" w:rsidRPr="000F41B0" w:rsidRDefault="0016219C" w:rsidP="00CA79C3">
            <w:pPr>
              <w:tabs>
                <w:tab w:val="left" w:pos="4253"/>
                <w:tab w:val="left" w:leader="dot" w:pos="8222"/>
              </w:tabs>
              <w:rPr>
                <w:szCs w:val="24"/>
              </w:rPr>
            </w:pPr>
            <w:bookmarkStart w:id="9" w:name="_Hlk90826441"/>
          </w:p>
          <w:p w14:paraId="664B0531" w14:textId="77777777" w:rsidR="0016219C" w:rsidRPr="000F41B0" w:rsidRDefault="0016219C" w:rsidP="00CA79C3">
            <w:pPr>
              <w:tabs>
                <w:tab w:val="left" w:pos="4253"/>
                <w:tab w:val="left" w:pos="7230"/>
                <w:tab w:val="left" w:leader="dot" w:pos="8222"/>
              </w:tabs>
              <w:rPr>
                <w:szCs w:val="24"/>
              </w:rPr>
            </w:pPr>
            <w:r>
              <w:rPr>
                <w:szCs w:val="24"/>
              </w:rPr>
              <w:t>Ms Sandra Lambert AM</w:t>
            </w:r>
            <w:r w:rsidRPr="000F41B0">
              <w:rPr>
                <w:szCs w:val="24"/>
              </w:rPr>
              <w:tab/>
            </w:r>
          </w:p>
          <w:p w14:paraId="671313CC" w14:textId="77777777" w:rsidR="0016219C" w:rsidRPr="000F41B0" w:rsidRDefault="0016219C" w:rsidP="00CA79C3">
            <w:pPr>
              <w:tabs>
                <w:tab w:val="left" w:pos="7230"/>
              </w:tabs>
              <w:rPr>
                <w:szCs w:val="24"/>
              </w:rPr>
            </w:pPr>
            <w:r w:rsidRPr="000F41B0">
              <w:rPr>
                <w:szCs w:val="24"/>
              </w:rPr>
              <w:t>Chair</w:t>
            </w:r>
          </w:p>
          <w:p w14:paraId="61EB61A2" w14:textId="77777777" w:rsidR="0016219C" w:rsidRDefault="0016219C" w:rsidP="00CA79C3">
            <w:pPr>
              <w:tabs>
                <w:tab w:val="left" w:pos="4253"/>
                <w:tab w:val="left" w:leader="dot" w:pos="8222"/>
              </w:tabs>
              <w:rPr>
                <w:szCs w:val="24"/>
              </w:rPr>
            </w:pPr>
          </w:p>
          <w:p w14:paraId="1E0D6C9B" w14:textId="77777777" w:rsidR="0016219C" w:rsidRPr="000F41B0" w:rsidRDefault="0016219C" w:rsidP="00CA79C3">
            <w:pPr>
              <w:tabs>
                <w:tab w:val="left" w:pos="4253"/>
                <w:tab w:val="left" w:leader="dot" w:pos="8222"/>
              </w:tabs>
              <w:spacing w:after="120"/>
              <w:rPr>
                <w:szCs w:val="24"/>
              </w:rPr>
            </w:pPr>
          </w:p>
        </w:tc>
        <w:tc>
          <w:tcPr>
            <w:tcW w:w="4488" w:type="dxa"/>
          </w:tcPr>
          <w:p w14:paraId="040C273E" w14:textId="77777777" w:rsidR="0016219C" w:rsidRDefault="0016219C" w:rsidP="00CA79C3">
            <w:pPr>
              <w:tabs>
                <w:tab w:val="left" w:pos="3059"/>
                <w:tab w:val="left" w:pos="7230"/>
              </w:tabs>
            </w:pPr>
          </w:p>
          <w:p w14:paraId="614A1A16" w14:textId="1D35F3B4" w:rsidR="0016219C" w:rsidRPr="006A51E8" w:rsidRDefault="0016219C" w:rsidP="00CA79C3">
            <w:pPr>
              <w:tabs>
                <w:tab w:val="left" w:pos="3059"/>
                <w:tab w:val="left" w:pos="7230"/>
              </w:tabs>
              <w:spacing w:before="120"/>
            </w:pPr>
            <w:r>
              <w:t xml:space="preserve"> </w:t>
            </w:r>
            <w:r w:rsidR="00D0397E">
              <w:rPr>
                <w:noProof/>
              </w:rPr>
              <w:drawing>
                <wp:inline distT="0" distB="0" distL="0" distR="0" wp14:anchorId="39D2FD02" wp14:editId="4029A7C0">
                  <wp:extent cx="1824205" cy="877640"/>
                  <wp:effectExtent l="0" t="0" r="508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a:stretch>
                            <a:fillRect/>
                          </a:stretch>
                        </pic:blipFill>
                        <pic:spPr>
                          <a:xfrm>
                            <a:off x="0" y="0"/>
                            <a:ext cx="1824205" cy="877640"/>
                          </a:xfrm>
                          <a:prstGeom prst="rect">
                            <a:avLst/>
                          </a:prstGeom>
                        </pic:spPr>
                      </pic:pic>
                    </a:graphicData>
                  </a:graphic>
                </wp:inline>
              </w:drawing>
            </w:r>
            <w:r>
              <w:br/>
              <w:t xml:space="preserve"> </w:t>
            </w:r>
            <w:r w:rsidRPr="00A9481F">
              <w:t>...............................</w:t>
            </w:r>
            <w:r>
              <w:t>.................</w:t>
            </w:r>
          </w:p>
        </w:tc>
      </w:tr>
      <w:tr w:rsidR="0016219C" w:rsidRPr="006A51E8" w14:paraId="6893BD9B" w14:textId="77777777" w:rsidTr="00CA79C3">
        <w:tc>
          <w:tcPr>
            <w:tcW w:w="4529" w:type="dxa"/>
          </w:tcPr>
          <w:p w14:paraId="50F9E787" w14:textId="77777777" w:rsidR="0016219C" w:rsidRPr="000F41B0" w:rsidRDefault="0016219C" w:rsidP="00CA79C3">
            <w:pPr>
              <w:tabs>
                <w:tab w:val="left" w:pos="4253"/>
                <w:tab w:val="left" w:pos="7230"/>
                <w:tab w:val="left" w:leader="dot" w:pos="8222"/>
              </w:tabs>
              <w:rPr>
                <w:szCs w:val="24"/>
              </w:rPr>
            </w:pPr>
          </w:p>
          <w:p w14:paraId="1E340534" w14:textId="77777777" w:rsidR="0016219C" w:rsidRDefault="0016219C" w:rsidP="00CA79C3">
            <w:pPr>
              <w:tabs>
                <w:tab w:val="left" w:pos="4253"/>
                <w:tab w:val="left" w:pos="7230"/>
                <w:tab w:val="left" w:leader="dot" w:pos="8222"/>
              </w:tabs>
              <w:rPr>
                <w:szCs w:val="24"/>
              </w:rPr>
            </w:pPr>
          </w:p>
          <w:p w14:paraId="4CB86997" w14:textId="77777777" w:rsidR="0016219C" w:rsidRPr="000F41B0" w:rsidRDefault="0016219C" w:rsidP="00CA79C3">
            <w:pPr>
              <w:tabs>
                <w:tab w:val="left" w:pos="4253"/>
                <w:tab w:val="left" w:leader="dot" w:pos="8222"/>
              </w:tabs>
              <w:rPr>
                <w:szCs w:val="24"/>
              </w:rPr>
            </w:pPr>
            <w:r>
              <w:rPr>
                <w:szCs w:val="24"/>
              </w:rPr>
              <w:t>Mr Dale Boucher PSM</w:t>
            </w:r>
            <w:r w:rsidRPr="000F41B0">
              <w:rPr>
                <w:szCs w:val="24"/>
              </w:rPr>
              <w:tab/>
            </w:r>
          </w:p>
          <w:p w14:paraId="59B7AD8E" w14:textId="77777777" w:rsidR="0016219C" w:rsidRPr="000F41B0" w:rsidRDefault="0016219C" w:rsidP="00CA79C3">
            <w:pPr>
              <w:tabs>
                <w:tab w:val="left" w:pos="4253"/>
                <w:tab w:val="left" w:leader="dot" w:pos="8222"/>
              </w:tabs>
              <w:rPr>
                <w:szCs w:val="24"/>
              </w:rPr>
            </w:pPr>
            <w:r w:rsidRPr="000F41B0">
              <w:rPr>
                <w:szCs w:val="24"/>
              </w:rPr>
              <w:t xml:space="preserve">Member </w:t>
            </w:r>
          </w:p>
        </w:tc>
        <w:tc>
          <w:tcPr>
            <w:tcW w:w="4488" w:type="dxa"/>
          </w:tcPr>
          <w:p w14:paraId="768A0968" w14:textId="77777777" w:rsidR="0016219C" w:rsidRDefault="0016219C" w:rsidP="00CA79C3">
            <w:pPr>
              <w:tabs>
                <w:tab w:val="left" w:pos="4026"/>
                <w:tab w:val="left" w:pos="7230"/>
              </w:tabs>
            </w:pPr>
          </w:p>
          <w:p w14:paraId="2897DF68" w14:textId="77777777" w:rsidR="0016219C" w:rsidRDefault="0016219C" w:rsidP="00CA79C3">
            <w:pPr>
              <w:tabs>
                <w:tab w:val="left" w:pos="4026"/>
                <w:tab w:val="left" w:pos="7230"/>
              </w:tabs>
            </w:pPr>
          </w:p>
          <w:p w14:paraId="65625FBD" w14:textId="3DEFB8B1" w:rsidR="0016219C" w:rsidRDefault="00D0397E" w:rsidP="00CA79C3">
            <w:pPr>
              <w:tabs>
                <w:tab w:val="left" w:pos="4026"/>
                <w:tab w:val="left" w:pos="7230"/>
              </w:tabs>
            </w:pPr>
            <w:r>
              <w:rPr>
                <w:noProof/>
              </w:rPr>
              <w:drawing>
                <wp:inline distT="0" distB="0" distL="0" distR="0" wp14:anchorId="308D44E1" wp14:editId="5036D939">
                  <wp:extent cx="2263140" cy="942975"/>
                  <wp:effectExtent l="0" t="0" r="381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0"/>
                          <a:stretch>
                            <a:fillRect/>
                          </a:stretch>
                        </pic:blipFill>
                        <pic:spPr>
                          <a:xfrm>
                            <a:off x="0" y="0"/>
                            <a:ext cx="2266889" cy="944537"/>
                          </a:xfrm>
                          <a:prstGeom prst="rect">
                            <a:avLst/>
                          </a:prstGeom>
                        </pic:spPr>
                      </pic:pic>
                    </a:graphicData>
                  </a:graphic>
                </wp:inline>
              </w:drawing>
            </w:r>
          </w:p>
          <w:p w14:paraId="09FFB007" w14:textId="74F326B1" w:rsidR="0016219C" w:rsidRDefault="0016219C" w:rsidP="00CA79C3">
            <w:pPr>
              <w:tabs>
                <w:tab w:val="left" w:pos="3059"/>
                <w:tab w:val="left" w:pos="7230"/>
              </w:tabs>
            </w:pPr>
            <w:r>
              <w:t xml:space="preserve">  </w:t>
            </w:r>
          </w:p>
          <w:p w14:paraId="3110B245" w14:textId="77777777" w:rsidR="0016219C" w:rsidRPr="006A51E8" w:rsidRDefault="0016219C" w:rsidP="00CA79C3">
            <w:pPr>
              <w:tabs>
                <w:tab w:val="left" w:pos="3059"/>
                <w:tab w:val="left" w:pos="7230"/>
              </w:tabs>
            </w:pPr>
          </w:p>
        </w:tc>
      </w:tr>
    </w:tbl>
    <w:p w14:paraId="06DDDA86" w14:textId="61FA2EAA" w:rsidR="0016219C" w:rsidRDefault="00D0397E" w:rsidP="0016219C">
      <w:pPr>
        <w:tabs>
          <w:tab w:val="left" w:pos="4320"/>
        </w:tabs>
        <w:jc w:val="right"/>
      </w:pPr>
      <w:r>
        <w:t xml:space="preserve">15 </w:t>
      </w:r>
      <w:r w:rsidR="0040490B">
        <w:t>Dec</w:t>
      </w:r>
      <w:r w:rsidR="00CB2D66">
        <w:t>ember</w:t>
      </w:r>
      <w:r w:rsidR="0016219C">
        <w:t xml:space="preserve"> 202</w:t>
      </w:r>
      <w:r w:rsidR="00CB2D66">
        <w:t>2</w:t>
      </w:r>
    </w:p>
    <w:bookmarkEnd w:id="9"/>
    <w:p w14:paraId="4377BBA4" w14:textId="77777777" w:rsidR="0016219C" w:rsidRDefault="0016219C" w:rsidP="001F0EA2">
      <w:pPr>
        <w:tabs>
          <w:tab w:val="left" w:pos="4253"/>
          <w:tab w:val="left" w:leader="dot" w:pos="8222"/>
        </w:tabs>
        <w:rPr>
          <w:szCs w:val="24"/>
        </w:rPr>
      </w:pPr>
    </w:p>
    <w:sectPr w:rsidR="0016219C" w:rsidSect="00702D2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C99D" w14:textId="77777777" w:rsidR="006C4FDC" w:rsidRDefault="006C4FDC" w:rsidP="00DE7D35">
      <w:r>
        <w:separator/>
      </w:r>
    </w:p>
  </w:endnote>
  <w:endnote w:type="continuationSeparator" w:id="0">
    <w:p w14:paraId="78BBE12E" w14:textId="77777777" w:rsidR="006C4FDC" w:rsidRDefault="006C4FDC" w:rsidP="00DE7D35">
      <w:r>
        <w:continuationSeparator/>
      </w:r>
    </w:p>
  </w:endnote>
  <w:endnote w:type="continuationNotice" w:id="1">
    <w:p w14:paraId="41E2E236" w14:textId="77777777" w:rsidR="006C4FDC" w:rsidRDefault="006C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976127" w:rsidRDefault="00976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976127" w:rsidRDefault="00976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E4" w14:textId="658C5FE6" w:rsidR="00976127" w:rsidRPr="00702D2D" w:rsidRDefault="00976127"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73495">
      <w:rPr>
        <w:rFonts w:ascii="Calibri" w:hAnsi="Calibri"/>
        <w:noProof/>
      </w:rPr>
      <w:t>15</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CE22" w14:textId="77777777" w:rsidR="00976127" w:rsidRDefault="0097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704" w14:textId="77777777" w:rsidR="006C4FDC" w:rsidRDefault="006C4FDC" w:rsidP="00DE7D35">
      <w:r>
        <w:separator/>
      </w:r>
    </w:p>
  </w:footnote>
  <w:footnote w:type="continuationSeparator" w:id="0">
    <w:p w14:paraId="3A2980C8" w14:textId="77777777" w:rsidR="006C4FDC" w:rsidRDefault="006C4FDC" w:rsidP="00DE7D35">
      <w:r>
        <w:continuationSeparator/>
      </w:r>
    </w:p>
  </w:footnote>
  <w:footnote w:type="continuationNotice" w:id="1">
    <w:p w14:paraId="2376BDBB" w14:textId="77777777" w:rsidR="006C4FDC" w:rsidRDefault="006C4FDC"/>
  </w:footnote>
  <w:footnote w:id="2">
    <w:p w14:paraId="545D81AE" w14:textId="77777777" w:rsidR="0047276F" w:rsidRPr="0047276F" w:rsidRDefault="0047276F" w:rsidP="0047276F">
      <w:pPr>
        <w:pStyle w:val="FootnoteText"/>
        <w:rPr>
          <w:rFonts w:cs="Calibri"/>
          <w:sz w:val="16"/>
          <w:szCs w:val="10"/>
        </w:rPr>
      </w:pPr>
      <w:r w:rsidRPr="0047276F">
        <w:rPr>
          <w:rStyle w:val="FootnoteReference"/>
          <w:rFonts w:cs="Calibri"/>
          <w:sz w:val="16"/>
          <w:szCs w:val="10"/>
        </w:rPr>
        <w:footnoteRef/>
      </w:r>
      <w:r w:rsidRPr="0047276F">
        <w:rPr>
          <w:rFonts w:cs="Calibri"/>
          <w:sz w:val="16"/>
          <w:szCs w:val="10"/>
        </w:rPr>
        <w:t xml:space="preserve">  </w:t>
      </w:r>
      <w:hyperlink r:id="rId1" w:history="1">
        <w:r w:rsidRPr="0047276F">
          <w:rPr>
            <w:rStyle w:val="Hyperlink"/>
            <w:rFonts w:cs="Calibri"/>
            <w:sz w:val="16"/>
            <w:szCs w:val="10"/>
          </w:rPr>
          <w:t>ACT Budget 2022-2023 Budget Outlook, Chapter 2 Economic Outlook</w:t>
        </w:r>
      </w:hyperlink>
      <w:r w:rsidRPr="0047276F">
        <w:rPr>
          <w:rFonts w:cs="Calibri"/>
          <w:sz w:val="16"/>
          <w:szCs w:val="10"/>
        </w:rPr>
        <w:t>, page 17.</w:t>
      </w:r>
    </w:p>
  </w:footnote>
  <w:footnote w:id="3">
    <w:p w14:paraId="2244C3C2" w14:textId="77777777" w:rsidR="0047276F" w:rsidRDefault="0047276F" w:rsidP="0047276F">
      <w:pPr>
        <w:pStyle w:val="FootnoteText"/>
      </w:pPr>
      <w:r w:rsidRPr="0047276F">
        <w:rPr>
          <w:rStyle w:val="FootnoteReference"/>
          <w:sz w:val="16"/>
          <w:szCs w:val="16"/>
        </w:rPr>
        <w:footnoteRef/>
      </w:r>
      <w:r w:rsidRPr="0047276F">
        <w:rPr>
          <w:sz w:val="16"/>
          <w:szCs w:val="16"/>
        </w:rPr>
        <w:t xml:space="preserve"> </w:t>
      </w:r>
      <w:hyperlink r:id="rId2" w:history="1">
        <w:r w:rsidRPr="0047276F">
          <w:rPr>
            <w:rStyle w:val="Hyperlink"/>
            <w:sz w:val="16"/>
            <w:szCs w:val="16"/>
          </w:rPr>
          <w:t>https://www.rba.gov.au/speeches/2022/sp-gov-2022-11-01.html</w:t>
        </w:r>
      </w:hyperlink>
      <w:r w:rsidRPr="0047276F">
        <w:rPr>
          <w:sz w:val="16"/>
          <w:szCs w:val="16"/>
        </w:rPr>
        <w:t xml:space="preserve"> </w:t>
      </w:r>
    </w:p>
  </w:footnote>
  <w:footnote w:id="4">
    <w:p w14:paraId="26BE4C8C" w14:textId="2661DF1E" w:rsidR="00976127" w:rsidRPr="00412E65" w:rsidRDefault="00976127" w:rsidP="000772F7">
      <w:pPr>
        <w:rPr>
          <w:rFonts w:asciiTheme="minorHAnsi" w:hAnsiTheme="minorHAnsi" w:cstheme="minorHAnsi"/>
        </w:rPr>
      </w:pPr>
      <w:r w:rsidRPr="00412E65">
        <w:rPr>
          <w:rStyle w:val="FootnoteReference"/>
          <w:rFonts w:asciiTheme="minorHAnsi" w:hAnsiTheme="minorHAnsi" w:cstheme="minorHAnsi"/>
          <w:color w:val="000000" w:themeColor="text1"/>
          <w:sz w:val="16"/>
          <w:szCs w:val="16"/>
        </w:rPr>
        <w:footnoteRef/>
      </w:r>
      <w:r w:rsidRPr="00412E65">
        <w:rPr>
          <w:rFonts w:asciiTheme="minorHAnsi" w:hAnsiTheme="minorHAnsi" w:cstheme="minorHAnsi"/>
          <w:color w:val="000000" w:themeColor="text1"/>
          <w:sz w:val="16"/>
          <w:szCs w:val="16"/>
        </w:rPr>
        <w:t xml:space="preserve"> </w:t>
      </w:r>
      <w:hyperlink r:id="rId3" w:history="1">
        <w:r w:rsidRPr="00412E65">
          <w:rPr>
            <w:rStyle w:val="Hyperlink"/>
            <w:rFonts w:asciiTheme="minorHAnsi" w:hAnsiTheme="minorHAnsi" w:cstheme="minorHAnsi"/>
            <w:sz w:val="16"/>
            <w:szCs w:val="16"/>
            <w:lang w:val="en-GB"/>
          </w:rPr>
          <w:t>Australian Taxation Office – Taxation Determination 202</w:t>
        </w:r>
        <w:r w:rsidR="00CB2D66">
          <w:rPr>
            <w:rStyle w:val="Hyperlink"/>
            <w:rFonts w:asciiTheme="minorHAnsi" w:hAnsiTheme="minorHAnsi" w:cstheme="minorHAnsi"/>
            <w:sz w:val="16"/>
            <w:szCs w:val="16"/>
            <w:lang w:val="en-GB"/>
          </w:rPr>
          <w:t>2</w:t>
        </w:r>
        <w:r w:rsidRPr="00412E65">
          <w:rPr>
            <w:rStyle w:val="Hyperlink"/>
            <w:rFonts w:asciiTheme="minorHAnsi" w:hAnsiTheme="minorHAnsi" w:cstheme="minorHAnsi"/>
            <w:sz w:val="16"/>
            <w:szCs w:val="16"/>
            <w:lang w:val="en-GB"/>
          </w:rPr>
          <w:t>/</w:t>
        </w:r>
        <w:r w:rsidR="00CB2D66">
          <w:rPr>
            <w:rStyle w:val="Hyperlink"/>
            <w:rFonts w:asciiTheme="minorHAnsi" w:hAnsiTheme="minorHAnsi" w:cstheme="minorHAnsi"/>
            <w:sz w:val="16"/>
            <w:szCs w:val="16"/>
            <w:lang w:val="en-GB"/>
          </w:rPr>
          <w:t>10</w:t>
        </w:r>
        <w:r w:rsidRPr="00412E65">
          <w:rPr>
            <w:rStyle w:val="Hyperlink"/>
            <w:rFonts w:asciiTheme="minorHAnsi" w:hAnsiTheme="minorHAnsi" w:cstheme="minorHAnsi"/>
            <w:sz w:val="16"/>
            <w:szCs w:val="16"/>
            <w:lang w:val="en-GB"/>
          </w:rPr>
          <w:t xml:space="preserve"> Income tax: what are the reasonable travel and overtime meal allowance expense amounts for the 202</w:t>
        </w:r>
        <w:r w:rsidR="00CB2D66">
          <w:rPr>
            <w:rStyle w:val="Hyperlink"/>
            <w:rFonts w:asciiTheme="minorHAnsi" w:hAnsiTheme="minorHAnsi" w:cstheme="minorHAnsi"/>
            <w:sz w:val="16"/>
            <w:szCs w:val="16"/>
            <w:lang w:val="en-GB"/>
          </w:rPr>
          <w:t>2</w:t>
        </w:r>
        <w:r w:rsidRPr="00412E65">
          <w:rPr>
            <w:rStyle w:val="Hyperlink"/>
            <w:rFonts w:asciiTheme="minorHAnsi" w:hAnsiTheme="minorHAnsi" w:cstheme="minorHAnsi"/>
            <w:sz w:val="16"/>
            <w:szCs w:val="16"/>
            <w:lang w:val="en-GB"/>
          </w:rPr>
          <w:t>-2</w:t>
        </w:r>
        <w:r w:rsidR="00CB2D66">
          <w:rPr>
            <w:rStyle w:val="Hyperlink"/>
            <w:rFonts w:asciiTheme="minorHAnsi" w:hAnsiTheme="minorHAnsi" w:cstheme="minorHAnsi"/>
            <w:sz w:val="16"/>
            <w:szCs w:val="16"/>
            <w:lang w:val="en-GB"/>
          </w:rPr>
          <w:t>3</w:t>
        </w:r>
        <w:r w:rsidRPr="00412E65">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8ADD" w14:textId="77777777" w:rsidR="00976127" w:rsidRDefault="0097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F551" w14:textId="6FB98A4E" w:rsidR="00976127" w:rsidRDefault="0097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A29D" w14:textId="77777777" w:rsidR="00976127" w:rsidRDefault="0097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575DA5"/>
    <w:multiLevelType w:val="hybridMultilevel"/>
    <w:tmpl w:val="8E0E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996AC9"/>
    <w:multiLevelType w:val="hybridMultilevel"/>
    <w:tmpl w:val="D1D4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57452134">
    <w:abstractNumId w:val="22"/>
  </w:num>
  <w:num w:numId="2" w16cid:durableId="960840360">
    <w:abstractNumId w:val="10"/>
  </w:num>
  <w:num w:numId="3" w16cid:durableId="470173892">
    <w:abstractNumId w:val="0"/>
  </w:num>
  <w:num w:numId="4" w16cid:durableId="1680038432">
    <w:abstractNumId w:val="18"/>
  </w:num>
  <w:num w:numId="5" w16cid:durableId="1826437166">
    <w:abstractNumId w:val="5"/>
  </w:num>
  <w:num w:numId="6" w16cid:durableId="1842618809">
    <w:abstractNumId w:val="14"/>
  </w:num>
  <w:num w:numId="7" w16cid:durableId="368385991">
    <w:abstractNumId w:val="17"/>
  </w:num>
  <w:num w:numId="8" w16cid:durableId="280693309">
    <w:abstractNumId w:val="21"/>
  </w:num>
  <w:num w:numId="9" w16cid:durableId="322050192">
    <w:abstractNumId w:val="6"/>
  </w:num>
  <w:num w:numId="10" w16cid:durableId="1744526945">
    <w:abstractNumId w:val="12"/>
  </w:num>
  <w:num w:numId="11" w16cid:durableId="1398698290">
    <w:abstractNumId w:val="2"/>
  </w:num>
  <w:num w:numId="12" w16cid:durableId="1113792338">
    <w:abstractNumId w:val="3"/>
  </w:num>
  <w:num w:numId="13" w16cid:durableId="2019623198">
    <w:abstractNumId w:val="11"/>
  </w:num>
  <w:num w:numId="14" w16cid:durableId="1056389922">
    <w:abstractNumId w:val="4"/>
  </w:num>
  <w:num w:numId="15" w16cid:durableId="1451164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086960">
    <w:abstractNumId w:val="13"/>
  </w:num>
  <w:num w:numId="17" w16cid:durableId="1914392308">
    <w:abstractNumId w:val="9"/>
  </w:num>
  <w:num w:numId="18" w16cid:durableId="11613361">
    <w:abstractNumId w:val="7"/>
  </w:num>
  <w:num w:numId="19" w16cid:durableId="324862680">
    <w:abstractNumId w:val="1"/>
  </w:num>
  <w:num w:numId="20" w16cid:durableId="355160499">
    <w:abstractNumId w:val="8"/>
  </w:num>
  <w:num w:numId="21" w16cid:durableId="1912540360">
    <w:abstractNumId w:val="22"/>
  </w:num>
  <w:num w:numId="22" w16cid:durableId="180121284">
    <w:abstractNumId w:val="19"/>
  </w:num>
  <w:num w:numId="23" w16cid:durableId="315493531">
    <w:abstractNumId w:val="20"/>
  </w:num>
  <w:num w:numId="24" w16cid:durableId="1915776872">
    <w:abstractNumId w:val="16"/>
  </w:num>
  <w:num w:numId="25" w16cid:durableId="179857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503417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04120"/>
    <w:rsid w:val="00010EC3"/>
    <w:rsid w:val="000150BE"/>
    <w:rsid w:val="00015F44"/>
    <w:rsid w:val="000164D9"/>
    <w:rsid w:val="000229D3"/>
    <w:rsid w:val="00023A61"/>
    <w:rsid w:val="00025A53"/>
    <w:rsid w:val="0003415E"/>
    <w:rsid w:val="00034932"/>
    <w:rsid w:val="00043657"/>
    <w:rsid w:val="000452AB"/>
    <w:rsid w:val="00046C9C"/>
    <w:rsid w:val="0005071C"/>
    <w:rsid w:val="00054C69"/>
    <w:rsid w:val="0006071F"/>
    <w:rsid w:val="000704BA"/>
    <w:rsid w:val="000718FC"/>
    <w:rsid w:val="0007202B"/>
    <w:rsid w:val="000772F7"/>
    <w:rsid w:val="00093BF4"/>
    <w:rsid w:val="00096697"/>
    <w:rsid w:val="000A2860"/>
    <w:rsid w:val="000A55D7"/>
    <w:rsid w:val="000B2C06"/>
    <w:rsid w:val="000B4828"/>
    <w:rsid w:val="000B5DF2"/>
    <w:rsid w:val="000C1091"/>
    <w:rsid w:val="000C235A"/>
    <w:rsid w:val="000C53D9"/>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35431"/>
    <w:rsid w:val="001409BE"/>
    <w:rsid w:val="001417D8"/>
    <w:rsid w:val="001526C0"/>
    <w:rsid w:val="0015505E"/>
    <w:rsid w:val="00156FFC"/>
    <w:rsid w:val="0016219C"/>
    <w:rsid w:val="00165F53"/>
    <w:rsid w:val="001672DB"/>
    <w:rsid w:val="0017001A"/>
    <w:rsid w:val="00172F92"/>
    <w:rsid w:val="0017568D"/>
    <w:rsid w:val="00177067"/>
    <w:rsid w:val="0017754A"/>
    <w:rsid w:val="00182AA3"/>
    <w:rsid w:val="00184CF6"/>
    <w:rsid w:val="00187029"/>
    <w:rsid w:val="00191808"/>
    <w:rsid w:val="001A119E"/>
    <w:rsid w:val="001A2790"/>
    <w:rsid w:val="001A41D1"/>
    <w:rsid w:val="001B0770"/>
    <w:rsid w:val="001B0784"/>
    <w:rsid w:val="001B3FAC"/>
    <w:rsid w:val="001B5D52"/>
    <w:rsid w:val="001B7670"/>
    <w:rsid w:val="001C6DCE"/>
    <w:rsid w:val="001D466F"/>
    <w:rsid w:val="001D6B2D"/>
    <w:rsid w:val="001F0EA2"/>
    <w:rsid w:val="001F610C"/>
    <w:rsid w:val="001F733D"/>
    <w:rsid w:val="001F7515"/>
    <w:rsid w:val="001F7516"/>
    <w:rsid w:val="0020397B"/>
    <w:rsid w:val="00204FD9"/>
    <w:rsid w:val="002074A8"/>
    <w:rsid w:val="00211B7A"/>
    <w:rsid w:val="00212202"/>
    <w:rsid w:val="00215327"/>
    <w:rsid w:val="002173F8"/>
    <w:rsid w:val="00220E81"/>
    <w:rsid w:val="00220F3A"/>
    <w:rsid w:val="00222405"/>
    <w:rsid w:val="00224428"/>
    <w:rsid w:val="00224E69"/>
    <w:rsid w:val="00226DD6"/>
    <w:rsid w:val="00230441"/>
    <w:rsid w:val="0023156B"/>
    <w:rsid w:val="00236FE8"/>
    <w:rsid w:val="00241D99"/>
    <w:rsid w:val="00242DC0"/>
    <w:rsid w:val="00247031"/>
    <w:rsid w:val="00247F6E"/>
    <w:rsid w:val="0025445B"/>
    <w:rsid w:val="002544BE"/>
    <w:rsid w:val="00254641"/>
    <w:rsid w:val="0025648E"/>
    <w:rsid w:val="0025728A"/>
    <w:rsid w:val="002602A2"/>
    <w:rsid w:val="00260E45"/>
    <w:rsid w:val="00264E6D"/>
    <w:rsid w:val="00270893"/>
    <w:rsid w:val="00271336"/>
    <w:rsid w:val="002721E1"/>
    <w:rsid w:val="00273495"/>
    <w:rsid w:val="00275BA0"/>
    <w:rsid w:val="00276328"/>
    <w:rsid w:val="00276385"/>
    <w:rsid w:val="002829B2"/>
    <w:rsid w:val="0028512F"/>
    <w:rsid w:val="002932BB"/>
    <w:rsid w:val="00293A36"/>
    <w:rsid w:val="00293BE9"/>
    <w:rsid w:val="00293DF7"/>
    <w:rsid w:val="00294FE9"/>
    <w:rsid w:val="00295688"/>
    <w:rsid w:val="00296751"/>
    <w:rsid w:val="002A370C"/>
    <w:rsid w:val="002A4F58"/>
    <w:rsid w:val="002A7012"/>
    <w:rsid w:val="002B2EED"/>
    <w:rsid w:val="002B33A0"/>
    <w:rsid w:val="002B5966"/>
    <w:rsid w:val="002B6D40"/>
    <w:rsid w:val="002C0C98"/>
    <w:rsid w:val="002C419F"/>
    <w:rsid w:val="002C658A"/>
    <w:rsid w:val="002D1042"/>
    <w:rsid w:val="002D1CE7"/>
    <w:rsid w:val="002E31AC"/>
    <w:rsid w:val="002E5D15"/>
    <w:rsid w:val="002F0FAE"/>
    <w:rsid w:val="002F3C76"/>
    <w:rsid w:val="002F3CB8"/>
    <w:rsid w:val="002F6102"/>
    <w:rsid w:val="002F6ACB"/>
    <w:rsid w:val="002F752E"/>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DCF"/>
    <w:rsid w:val="00376D1F"/>
    <w:rsid w:val="00380585"/>
    <w:rsid w:val="003819D5"/>
    <w:rsid w:val="00381CD8"/>
    <w:rsid w:val="003834D6"/>
    <w:rsid w:val="0038578C"/>
    <w:rsid w:val="00386AE0"/>
    <w:rsid w:val="003906A5"/>
    <w:rsid w:val="0039283D"/>
    <w:rsid w:val="00393BDD"/>
    <w:rsid w:val="00394720"/>
    <w:rsid w:val="00394756"/>
    <w:rsid w:val="003A279C"/>
    <w:rsid w:val="003A356F"/>
    <w:rsid w:val="003A5A5C"/>
    <w:rsid w:val="003A653D"/>
    <w:rsid w:val="003C22BB"/>
    <w:rsid w:val="003C2AFA"/>
    <w:rsid w:val="003C3156"/>
    <w:rsid w:val="003C5292"/>
    <w:rsid w:val="003C5C6B"/>
    <w:rsid w:val="003D1545"/>
    <w:rsid w:val="003D206C"/>
    <w:rsid w:val="003D595F"/>
    <w:rsid w:val="003E16A3"/>
    <w:rsid w:val="003E593C"/>
    <w:rsid w:val="003E61EE"/>
    <w:rsid w:val="003E64A8"/>
    <w:rsid w:val="003E6E58"/>
    <w:rsid w:val="004000DB"/>
    <w:rsid w:val="0040490B"/>
    <w:rsid w:val="004079D4"/>
    <w:rsid w:val="00412E65"/>
    <w:rsid w:val="00414872"/>
    <w:rsid w:val="00420A17"/>
    <w:rsid w:val="004255ED"/>
    <w:rsid w:val="004266DF"/>
    <w:rsid w:val="0043677A"/>
    <w:rsid w:val="004417CA"/>
    <w:rsid w:val="00444EEB"/>
    <w:rsid w:val="004538A5"/>
    <w:rsid w:val="00453A44"/>
    <w:rsid w:val="004545CA"/>
    <w:rsid w:val="00456A3B"/>
    <w:rsid w:val="004641DC"/>
    <w:rsid w:val="00471065"/>
    <w:rsid w:val="0047276F"/>
    <w:rsid w:val="0048374B"/>
    <w:rsid w:val="00483FB9"/>
    <w:rsid w:val="00490F77"/>
    <w:rsid w:val="004A5512"/>
    <w:rsid w:val="004A79EE"/>
    <w:rsid w:val="004B5255"/>
    <w:rsid w:val="004B6566"/>
    <w:rsid w:val="004C3EAE"/>
    <w:rsid w:val="004C3F50"/>
    <w:rsid w:val="004C65FD"/>
    <w:rsid w:val="004C66BC"/>
    <w:rsid w:val="004D1D65"/>
    <w:rsid w:val="004D1E14"/>
    <w:rsid w:val="004E0627"/>
    <w:rsid w:val="004E1D5B"/>
    <w:rsid w:val="004E3C0A"/>
    <w:rsid w:val="004F3E40"/>
    <w:rsid w:val="004F72EE"/>
    <w:rsid w:val="004F74D5"/>
    <w:rsid w:val="004F75FD"/>
    <w:rsid w:val="00501164"/>
    <w:rsid w:val="005124B6"/>
    <w:rsid w:val="00514E7E"/>
    <w:rsid w:val="0052222A"/>
    <w:rsid w:val="00525D6A"/>
    <w:rsid w:val="00527EA6"/>
    <w:rsid w:val="00536C9C"/>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845A9"/>
    <w:rsid w:val="005917CE"/>
    <w:rsid w:val="00595E95"/>
    <w:rsid w:val="00597D49"/>
    <w:rsid w:val="005A192F"/>
    <w:rsid w:val="005A43CE"/>
    <w:rsid w:val="005B6ADD"/>
    <w:rsid w:val="005C15D6"/>
    <w:rsid w:val="005C3146"/>
    <w:rsid w:val="005C4DE2"/>
    <w:rsid w:val="005C628D"/>
    <w:rsid w:val="005D12E8"/>
    <w:rsid w:val="005D693C"/>
    <w:rsid w:val="005D6942"/>
    <w:rsid w:val="005E3C83"/>
    <w:rsid w:val="005E4C73"/>
    <w:rsid w:val="005E68DA"/>
    <w:rsid w:val="005F1678"/>
    <w:rsid w:val="005F219B"/>
    <w:rsid w:val="005F5A2B"/>
    <w:rsid w:val="005F65ED"/>
    <w:rsid w:val="00600B98"/>
    <w:rsid w:val="00603253"/>
    <w:rsid w:val="006043BA"/>
    <w:rsid w:val="006056D5"/>
    <w:rsid w:val="00605F3D"/>
    <w:rsid w:val="006128FA"/>
    <w:rsid w:val="0061586F"/>
    <w:rsid w:val="00622A9B"/>
    <w:rsid w:val="006257C0"/>
    <w:rsid w:val="00626F76"/>
    <w:rsid w:val="00626FCD"/>
    <w:rsid w:val="006273DD"/>
    <w:rsid w:val="006303F8"/>
    <w:rsid w:val="00630B0E"/>
    <w:rsid w:val="006347CE"/>
    <w:rsid w:val="00643D5E"/>
    <w:rsid w:val="006446AC"/>
    <w:rsid w:val="00646316"/>
    <w:rsid w:val="00646D56"/>
    <w:rsid w:val="00647565"/>
    <w:rsid w:val="00653DBE"/>
    <w:rsid w:val="00655970"/>
    <w:rsid w:val="00657AA3"/>
    <w:rsid w:val="00663B55"/>
    <w:rsid w:val="0066407C"/>
    <w:rsid w:val="00664F28"/>
    <w:rsid w:val="006832C5"/>
    <w:rsid w:val="00685696"/>
    <w:rsid w:val="00690F74"/>
    <w:rsid w:val="00693B1E"/>
    <w:rsid w:val="006940C8"/>
    <w:rsid w:val="00694C2E"/>
    <w:rsid w:val="00695037"/>
    <w:rsid w:val="006952B7"/>
    <w:rsid w:val="006A4BE0"/>
    <w:rsid w:val="006A5444"/>
    <w:rsid w:val="006C32D4"/>
    <w:rsid w:val="006C3813"/>
    <w:rsid w:val="006C384A"/>
    <w:rsid w:val="006C4FDC"/>
    <w:rsid w:val="006C7BE2"/>
    <w:rsid w:val="006D3724"/>
    <w:rsid w:val="006D37CB"/>
    <w:rsid w:val="006D3DF5"/>
    <w:rsid w:val="006D45E1"/>
    <w:rsid w:val="006E0AA7"/>
    <w:rsid w:val="006E1209"/>
    <w:rsid w:val="006F53F2"/>
    <w:rsid w:val="006F5963"/>
    <w:rsid w:val="006F631C"/>
    <w:rsid w:val="006F73C2"/>
    <w:rsid w:val="006F7634"/>
    <w:rsid w:val="00702660"/>
    <w:rsid w:val="00702D2D"/>
    <w:rsid w:val="007102A9"/>
    <w:rsid w:val="00710FFB"/>
    <w:rsid w:val="0071240E"/>
    <w:rsid w:val="00722C91"/>
    <w:rsid w:val="00724712"/>
    <w:rsid w:val="00724CAA"/>
    <w:rsid w:val="00725FF3"/>
    <w:rsid w:val="007377A6"/>
    <w:rsid w:val="007434AA"/>
    <w:rsid w:val="00743E35"/>
    <w:rsid w:val="00750145"/>
    <w:rsid w:val="007513ED"/>
    <w:rsid w:val="00752E8A"/>
    <w:rsid w:val="00754756"/>
    <w:rsid w:val="00757ED0"/>
    <w:rsid w:val="00762CD9"/>
    <w:rsid w:val="00763CE2"/>
    <w:rsid w:val="00765FF6"/>
    <w:rsid w:val="0077128F"/>
    <w:rsid w:val="00774447"/>
    <w:rsid w:val="00775B4B"/>
    <w:rsid w:val="00776B32"/>
    <w:rsid w:val="007810FF"/>
    <w:rsid w:val="00783D25"/>
    <w:rsid w:val="0079194D"/>
    <w:rsid w:val="00793B65"/>
    <w:rsid w:val="0079572D"/>
    <w:rsid w:val="007C16C1"/>
    <w:rsid w:val="007C51B3"/>
    <w:rsid w:val="007E48DA"/>
    <w:rsid w:val="007E4C79"/>
    <w:rsid w:val="007E64D2"/>
    <w:rsid w:val="007E7C34"/>
    <w:rsid w:val="007F635D"/>
    <w:rsid w:val="007F7689"/>
    <w:rsid w:val="008039DD"/>
    <w:rsid w:val="00807670"/>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07D6"/>
    <w:rsid w:val="00873A14"/>
    <w:rsid w:val="0087410E"/>
    <w:rsid w:val="00875B2F"/>
    <w:rsid w:val="00881DE3"/>
    <w:rsid w:val="00882B67"/>
    <w:rsid w:val="008848EF"/>
    <w:rsid w:val="008863DB"/>
    <w:rsid w:val="0088734C"/>
    <w:rsid w:val="008874D2"/>
    <w:rsid w:val="008879E2"/>
    <w:rsid w:val="00892421"/>
    <w:rsid w:val="00892F14"/>
    <w:rsid w:val="008931E1"/>
    <w:rsid w:val="00895708"/>
    <w:rsid w:val="00897179"/>
    <w:rsid w:val="008A223F"/>
    <w:rsid w:val="008A3A7C"/>
    <w:rsid w:val="008A7264"/>
    <w:rsid w:val="008B27D1"/>
    <w:rsid w:val="008B2F59"/>
    <w:rsid w:val="008C14FF"/>
    <w:rsid w:val="008E0D37"/>
    <w:rsid w:val="008E3A25"/>
    <w:rsid w:val="008E5B43"/>
    <w:rsid w:val="008E6C0F"/>
    <w:rsid w:val="008F1208"/>
    <w:rsid w:val="008F33DD"/>
    <w:rsid w:val="008F404C"/>
    <w:rsid w:val="008F7566"/>
    <w:rsid w:val="008F77BD"/>
    <w:rsid w:val="00900822"/>
    <w:rsid w:val="00900C83"/>
    <w:rsid w:val="009022E2"/>
    <w:rsid w:val="009110F7"/>
    <w:rsid w:val="00912464"/>
    <w:rsid w:val="00914FD3"/>
    <w:rsid w:val="00933660"/>
    <w:rsid w:val="0094179B"/>
    <w:rsid w:val="0095146B"/>
    <w:rsid w:val="0096027D"/>
    <w:rsid w:val="00961737"/>
    <w:rsid w:val="00962328"/>
    <w:rsid w:val="00964FCF"/>
    <w:rsid w:val="0096696F"/>
    <w:rsid w:val="00966D1C"/>
    <w:rsid w:val="009673CC"/>
    <w:rsid w:val="009703FD"/>
    <w:rsid w:val="00974E09"/>
    <w:rsid w:val="00975F2B"/>
    <w:rsid w:val="00976127"/>
    <w:rsid w:val="00981ECE"/>
    <w:rsid w:val="00984405"/>
    <w:rsid w:val="00991146"/>
    <w:rsid w:val="009956FB"/>
    <w:rsid w:val="00997958"/>
    <w:rsid w:val="00997BA5"/>
    <w:rsid w:val="009A2312"/>
    <w:rsid w:val="009A313C"/>
    <w:rsid w:val="009A3C46"/>
    <w:rsid w:val="009A43D9"/>
    <w:rsid w:val="009A445B"/>
    <w:rsid w:val="009A7D0F"/>
    <w:rsid w:val="009B10E0"/>
    <w:rsid w:val="009B1214"/>
    <w:rsid w:val="009B2361"/>
    <w:rsid w:val="009B5F0B"/>
    <w:rsid w:val="009B6858"/>
    <w:rsid w:val="009B77E5"/>
    <w:rsid w:val="009B7B7C"/>
    <w:rsid w:val="009C1E47"/>
    <w:rsid w:val="009C2F2E"/>
    <w:rsid w:val="009D5789"/>
    <w:rsid w:val="009D64D9"/>
    <w:rsid w:val="009D7737"/>
    <w:rsid w:val="009E484F"/>
    <w:rsid w:val="009E59F1"/>
    <w:rsid w:val="009E7630"/>
    <w:rsid w:val="009E7A0D"/>
    <w:rsid w:val="009E7E38"/>
    <w:rsid w:val="009F36AD"/>
    <w:rsid w:val="009F4A4E"/>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6336"/>
    <w:rsid w:val="00A504A9"/>
    <w:rsid w:val="00A53528"/>
    <w:rsid w:val="00A605D5"/>
    <w:rsid w:val="00A634B0"/>
    <w:rsid w:val="00A63641"/>
    <w:rsid w:val="00A72BAE"/>
    <w:rsid w:val="00A7438D"/>
    <w:rsid w:val="00A76999"/>
    <w:rsid w:val="00A76E5C"/>
    <w:rsid w:val="00A80327"/>
    <w:rsid w:val="00A80A26"/>
    <w:rsid w:val="00A830FE"/>
    <w:rsid w:val="00A85A8C"/>
    <w:rsid w:val="00A872A8"/>
    <w:rsid w:val="00A90FBE"/>
    <w:rsid w:val="00A942CB"/>
    <w:rsid w:val="00A94328"/>
    <w:rsid w:val="00A95801"/>
    <w:rsid w:val="00AA0031"/>
    <w:rsid w:val="00AA02D4"/>
    <w:rsid w:val="00AA1466"/>
    <w:rsid w:val="00AA2886"/>
    <w:rsid w:val="00AA35D7"/>
    <w:rsid w:val="00AA3F5C"/>
    <w:rsid w:val="00AA64D6"/>
    <w:rsid w:val="00AA6D0E"/>
    <w:rsid w:val="00AB5FCD"/>
    <w:rsid w:val="00AC52CF"/>
    <w:rsid w:val="00AD0145"/>
    <w:rsid w:val="00AD274A"/>
    <w:rsid w:val="00AD44CA"/>
    <w:rsid w:val="00AD7E81"/>
    <w:rsid w:val="00AE0FFA"/>
    <w:rsid w:val="00AE3241"/>
    <w:rsid w:val="00AE5DD1"/>
    <w:rsid w:val="00AE696C"/>
    <w:rsid w:val="00AE7595"/>
    <w:rsid w:val="00AF19B9"/>
    <w:rsid w:val="00AF5B12"/>
    <w:rsid w:val="00AF7D38"/>
    <w:rsid w:val="00B00E48"/>
    <w:rsid w:val="00B03A31"/>
    <w:rsid w:val="00B04093"/>
    <w:rsid w:val="00B059F1"/>
    <w:rsid w:val="00B11D10"/>
    <w:rsid w:val="00B121E8"/>
    <w:rsid w:val="00B154A4"/>
    <w:rsid w:val="00B20C7C"/>
    <w:rsid w:val="00B242F4"/>
    <w:rsid w:val="00B25071"/>
    <w:rsid w:val="00B26252"/>
    <w:rsid w:val="00B331A6"/>
    <w:rsid w:val="00B351F2"/>
    <w:rsid w:val="00B353FA"/>
    <w:rsid w:val="00B439B2"/>
    <w:rsid w:val="00B44BCB"/>
    <w:rsid w:val="00B44EA5"/>
    <w:rsid w:val="00B45C09"/>
    <w:rsid w:val="00B51348"/>
    <w:rsid w:val="00B515EA"/>
    <w:rsid w:val="00B5746C"/>
    <w:rsid w:val="00B60506"/>
    <w:rsid w:val="00B64415"/>
    <w:rsid w:val="00B65395"/>
    <w:rsid w:val="00B67387"/>
    <w:rsid w:val="00B67391"/>
    <w:rsid w:val="00B77238"/>
    <w:rsid w:val="00B77CBA"/>
    <w:rsid w:val="00B80F13"/>
    <w:rsid w:val="00B830B0"/>
    <w:rsid w:val="00B87B1B"/>
    <w:rsid w:val="00B901B9"/>
    <w:rsid w:val="00B91E9A"/>
    <w:rsid w:val="00B91FD3"/>
    <w:rsid w:val="00B94655"/>
    <w:rsid w:val="00B97942"/>
    <w:rsid w:val="00BA2257"/>
    <w:rsid w:val="00BA75EE"/>
    <w:rsid w:val="00BB0383"/>
    <w:rsid w:val="00BB0E2D"/>
    <w:rsid w:val="00BC329A"/>
    <w:rsid w:val="00BC540D"/>
    <w:rsid w:val="00BC5B92"/>
    <w:rsid w:val="00BC60C7"/>
    <w:rsid w:val="00BD0A11"/>
    <w:rsid w:val="00BD0D13"/>
    <w:rsid w:val="00BD10EB"/>
    <w:rsid w:val="00BD4D21"/>
    <w:rsid w:val="00BD71C6"/>
    <w:rsid w:val="00BD739F"/>
    <w:rsid w:val="00BD7CC8"/>
    <w:rsid w:val="00BE04F1"/>
    <w:rsid w:val="00BE43F2"/>
    <w:rsid w:val="00BE5B36"/>
    <w:rsid w:val="00BE7B5C"/>
    <w:rsid w:val="00BF2D0A"/>
    <w:rsid w:val="00BF2F01"/>
    <w:rsid w:val="00BF3AD3"/>
    <w:rsid w:val="00BF690C"/>
    <w:rsid w:val="00C0173E"/>
    <w:rsid w:val="00C018B7"/>
    <w:rsid w:val="00C02F35"/>
    <w:rsid w:val="00C111F3"/>
    <w:rsid w:val="00C1238C"/>
    <w:rsid w:val="00C12FB4"/>
    <w:rsid w:val="00C1418F"/>
    <w:rsid w:val="00C1433F"/>
    <w:rsid w:val="00C16FBA"/>
    <w:rsid w:val="00C20189"/>
    <w:rsid w:val="00C220D8"/>
    <w:rsid w:val="00C24102"/>
    <w:rsid w:val="00C27D7C"/>
    <w:rsid w:val="00C303F5"/>
    <w:rsid w:val="00C30A32"/>
    <w:rsid w:val="00C312EA"/>
    <w:rsid w:val="00C4163B"/>
    <w:rsid w:val="00C45DD2"/>
    <w:rsid w:val="00C50EE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A7C51"/>
    <w:rsid w:val="00CB04DF"/>
    <w:rsid w:val="00CB2D66"/>
    <w:rsid w:val="00CC08A8"/>
    <w:rsid w:val="00CC6AC9"/>
    <w:rsid w:val="00CC6DDA"/>
    <w:rsid w:val="00CC72E9"/>
    <w:rsid w:val="00CD176E"/>
    <w:rsid w:val="00CD38DB"/>
    <w:rsid w:val="00CD4CF7"/>
    <w:rsid w:val="00CD711A"/>
    <w:rsid w:val="00CE14AA"/>
    <w:rsid w:val="00CE1EFA"/>
    <w:rsid w:val="00CE3130"/>
    <w:rsid w:val="00CE3A03"/>
    <w:rsid w:val="00CE5479"/>
    <w:rsid w:val="00CF13DD"/>
    <w:rsid w:val="00CF4AB4"/>
    <w:rsid w:val="00D01FC9"/>
    <w:rsid w:val="00D0397E"/>
    <w:rsid w:val="00D06B77"/>
    <w:rsid w:val="00D12B22"/>
    <w:rsid w:val="00D13220"/>
    <w:rsid w:val="00D179B3"/>
    <w:rsid w:val="00D20A9E"/>
    <w:rsid w:val="00D21AF1"/>
    <w:rsid w:val="00D22079"/>
    <w:rsid w:val="00D275FF"/>
    <w:rsid w:val="00D321EC"/>
    <w:rsid w:val="00D32B1E"/>
    <w:rsid w:val="00D33B6F"/>
    <w:rsid w:val="00D347E1"/>
    <w:rsid w:val="00D35F5F"/>
    <w:rsid w:val="00D365DD"/>
    <w:rsid w:val="00D415B6"/>
    <w:rsid w:val="00D45ED3"/>
    <w:rsid w:val="00D51257"/>
    <w:rsid w:val="00D542CD"/>
    <w:rsid w:val="00D568D6"/>
    <w:rsid w:val="00D56C6F"/>
    <w:rsid w:val="00D62589"/>
    <w:rsid w:val="00D7174B"/>
    <w:rsid w:val="00D71B40"/>
    <w:rsid w:val="00D72E84"/>
    <w:rsid w:val="00D774E4"/>
    <w:rsid w:val="00D81DFD"/>
    <w:rsid w:val="00D83CE5"/>
    <w:rsid w:val="00D94277"/>
    <w:rsid w:val="00D947A9"/>
    <w:rsid w:val="00D964AD"/>
    <w:rsid w:val="00DA6CC9"/>
    <w:rsid w:val="00DB0AA7"/>
    <w:rsid w:val="00DB73C9"/>
    <w:rsid w:val="00DC24A4"/>
    <w:rsid w:val="00DC4CE3"/>
    <w:rsid w:val="00DC5E9B"/>
    <w:rsid w:val="00DC6CE1"/>
    <w:rsid w:val="00DD14BF"/>
    <w:rsid w:val="00DD2019"/>
    <w:rsid w:val="00DD3C93"/>
    <w:rsid w:val="00DD3F90"/>
    <w:rsid w:val="00DD4E55"/>
    <w:rsid w:val="00DD6681"/>
    <w:rsid w:val="00DE36C6"/>
    <w:rsid w:val="00DE3900"/>
    <w:rsid w:val="00DE56DF"/>
    <w:rsid w:val="00DE7D35"/>
    <w:rsid w:val="00DF0EF7"/>
    <w:rsid w:val="00DF2FE4"/>
    <w:rsid w:val="00E0122C"/>
    <w:rsid w:val="00E03C5D"/>
    <w:rsid w:val="00E049E6"/>
    <w:rsid w:val="00E05CC5"/>
    <w:rsid w:val="00E07013"/>
    <w:rsid w:val="00E074DF"/>
    <w:rsid w:val="00E11E6F"/>
    <w:rsid w:val="00E14938"/>
    <w:rsid w:val="00E157E2"/>
    <w:rsid w:val="00E212EC"/>
    <w:rsid w:val="00E23044"/>
    <w:rsid w:val="00E24AE5"/>
    <w:rsid w:val="00E2542D"/>
    <w:rsid w:val="00E25C21"/>
    <w:rsid w:val="00E30308"/>
    <w:rsid w:val="00E312BF"/>
    <w:rsid w:val="00E3265B"/>
    <w:rsid w:val="00E34E78"/>
    <w:rsid w:val="00E43E93"/>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23B9"/>
    <w:rsid w:val="00E91A88"/>
    <w:rsid w:val="00E94683"/>
    <w:rsid w:val="00EA2638"/>
    <w:rsid w:val="00EB2828"/>
    <w:rsid w:val="00EB4CCB"/>
    <w:rsid w:val="00EB4EE8"/>
    <w:rsid w:val="00EB6096"/>
    <w:rsid w:val="00EC6814"/>
    <w:rsid w:val="00ED3550"/>
    <w:rsid w:val="00ED405F"/>
    <w:rsid w:val="00ED6D5A"/>
    <w:rsid w:val="00ED73A5"/>
    <w:rsid w:val="00EE09D9"/>
    <w:rsid w:val="00EE3EF5"/>
    <w:rsid w:val="00EE66E8"/>
    <w:rsid w:val="00EF14E4"/>
    <w:rsid w:val="00EF4C85"/>
    <w:rsid w:val="00EF5E10"/>
    <w:rsid w:val="00F0168E"/>
    <w:rsid w:val="00F03335"/>
    <w:rsid w:val="00F06231"/>
    <w:rsid w:val="00F12C8B"/>
    <w:rsid w:val="00F14E88"/>
    <w:rsid w:val="00F1557D"/>
    <w:rsid w:val="00F157C9"/>
    <w:rsid w:val="00F32EFD"/>
    <w:rsid w:val="00F335F8"/>
    <w:rsid w:val="00F35096"/>
    <w:rsid w:val="00F358CD"/>
    <w:rsid w:val="00F41F26"/>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3AD"/>
    <w:rsid w:val="00F82A50"/>
    <w:rsid w:val="00F848A0"/>
    <w:rsid w:val="00F85353"/>
    <w:rsid w:val="00F85A73"/>
    <w:rsid w:val="00F85A82"/>
    <w:rsid w:val="00F85CA0"/>
    <w:rsid w:val="00F916DA"/>
    <w:rsid w:val="00F928B8"/>
    <w:rsid w:val="00F937B4"/>
    <w:rsid w:val="00F961FC"/>
    <w:rsid w:val="00FA063D"/>
    <w:rsid w:val="00FA0D00"/>
    <w:rsid w:val="00FA0EA0"/>
    <w:rsid w:val="00FA0FDD"/>
    <w:rsid w:val="00FA292A"/>
    <w:rsid w:val="00FA4E62"/>
    <w:rsid w:val="00FA6233"/>
    <w:rsid w:val="00FA6F0B"/>
    <w:rsid w:val="00FA70EC"/>
    <w:rsid w:val="00FB02A0"/>
    <w:rsid w:val="00FB0BCA"/>
    <w:rsid w:val="00FB53F6"/>
    <w:rsid w:val="00FC0C2E"/>
    <w:rsid w:val="00FC0D7C"/>
    <w:rsid w:val="00FC1F56"/>
    <w:rsid w:val="00FC5B01"/>
    <w:rsid w:val="00FD3471"/>
    <w:rsid w:val="00FD6F02"/>
    <w:rsid w:val="00FE0799"/>
    <w:rsid w:val="00FE7535"/>
    <w:rsid w:val="00FF0908"/>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nhideWhenUsed/>
    <w:rsid w:val="00352C36"/>
    <w:rPr>
      <w:sz w:val="16"/>
      <w:szCs w:val="16"/>
    </w:rPr>
  </w:style>
  <w:style w:type="paragraph" w:styleId="CommentText">
    <w:name w:val="annotation text"/>
    <w:basedOn w:val="Normal"/>
    <w:link w:val="CommentTextChar"/>
    <w:unhideWhenUsed/>
    <w:rsid w:val="00352C36"/>
    <w:rPr>
      <w:sz w:val="20"/>
    </w:rPr>
  </w:style>
  <w:style w:type="character" w:customStyle="1" w:styleId="CommentTextChar">
    <w:name w:val="Comment Text Char"/>
    <w:basedOn w:val="DefaultParagraphFont"/>
    <w:link w:val="CommentText"/>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772213571">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6A5-2978-4531-A802-376B4FA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5326</Words>
  <Characters>29242</Characters>
  <Application>Microsoft Office Word</Application>
  <DocSecurity>0</DocSecurity>
  <Lines>584</Lines>
  <Paragraphs>329</Paragraphs>
  <ScaleCrop>false</ScaleCrop>
  <HeadingPairs>
    <vt:vector size="2" baseType="variant">
      <vt:variant>
        <vt:lpstr>Title</vt:lpstr>
      </vt:variant>
      <vt:variant>
        <vt:i4>1</vt:i4>
      </vt:variant>
    </vt:vector>
  </HeadingPairs>
  <TitlesOfParts>
    <vt:vector size="1" baseType="lpstr">
      <vt:lpstr>Determination 13 of 2022 Part-time Statutory Office Holders</vt:lpstr>
    </vt:vector>
  </TitlesOfParts>
  <Company>InTACT</Company>
  <LinksUpToDate>false</LinksUpToDate>
  <CharactersWithSpaces>34239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2022 Part-time Statutory Office Holders</dc:title>
  <dc:subject>Remuneration</dc:subject>
  <dc:creator>ACT Remuneration Tribunal</dc:creator>
  <cp:lastModifiedBy>Burton, Amelia</cp:lastModifiedBy>
  <cp:revision>10</cp:revision>
  <cp:lastPrinted>2022-12-14T01:00:00Z</cp:lastPrinted>
  <dcterms:created xsi:type="dcterms:W3CDTF">2022-12-14T00:56:00Z</dcterms:created>
  <dcterms:modified xsi:type="dcterms:W3CDTF">2022-12-16T03:19:00Z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