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7147A7CC" w:rsidR="004B34E6" w:rsidRPr="00366D86" w:rsidRDefault="004B34E6" w:rsidP="004B34E6">
      <w:pPr>
        <w:pStyle w:val="Heading1"/>
        <w:rPr>
          <w:color w:val="000000" w:themeColor="text1"/>
        </w:rPr>
      </w:pPr>
      <w:r w:rsidRPr="006E7416">
        <w:rPr>
          <w:color w:val="000000" w:themeColor="text1"/>
        </w:rPr>
        <w:t xml:space="preserve">Determination </w:t>
      </w:r>
      <w:r w:rsidR="005131B0">
        <w:rPr>
          <w:color w:val="000000" w:themeColor="text1"/>
        </w:rPr>
        <w:t>3</w:t>
      </w:r>
      <w:r w:rsidR="0054199E" w:rsidRPr="006E7416">
        <w:rPr>
          <w:color w:val="000000" w:themeColor="text1"/>
        </w:rPr>
        <w:t xml:space="preserve"> </w:t>
      </w:r>
      <w:r w:rsidRPr="006E7416">
        <w:rPr>
          <w:color w:val="000000" w:themeColor="text1"/>
        </w:rPr>
        <w:t xml:space="preserve">of </w:t>
      </w:r>
      <w:r w:rsidR="006442AA">
        <w:rPr>
          <w:color w:val="000000" w:themeColor="text1"/>
        </w:rPr>
        <w:t>20</w:t>
      </w:r>
      <w:r w:rsidR="00B06BD8">
        <w:rPr>
          <w:color w:val="000000" w:themeColor="text1"/>
        </w:rPr>
        <w:t>2</w:t>
      </w:r>
      <w:r w:rsidR="005131B0">
        <w:rPr>
          <w:color w:val="000000" w:themeColor="text1"/>
        </w:rPr>
        <w:t>3</w:t>
      </w:r>
      <w:r w:rsidR="006442AA" w:rsidRPr="00366D86">
        <w:rPr>
          <w:color w:val="000000" w:themeColor="text1"/>
        </w:rPr>
        <w:t xml:space="preserve"> </w:t>
      </w:r>
    </w:p>
    <w:p w14:paraId="315E6E5E" w14:textId="77777777" w:rsidR="00F11BCC" w:rsidRPr="003B1A08" w:rsidRDefault="00F11BCC" w:rsidP="00F11BCC">
      <w:pPr>
        <w:pStyle w:val="Heading1"/>
      </w:pPr>
      <w:r>
        <w:t xml:space="preserve">Head of Service, </w:t>
      </w:r>
      <w:proofErr w:type="gramStart"/>
      <w:r>
        <w:t>Directors-General</w:t>
      </w:r>
      <w:proofErr w:type="gramEnd"/>
      <w:r>
        <w:t xml:space="preserve">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EA1D9F">
      <w:pPr>
        <w:spacing w:after="60"/>
        <w:rPr>
          <w:b/>
        </w:rPr>
      </w:pPr>
      <w:r>
        <w:rPr>
          <w:b/>
        </w:rPr>
        <w:t>Background</w:t>
      </w:r>
    </w:p>
    <w:p w14:paraId="290C11DF" w14:textId="3644379F"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w:t>
      </w:r>
      <w:proofErr w:type="gramStart"/>
      <w:r w:rsidRPr="009D2938">
        <w:rPr>
          <w:color w:val="000000" w:themeColor="text1"/>
        </w:rPr>
        <w:t>allowances</w:t>
      </w:r>
      <w:proofErr w:type="gramEnd"/>
      <w:r w:rsidRPr="009D2938">
        <w:rPr>
          <w:color w:val="000000" w:themeColor="text1"/>
        </w:rPr>
        <w:t xml:space="preserve">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w:t>
      </w:r>
      <w:r w:rsidR="006D3751">
        <w:rPr>
          <w:color w:val="000000" w:themeColor="text1"/>
        </w:rPr>
        <w:t>D</w:t>
      </w:r>
      <w:r w:rsidRPr="009D2938">
        <w:rPr>
          <w:color w:val="000000" w:themeColor="text1"/>
        </w:rPr>
        <w:t>irectors-</w:t>
      </w:r>
      <w:r w:rsidR="006D3751">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B7FF0DF" w14:textId="77777777" w:rsidR="00EA1D9F" w:rsidRPr="009D2938" w:rsidRDefault="00EA1D9F" w:rsidP="00EA1D9F">
      <w:pPr>
        <w:spacing w:before="120" w:after="60"/>
        <w:rPr>
          <w:color w:val="000000" w:themeColor="text1"/>
        </w:rPr>
      </w:pPr>
      <w:r w:rsidRPr="009D2938">
        <w:rPr>
          <w:b/>
          <w:color w:val="000000" w:themeColor="text1"/>
        </w:rPr>
        <w:t>Considerations</w:t>
      </w:r>
    </w:p>
    <w:p w14:paraId="210D9170" w14:textId="77777777" w:rsidR="005131B0" w:rsidRPr="00033953" w:rsidRDefault="005131B0" w:rsidP="005131B0">
      <w:pPr>
        <w:spacing w:after="120"/>
        <w:rPr>
          <w:szCs w:val="24"/>
        </w:rPr>
      </w:pPr>
      <w:bookmarkStart w:id="1" w:name="_Hlk136952675"/>
      <w:r w:rsidRPr="001B7AD8">
        <w:rPr>
          <w:szCs w:val="24"/>
        </w:rPr>
        <w:t>In May 202</w:t>
      </w:r>
      <w:r>
        <w:rPr>
          <w:szCs w:val="24"/>
        </w:rPr>
        <w:t>3</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0912B7D" w14:textId="77777777" w:rsidR="005131B0" w:rsidRPr="00677D07" w:rsidRDefault="005131B0" w:rsidP="005131B0">
      <w:pPr>
        <w:pStyle w:val="ListParagraph"/>
        <w:numPr>
          <w:ilvl w:val="0"/>
          <w:numId w:val="14"/>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7C3E1DEB" w14:textId="77777777" w:rsidR="005131B0" w:rsidRPr="00677D07" w:rsidRDefault="005131B0" w:rsidP="005131B0">
      <w:pPr>
        <w:pStyle w:val="ListParagraph"/>
        <w:numPr>
          <w:ilvl w:val="0"/>
          <w:numId w:val="14"/>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760EB375" w14:textId="77777777" w:rsidR="005131B0" w:rsidRPr="00677D07" w:rsidRDefault="005131B0" w:rsidP="005131B0">
      <w:pPr>
        <w:pStyle w:val="ListParagraph"/>
        <w:numPr>
          <w:ilvl w:val="0"/>
          <w:numId w:val="14"/>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2D078FB5" w14:textId="77777777" w:rsidR="005131B0" w:rsidRPr="001C56AB" w:rsidRDefault="005131B0" w:rsidP="005131B0">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18 March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1620E481" w14:textId="77777777" w:rsidR="005131B0" w:rsidRPr="00EB1F62" w:rsidRDefault="005131B0" w:rsidP="005131B0">
      <w:pPr>
        <w:spacing w:after="120"/>
        <w:rPr>
          <w:rFonts w:cs="Calibri"/>
        </w:rPr>
      </w:pPr>
      <w:r w:rsidRPr="001B7AD8">
        <w:rPr>
          <w:rFonts w:cs="Calibri"/>
        </w:rPr>
        <w:t>At its meeting in May 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06EAE2DD" w14:textId="77777777" w:rsidR="005131B0" w:rsidRPr="001C56AB" w:rsidRDefault="005131B0" w:rsidP="005131B0">
      <w:pPr>
        <w:spacing w:after="120"/>
        <w:rPr>
          <w:rFonts w:cs="Calibri"/>
        </w:rPr>
      </w:pPr>
      <w:bookmarkStart w:id="2" w:name="_Hlk109216894"/>
      <w:bookmarkStart w:id="3"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w:t>
      </w:r>
      <w:r w:rsidRPr="00E05669">
        <w:lastRenderedPageBreak/>
        <w:t xml:space="preserve">in the private sector. ACT Treasury </w:t>
      </w:r>
      <w:r>
        <w:t>noted that there are more job vacancies than unemployed people in the</w:t>
      </w:r>
      <w:r w:rsidRPr="00E05669">
        <w:t xml:space="preserve"> Territory’s labour market</w:t>
      </w:r>
      <w:r>
        <w:t>.</w:t>
      </w:r>
      <w:bookmarkEnd w:id="2"/>
    </w:p>
    <w:p w14:paraId="719C62EC" w14:textId="59CFA013" w:rsidR="00F2575C" w:rsidRDefault="00F2575C" w:rsidP="003B7BE6">
      <w:pPr>
        <w:spacing w:after="120"/>
        <w:rPr>
          <w:rFonts w:cs="Calibri"/>
          <w:color w:val="000000" w:themeColor="text1"/>
        </w:rPr>
      </w:pPr>
      <w:r>
        <w:rPr>
          <w:rFonts w:cs="Calibri"/>
          <w:color w:val="000000" w:themeColor="text1"/>
        </w:rPr>
        <w:t>On 2 June 2023 the</w:t>
      </w:r>
      <w:r w:rsidR="007638B8">
        <w:rPr>
          <w:rFonts w:cs="Calibri"/>
          <w:color w:val="000000" w:themeColor="text1"/>
        </w:rPr>
        <w:t xml:space="preserve"> Fair Work Commission</w:t>
      </w:r>
      <w:r w:rsidR="003B7BE6">
        <w:rPr>
          <w:rFonts w:cs="Calibri"/>
          <w:color w:val="000000" w:themeColor="text1"/>
        </w:rPr>
        <w:t xml:space="preserve"> announced</w:t>
      </w:r>
      <w:r w:rsidR="007638B8">
        <w:rPr>
          <w:rFonts w:cs="Calibri"/>
          <w:color w:val="000000" w:themeColor="text1"/>
        </w:rPr>
        <w:t xml:space="preserve"> </w:t>
      </w:r>
      <w:r w:rsidR="003B7BE6">
        <w:rPr>
          <w:rFonts w:cs="Calibri"/>
          <w:color w:val="000000" w:themeColor="text1"/>
        </w:rPr>
        <w:t>a</w:t>
      </w:r>
      <w:r w:rsidR="007638B8">
        <w:rPr>
          <w:rFonts w:cs="Calibri"/>
          <w:color w:val="000000" w:themeColor="text1"/>
        </w:rPr>
        <w:t xml:space="preserve"> 5.75%</w:t>
      </w:r>
      <w:r w:rsidR="003B7BE6">
        <w:rPr>
          <w:rFonts w:cs="Calibri"/>
          <w:color w:val="000000" w:themeColor="text1"/>
        </w:rPr>
        <w:t xml:space="preserve"> increase</w:t>
      </w:r>
      <w:r w:rsidR="007638B8">
        <w:rPr>
          <w:rFonts w:cs="Calibri"/>
          <w:color w:val="000000" w:themeColor="text1"/>
        </w:rPr>
        <w:t xml:space="preserve"> in all award rates, with an effective 8.6% increase to the minimum wage.</w:t>
      </w:r>
      <w:r w:rsidR="007638B8">
        <w:rPr>
          <w:rStyle w:val="FootnoteReference"/>
          <w:rFonts w:cs="Calibri"/>
          <w:color w:val="000000" w:themeColor="text1"/>
        </w:rPr>
        <w:footnoteReference w:id="1"/>
      </w:r>
      <w:r w:rsidR="007638B8">
        <w:rPr>
          <w:rFonts w:cs="Calibri"/>
          <w:color w:val="000000" w:themeColor="text1"/>
        </w:rPr>
        <w:t xml:space="preserve"> </w:t>
      </w:r>
    </w:p>
    <w:p w14:paraId="705C00BA" w14:textId="77777777" w:rsidR="002B68C1" w:rsidRDefault="003B7BE6" w:rsidP="00F2575C">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26 April 2023, </w:t>
      </w:r>
      <w:r w:rsidRPr="001C56AB">
        <w:rPr>
          <w:rFonts w:cs="Calibri"/>
          <w:color w:val="000000" w:themeColor="text1"/>
        </w:rPr>
        <w:t xml:space="preserve">which included an increase of </w:t>
      </w:r>
      <w:r>
        <w:rPr>
          <w:rFonts w:cs="Calibri"/>
          <w:color w:val="000000" w:themeColor="text1"/>
        </w:rPr>
        <w:t xml:space="preserve">1.4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6.2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2"/>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6.6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3"/>
      </w:r>
      <w:r w:rsidR="002B68C1">
        <w:rPr>
          <w:rFonts w:cs="Calibri"/>
          <w:color w:val="000000" w:themeColor="text1"/>
        </w:rPr>
        <w:t xml:space="preserve"> </w:t>
      </w:r>
    </w:p>
    <w:p w14:paraId="06E8815F" w14:textId="1B492FF3" w:rsidR="00F2575C" w:rsidRDefault="00F2575C" w:rsidP="00F2575C">
      <w:pPr>
        <w:spacing w:after="120"/>
        <w:rPr>
          <w:rFonts w:cs="Calibri"/>
          <w:color w:val="000000" w:themeColor="text1"/>
        </w:rPr>
      </w:pPr>
      <w:r>
        <w:rPr>
          <w:rFonts w:cs="Calibri"/>
          <w:color w:val="000000" w:themeColor="text1"/>
        </w:rPr>
        <w:t xml:space="preserve">While the Tribunal noted that </w:t>
      </w:r>
      <w:r w:rsidR="00862AE7">
        <w:rPr>
          <w:rFonts w:cs="Calibri"/>
          <w:color w:val="000000" w:themeColor="text1"/>
        </w:rPr>
        <w:t xml:space="preserve">cost of living increases </w:t>
      </w:r>
      <w:proofErr w:type="gramStart"/>
      <w:r w:rsidR="00862AE7">
        <w:rPr>
          <w:rFonts w:cs="Calibri"/>
          <w:color w:val="000000" w:themeColor="text1"/>
        </w:rPr>
        <w:t>have</w:t>
      </w:r>
      <w:proofErr w:type="gramEnd"/>
      <w:r w:rsidR="00862AE7">
        <w:rPr>
          <w:rFonts w:cs="Calibri"/>
          <w:color w:val="000000" w:themeColor="text1"/>
        </w:rPr>
        <w:t xml:space="preserve"> been high, </w:t>
      </w:r>
      <w:r>
        <w:rPr>
          <w:rFonts w:cs="Calibri"/>
          <w:color w:val="000000" w:themeColor="text1"/>
        </w:rPr>
        <w:t xml:space="preserve">the Tribunal also noted that CPI </w:t>
      </w:r>
      <w:r w:rsidR="009D0DE1">
        <w:rPr>
          <w:rFonts w:cs="Calibri"/>
          <w:color w:val="000000" w:themeColor="text1"/>
        </w:rPr>
        <w:t>growth is slowing</w:t>
      </w:r>
      <w:r>
        <w:rPr>
          <w:rFonts w:cs="Calibri"/>
          <w:color w:val="000000" w:themeColor="text1"/>
        </w:rPr>
        <w:t xml:space="preserve"> and the increase to remuneration provided in this determination reflects this.</w:t>
      </w:r>
    </w:p>
    <w:p w14:paraId="2A9F2B9D" w14:textId="72B5D595" w:rsidR="002B68C1" w:rsidRDefault="00862AE7" w:rsidP="00B95A81">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00B95A81" w:rsidRPr="001C56AB">
        <w:rPr>
          <w:rFonts w:cs="Calibri"/>
        </w:rPr>
        <w:t xml:space="preserve">The Tribunal </w:t>
      </w:r>
      <w:r w:rsidR="00B95A81">
        <w:rPr>
          <w:rFonts w:cs="Calibri"/>
        </w:rPr>
        <w:t>considered</w:t>
      </w:r>
      <w:r w:rsidR="00B95A81" w:rsidRPr="001C56AB">
        <w:rPr>
          <w:rFonts w:cs="Calibri"/>
        </w:rPr>
        <w:t xml:space="preserve"> the importance of the Territory providing competitive and equitable remuneration, </w:t>
      </w:r>
      <w:proofErr w:type="gramStart"/>
      <w:r w:rsidR="00B95A81" w:rsidRPr="001C56AB">
        <w:rPr>
          <w:rFonts w:cs="Calibri"/>
        </w:rPr>
        <w:t>allowances</w:t>
      </w:r>
      <w:proofErr w:type="gramEnd"/>
      <w:r w:rsidR="00B95A81" w:rsidRPr="001C56AB">
        <w:rPr>
          <w:rFonts w:cs="Calibri"/>
        </w:rPr>
        <w:t xml:space="preserve">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sidR="00B95A81">
        <w:rPr>
          <w:rFonts w:cs="Calibri"/>
        </w:rPr>
        <w:t xml:space="preserve">. </w:t>
      </w:r>
      <w:r>
        <w:rPr>
          <w:rFonts w:cs="Calibri"/>
        </w:rPr>
        <w:t>The Tribunal also continues to be cognisant of the future compounding effect of not providing increases in remuneration.</w:t>
      </w:r>
    </w:p>
    <w:p w14:paraId="69695B06" w14:textId="77777777" w:rsidR="000908D4" w:rsidRDefault="00B95A81" w:rsidP="003C3D5D">
      <w:pPr>
        <w:spacing w:after="120"/>
        <w:rPr>
          <w:rFonts w:cs="Calibri"/>
        </w:rPr>
      </w:pPr>
      <w:r>
        <w:t xml:space="preserve">In making this determination, the Tribunal </w:t>
      </w:r>
      <w:r w:rsidR="00862AE7">
        <w:t>took account of</w:t>
      </w:r>
      <w:r w:rsidR="007C2BB3">
        <w:t xml:space="preserve"> </w:t>
      </w:r>
      <w:r>
        <w:t>the ACT Government’s current Enterprise Agreement bargaining context and noted that the current Government pay offer provides emphasis on raising wages for lower paid employees.</w:t>
      </w:r>
      <w:r w:rsidR="00862AE7">
        <w:t xml:space="preserve"> </w:t>
      </w:r>
      <w:r w:rsidR="00862AE7" w:rsidRPr="001C56AB">
        <w:rPr>
          <w:rFonts w:cs="Calibri"/>
        </w:rPr>
        <w:t>The Tribunal had regard to the 202</w:t>
      </w:r>
      <w:r w:rsidR="00862AE7">
        <w:rPr>
          <w:rFonts w:cs="Calibri"/>
        </w:rPr>
        <w:t>2–</w:t>
      </w:r>
      <w:r w:rsidR="00862AE7" w:rsidRPr="001C56AB">
        <w:rPr>
          <w:rFonts w:cs="Calibri"/>
        </w:rPr>
        <w:t>2</w:t>
      </w:r>
      <w:r w:rsidR="00862AE7">
        <w:rPr>
          <w:rFonts w:cs="Calibri"/>
        </w:rPr>
        <w:t>3</w:t>
      </w:r>
      <w:r w:rsidR="00862AE7" w:rsidRPr="001C56AB">
        <w:rPr>
          <w:rFonts w:cs="Calibri"/>
        </w:rPr>
        <w:t xml:space="preserve"> ACT Budget</w:t>
      </w:r>
      <w:r w:rsidR="00862AE7">
        <w:rPr>
          <w:rFonts w:cs="Calibri"/>
        </w:rPr>
        <w:t xml:space="preserve"> Review,</w:t>
      </w:r>
      <w:r w:rsidR="00862AE7" w:rsidRPr="001C56AB">
        <w:rPr>
          <w:rFonts w:cs="Calibri"/>
        </w:rPr>
        <w:t xml:space="preserve"> released in</w:t>
      </w:r>
      <w:r w:rsidR="00862AE7">
        <w:rPr>
          <w:rFonts w:cs="Calibri"/>
        </w:rPr>
        <w:t xml:space="preserve"> February 2023</w:t>
      </w:r>
      <w:r w:rsidR="00862AE7" w:rsidRPr="001C56AB">
        <w:rPr>
          <w:rFonts w:cs="Calibri"/>
        </w:rPr>
        <w:t xml:space="preserve"> by the Chief Minister</w:t>
      </w:r>
      <w:r w:rsidR="00862AE7">
        <w:rPr>
          <w:rFonts w:cs="Calibri"/>
        </w:rPr>
        <w:t>,</w:t>
      </w:r>
      <w:r w:rsidR="00862AE7" w:rsidRPr="001C56AB">
        <w:rPr>
          <w:rFonts w:cs="Calibri"/>
        </w:rPr>
        <w:t xml:space="preserve"> which predicted growth in 202</w:t>
      </w:r>
      <w:r w:rsidR="00862AE7">
        <w:rPr>
          <w:rFonts w:cs="Calibri"/>
        </w:rPr>
        <w:t>3–</w:t>
      </w:r>
      <w:r w:rsidR="00862AE7" w:rsidRPr="001C56AB">
        <w:rPr>
          <w:rFonts w:cs="Calibri"/>
        </w:rPr>
        <w:t>2</w:t>
      </w:r>
      <w:r w:rsidR="00862AE7">
        <w:rPr>
          <w:rFonts w:cs="Calibri"/>
        </w:rPr>
        <w:t>4</w:t>
      </w:r>
      <w:r w:rsidR="00862AE7" w:rsidRPr="001C56AB">
        <w:rPr>
          <w:rFonts w:cs="Calibri"/>
        </w:rPr>
        <w:t xml:space="preserve"> of </w:t>
      </w:r>
      <w:r w:rsidR="00862AE7">
        <w:rPr>
          <w:rFonts w:cs="Calibri"/>
        </w:rPr>
        <w:t>3.75</w:t>
      </w:r>
      <w:r w:rsidR="00862AE7" w:rsidRPr="001C56AB">
        <w:rPr>
          <w:rFonts w:cs="Calibri"/>
        </w:rPr>
        <w:t xml:space="preserve"> per cent in WPI and </w:t>
      </w:r>
      <w:r w:rsidR="00862AE7">
        <w:rPr>
          <w:rFonts w:cs="Calibri"/>
        </w:rPr>
        <w:t>3.5</w:t>
      </w:r>
      <w:r w:rsidR="00862AE7" w:rsidRPr="001C56AB">
        <w:rPr>
          <w:rFonts w:cs="Calibri"/>
        </w:rPr>
        <w:t xml:space="preserve"> per cent in CPI</w:t>
      </w:r>
      <w:r w:rsidR="00862AE7">
        <w:rPr>
          <w:rFonts w:cs="Calibri"/>
        </w:rPr>
        <w:t>.</w:t>
      </w:r>
      <w:r w:rsidR="00862AE7" w:rsidRPr="001C56AB">
        <w:rPr>
          <w:rStyle w:val="FootnoteReference"/>
          <w:rFonts w:cs="Calibri"/>
        </w:rPr>
        <w:footnoteReference w:id="4"/>
      </w:r>
      <w:r w:rsidR="00862AE7">
        <w:rPr>
          <w:rFonts w:cs="Calibri"/>
        </w:rPr>
        <w:t xml:space="preserve"> </w:t>
      </w:r>
    </w:p>
    <w:p w14:paraId="6C66E695" w14:textId="4352106A" w:rsidR="007638B8" w:rsidRPr="005131B0" w:rsidRDefault="00B95A81" w:rsidP="003C3D5D">
      <w:pPr>
        <w:spacing w:after="120"/>
        <w:rPr>
          <w:rFonts w:cs="Calibri"/>
          <w:color w:val="000000" w:themeColor="text1"/>
        </w:rPr>
      </w:pPr>
      <w:r>
        <w:rPr>
          <w:rFonts w:cs="Calibri"/>
          <w:color w:val="000000" w:themeColor="text1"/>
        </w:rPr>
        <w:t>T</w:t>
      </w:r>
      <w:r w:rsidR="007638B8">
        <w:rPr>
          <w:rFonts w:cs="Calibri"/>
          <w:color w:val="000000" w:themeColor="text1"/>
        </w:rPr>
        <w:t xml:space="preserve">he Tribunal </w:t>
      </w:r>
      <w:r>
        <w:rPr>
          <w:rFonts w:cs="Calibri"/>
          <w:color w:val="000000" w:themeColor="text1"/>
        </w:rPr>
        <w:t>considered the national and the local context</w:t>
      </w:r>
      <w:r w:rsidR="007066EC">
        <w:rPr>
          <w:rFonts w:cs="Calibri"/>
          <w:color w:val="000000" w:themeColor="text1"/>
        </w:rPr>
        <w:t>s</w:t>
      </w:r>
      <w:r>
        <w:rPr>
          <w:rFonts w:cs="Calibri"/>
          <w:color w:val="000000" w:themeColor="text1"/>
        </w:rPr>
        <w:t>, in particular the anticipated movements in</w:t>
      </w:r>
      <w:r w:rsidR="003B7BE6">
        <w:rPr>
          <w:rFonts w:cs="Calibri"/>
          <w:color w:val="000000" w:themeColor="text1"/>
        </w:rPr>
        <w:t xml:space="preserve"> </w:t>
      </w:r>
      <w:r>
        <w:rPr>
          <w:rFonts w:cs="Calibri"/>
          <w:color w:val="000000" w:themeColor="text1"/>
        </w:rPr>
        <w:t>wage</w:t>
      </w:r>
      <w:r w:rsidR="003B7BE6">
        <w:rPr>
          <w:rFonts w:cs="Calibri"/>
          <w:color w:val="000000" w:themeColor="text1"/>
        </w:rPr>
        <w:t>s locally and nationally and the advice that the current economic circumstances in the Territory are robust</w:t>
      </w:r>
      <w:r>
        <w:rPr>
          <w:rFonts w:cs="Calibri"/>
          <w:color w:val="000000" w:themeColor="text1"/>
        </w:rPr>
        <w:t xml:space="preserve">. </w:t>
      </w:r>
      <w:bookmarkEnd w:id="3"/>
      <w:r>
        <w:rPr>
          <w:rFonts w:cs="Calibri"/>
          <w:color w:val="000000" w:themeColor="text1"/>
        </w:rPr>
        <w:t>It therefore decided that an increase</w:t>
      </w:r>
      <w:r w:rsidR="00BC77CF">
        <w:rPr>
          <w:rFonts w:cs="Calibri"/>
          <w:color w:val="000000" w:themeColor="text1"/>
        </w:rPr>
        <w:t xml:space="preserve"> to remuneration</w:t>
      </w:r>
      <w:r>
        <w:rPr>
          <w:rFonts w:cs="Calibri"/>
          <w:color w:val="000000" w:themeColor="text1"/>
        </w:rPr>
        <w:t xml:space="preserve"> of 3.5 per cent </w:t>
      </w:r>
      <w:r w:rsidR="00862AE7">
        <w:rPr>
          <w:rFonts w:cs="Calibri"/>
          <w:color w:val="000000" w:themeColor="text1"/>
        </w:rPr>
        <w:t xml:space="preserve">is a </w:t>
      </w:r>
      <w:r w:rsidR="009277CD">
        <w:rPr>
          <w:rFonts w:cs="Calibri"/>
          <w:color w:val="000000" w:themeColor="text1"/>
        </w:rPr>
        <w:t xml:space="preserve">measured </w:t>
      </w:r>
      <w:r w:rsidR="00862AE7">
        <w:rPr>
          <w:rFonts w:cs="Calibri"/>
          <w:color w:val="000000" w:themeColor="text1"/>
        </w:rPr>
        <w:t>response given the current circumstances</w:t>
      </w:r>
      <w:r>
        <w:rPr>
          <w:rFonts w:cs="Calibri"/>
          <w:color w:val="000000" w:themeColor="text1"/>
        </w:rPr>
        <w:t xml:space="preserve">. </w:t>
      </w:r>
    </w:p>
    <w:bookmarkEnd w:id="1"/>
    <w:p w14:paraId="318E58A4" w14:textId="604BAD39" w:rsidR="00EA1D9F" w:rsidRPr="009D2938" w:rsidRDefault="00EA1D9F" w:rsidP="003C3D5D">
      <w:pPr>
        <w:spacing w:before="240"/>
        <w:rPr>
          <w:b/>
          <w:color w:val="000000" w:themeColor="text1"/>
        </w:rPr>
      </w:pPr>
      <w:r w:rsidRPr="009D2938">
        <w:rPr>
          <w:b/>
          <w:color w:val="000000" w:themeColor="text1"/>
        </w:rPr>
        <w:t>Decision</w:t>
      </w:r>
    </w:p>
    <w:p w14:paraId="32209BC8" w14:textId="0DD171DF" w:rsidR="007A1880" w:rsidRPr="005C4204" w:rsidRDefault="001C1981" w:rsidP="003C3D5D">
      <w:pPr>
        <w:spacing w:before="240" w:after="120"/>
        <w:rPr>
          <w:color w:val="000000" w:themeColor="text1"/>
        </w:rPr>
      </w:pPr>
      <w:bookmarkStart w:id="4" w:name="_Hlk97552719"/>
      <w:r>
        <w:rPr>
          <w:color w:val="000000" w:themeColor="text1"/>
        </w:rPr>
        <w:t>The</w:t>
      </w:r>
      <w:r w:rsidR="007A1880" w:rsidRPr="005C4204">
        <w:rPr>
          <w:color w:val="000000" w:themeColor="text1"/>
        </w:rPr>
        <w:t xml:space="preserve"> Tribunal </w:t>
      </w:r>
      <w:r>
        <w:rPr>
          <w:color w:val="000000" w:themeColor="text1"/>
        </w:rPr>
        <w:t>determined</w:t>
      </w:r>
      <w:r w:rsidR="007A1880" w:rsidRPr="005C4204">
        <w:rPr>
          <w:color w:val="000000" w:themeColor="text1"/>
        </w:rPr>
        <w:t xml:space="preserve"> to provide an increase of </w:t>
      </w:r>
      <w:r w:rsidR="00664751">
        <w:rPr>
          <w:color w:val="000000" w:themeColor="text1"/>
        </w:rPr>
        <w:t>3.5</w:t>
      </w:r>
      <w:r w:rsidR="007A1880">
        <w:rPr>
          <w:color w:val="000000" w:themeColor="text1"/>
        </w:rPr>
        <w:t xml:space="preserve"> </w:t>
      </w:r>
      <w:r w:rsidR="007A1880" w:rsidRPr="005C4204">
        <w:rPr>
          <w:color w:val="000000" w:themeColor="text1"/>
        </w:rPr>
        <w:t xml:space="preserve">per cent to the </w:t>
      </w:r>
      <w:r w:rsidR="00945387">
        <w:rPr>
          <w:color w:val="000000" w:themeColor="text1"/>
        </w:rPr>
        <w:t xml:space="preserve">base </w:t>
      </w:r>
      <w:r w:rsidR="007A1880" w:rsidRPr="005C4204">
        <w:rPr>
          <w:color w:val="000000" w:themeColor="text1"/>
          <w:lang w:val="x-none"/>
        </w:rPr>
        <w:t xml:space="preserve">remuneration of </w:t>
      </w:r>
      <w:proofErr w:type="gramStart"/>
      <w:r w:rsidR="007A1880">
        <w:rPr>
          <w:color w:val="000000" w:themeColor="text1"/>
        </w:rPr>
        <w:t>office-</w:t>
      </w:r>
      <w:r w:rsidR="007A1880" w:rsidRPr="005C4204">
        <w:rPr>
          <w:color w:val="000000" w:themeColor="text1"/>
          <w:lang w:val="x-none"/>
        </w:rPr>
        <w:t>holders</w:t>
      </w:r>
      <w:proofErr w:type="gramEnd"/>
      <w:r w:rsidR="007A1880" w:rsidRPr="005C4204">
        <w:rPr>
          <w:color w:val="000000" w:themeColor="text1"/>
          <w:lang w:val="x-none"/>
        </w:rPr>
        <w:t xml:space="preserve"> </w:t>
      </w:r>
      <w:r w:rsidR="007A1880" w:rsidRPr="005C4204">
        <w:rPr>
          <w:color w:val="000000" w:themeColor="text1"/>
        </w:rPr>
        <w:t>covered by this Determination</w:t>
      </w:r>
      <w:r w:rsidR="007A1880" w:rsidRPr="005C4204">
        <w:rPr>
          <w:color w:val="000000" w:themeColor="text1"/>
          <w:lang w:val="x-none"/>
        </w:rPr>
        <w:t xml:space="preserve">. </w:t>
      </w:r>
      <w:r w:rsidR="007A1880" w:rsidRPr="005C4204">
        <w:rPr>
          <w:color w:val="000000" w:themeColor="text1"/>
        </w:rPr>
        <w:t>The increase</w:t>
      </w:r>
      <w:r w:rsidR="00C84061">
        <w:rPr>
          <w:color w:val="000000" w:themeColor="text1"/>
        </w:rPr>
        <w:t xml:space="preserve"> will </w:t>
      </w:r>
      <w:r w:rsidR="003328FA">
        <w:rPr>
          <w:color w:val="000000" w:themeColor="text1"/>
        </w:rPr>
        <w:t>commence</w:t>
      </w:r>
      <w:r w:rsidR="003328FA" w:rsidRPr="005C4204">
        <w:rPr>
          <w:color w:val="000000" w:themeColor="text1"/>
        </w:rPr>
        <w:t xml:space="preserve"> on</w:t>
      </w:r>
      <w:r w:rsidR="007A1880" w:rsidRPr="005C4204">
        <w:rPr>
          <w:color w:val="000000" w:themeColor="text1"/>
        </w:rPr>
        <w:t xml:space="preserve"> 1 July 202</w:t>
      </w:r>
      <w:r>
        <w:rPr>
          <w:color w:val="000000" w:themeColor="text1"/>
        </w:rPr>
        <w:t>3</w:t>
      </w:r>
      <w:r w:rsidR="007A1880" w:rsidRPr="005C4204">
        <w:rPr>
          <w:color w:val="000000" w:themeColor="text1"/>
        </w:rPr>
        <w:t>.</w:t>
      </w:r>
      <w:r w:rsidR="007A1880" w:rsidRPr="005C4204">
        <w:rPr>
          <w:color w:val="000000" w:themeColor="text1"/>
          <w:lang w:val="x-none"/>
        </w:rPr>
        <w:t xml:space="preserve"> </w:t>
      </w:r>
    </w:p>
    <w:bookmarkEnd w:id="4"/>
    <w:p w14:paraId="777D9F15" w14:textId="0145938B" w:rsidR="00E07F02" w:rsidRPr="006E7416" w:rsidRDefault="00E07F02" w:rsidP="00EA1D9F">
      <w:pPr>
        <w:spacing w:after="120"/>
        <w:rPr>
          <w:iCs/>
          <w:color w:val="000000" w:themeColor="text1"/>
        </w:rPr>
      </w:pPr>
    </w:p>
    <w:p w14:paraId="721C584E" w14:textId="0EA1AA88" w:rsidR="007D54E4" w:rsidRPr="006E7416" w:rsidRDefault="009D0DE1" w:rsidP="007D54E4">
      <w:pPr>
        <w:tabs>
          <w:tab w:val="left" w:pos="4253"/>
          <w:tab w:val="left" w:leader="dot" w:pos="8222"/>
        </w:tabs>
        <w:jc w:val="right"/>
        <w:rPr>
          <w:color w:val="000000" w:themeColor="text1"/>
        </w:rPr>
      </w:pPr>
      <w:r>
        <w:rPr>
          <w:color w:val="000000" w:themeColor="text1"/>
        </w:rPr>
        <w:t>16</w:t>
      </w:r>
      <w:r w:rsidR="003C3D5D">
        <w:rPr>
          <w:color w:val="000000" w:themeColor="text1"/>
        </w:rPr>
        <w:t xml:space="preserve"> </w:t>
      </w:r>
      <w:r w:rsidR="00664751">
        <w:rPr>
          <w:color w:val="000000" w:themeColor="text1"/>
        </w:rPr>
        <w:t>Ju</w:t>
      </w:r>
      <w:r w:rsidR="003C3D5D">
        <w:rPr>
          <w:color w:val="000000" w:themeColor="text1"/>
        </w:rPr>
        <w:t>ne</w:t>
      </w:r>
      <w:r w:rsidR="007A1880" w:rsidRPr="006E7416">
        <w:rPr>
          <w:color w:val="000000" w:themeColor="text1"/>
        </w:rPr>
        <w:t xml:space="preserve"> </w:t>
      </w:r>
      <w:r w:rsidR="0054199E" w:rsidRPr="006E7416">
        <w:rPr>
          <w:color w:val="000000" w:themeColor="text1"/>
        </w:rPr>
        <w:t>202</w:t>
      </w:r>
      <w:r w:rsidR="003C3D5D">
        <w:rPr>
          <w:color w:val="000000" w:themeColor="text1"/>
        </w:rPr>
        <w:t>3</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3547B563" w:rsidR="003665E3" w:rsidRPr="006E7416" w:rsidRDefault="003665E3" w:rsidP="00F00DFB">
      <w:pPr>
        <w:pStyle w:val="Heading1"/>
        <w:spacing w:before="120"/>
        <w:rPr>
          <w:color w:val="000000" w:themeColor="text1"/>
        </w:rPr>
      </w:pPr>
      <w:r w:rsidRPr="006E7416">
        <w:rPr>
          <w:color w:val="000000" w:themeColor="text1"/>
        </w:rPr>
        <w:t xml:space="preserve">Determination </w:t>
      </w:r>
      <w:r w:rsidR="003C3D5D">
        <w:rPr>
          <w:color w:val="000000" w:themeColor="text1"/>
        </w:rPr>
        <w:t>3</w:t>
      </w:r>
      <w:r w:rsidRPr="006E7416">
        <w:rPr>
          <w:color w:val="000000" w:themeColor="text1"/>
        </w:rPr>
        <w:t xml:space="preserve"> of </w:t>
      </w:r>
      <w:r w:rsidR="006442AA" w:rsidRPr="006E7416">
        <w:rPr>
          <w:color w:val="000000" w:themeColor="text1"/>
        </w:rPr>
        <w:t>202</w:t>
      </w:r>
      <w:r w:rsidR="003C3D5D">
        <w:rPr>
          <w:color w:val="000000" w:themeColor="text1"/>
        </w:rPr>
        <w:t>3</w:t>
      </w:r>
    </w:p>
    <w:p w14:paraId="60615B91" w14:textId="77777777" w:rsidR="003665E3" w:rsidRPr="003B1A08" w:rsidRDefault="003665E3" w:rsidP="00F00DFB">
      <w:pPr>
        <w:pStyle w:val="Heading1"/>
        <w:spacing w:before="120"/>
      </w:pPr>
      <w:r>
        <w:t xml:space="preserve">Head of Service, </w:t>
      </w:r>
      <w:proofErr w:type="gramStart"/>
      <w:r>
        <w:t>Directors-General</w:t>
      </w:r>
      <w:proofErr w:type="gramEnd"/>
      <w:r>
        <w:t xml:space="preserve">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5D738AED" w:rsidR="00F11BCC" w:rsidRPr="006E741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w:t>
      </w:r>
      <w:r w:rsidR="0054199E" w:rsidRPr="006E7416">
        <w:rPr>
          <w:color w:val="000000" w:themeColor="text1"/>
          <w:szCs w:val="24"/>
        </w:rPr>
        <w:t xml:space="preserve">is taken to have </w:t>
      </w:r>
      <w:r w:rsidRPr="006E7416">
        <w:rPr>
          <w:color w:val="000000" w:themeColor="text1"/>
          <w:szCs w:val="24"/>
        </w:rPr>
        <w:t>commence</w:t>
      </w:r>
      <w:r w:rsidR="00E07F02" w:rsidRPr="006E7416">
        <w:rPr>
          <w:color w:val="000000" w:themeColor="text1"/>
          <w:szCs w:val="24"/>
        </w:rPr>
        <w:t>d</w:t>
      </w:r>
      <w:r w:rsidRPr="006E7416">
        <w:rPr>
          <w:color w:val="000000" w:themeColor="text1"/>
          <w:szCs w:val="24"/>
        </w:rPr>
        <w:t xml:space="preserve"> on </w:t>
      </w:r>
      <w:r w:rsidR="007A1880">
        <w:rPr>
          <w:color w:val="000000" w:themeColor="text1"/>
        </w:rPr>
        <w:t>1 July 202</w:t>
      </w:r>
      <w:r w:rsidR="003C3D5D">
        <w:rPr>
          <w:color w:val="000000" w:themeColor="text1"/>
        </w:rPr>
        <w:t>3</w:t>
      </w:r>
      <w:r w:rsidRPr="006E7416">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43377AD2"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w:t>
      </w:r>
      <w:r w:rsidR="00C019FF" w:rsidRPr="006E7416">
        <w:rPr>
          <w:rFonts w:eastAsia="Times New Roman"/>
          <w:color w:val="000000" w:themeColor="text1"/>
          <w:sz w:val="24"/>
          <w:szCs w:val="20"/>
        </w:rPr>
        <w:t xml:space="preserve">level </w:t>
      </w:r>
      <w:r w:rsidRPr="006E7416">
        <w:rPr>
          <w:rFonts w:eastAsia="Times New Roman"/>
          <w:color w:val="000000" w:themeColor="text1"/>
          <w:sz w:val="24"/>
          <w:szCs w:val="20"/>
        </w:rPr>
        <w:t xml:space="preserve">specified </w:t>
      </w:r>
      <w:r w:rsidR="00C019FF" w:rsidRPr="006E7416">
        <w:rPr>
          <w:rFonts w:eastAsia="Times New Roman"/>
          <w:color w:val="000000" w:themeColor="text1"/>
          <w:sz w:val="24"/>
          <w:szCs w:val="20"/>
        </w:rPr>
        <w:t>in column 1</w:t>
      </w:r>
      <w:r w:rsidR="00A55427">
        <w:rPr>
          <w:rFonts w:eastAsia="Times New Roman"/>
          <w:color w:val="000000" w:themeColor="text1"/>
          <w:sz w:val="24"/>
          <w:szCs w:val="24"/>
        </w:rPr>
        <w:t>.</w:t>
      </w:r>
    </w:p>
    <w:p w14:paraId="42062E07" w14:textId="77777777" w:rsidR="00F11BCC" w:rsidRPr="00335707" w:rsidRDefault="00F11BCC" w:rsidP="00F11BCC">
      <w:pPr>
        <w:spacing w:before="80" w:after="60"/>
        <w:ind w:left="709"/>
        <w:rPr>
          <w:b/>
        </w:rPr>
      </w:pPr>
      <w:r w:rsidRPr="00335707">
        <w:rPr>
          <w:b/>
        </w:rPr>
        <w:t>TABLE 2.1</w:t>
      </w:r>
    </w:p>
    <w:tbl>
      <w:tblPr>
        <w:tblW w:w="65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680"/>
        <w:gridCol w:w="1918"/>
        <w:gridCol w:w="1918"/>
      </w:tblGrid>
      <w:tr w:rsidR="00BC77CF" w:rsidRPr="00D101F0" w14:paraId="0E73B7A3" w14:textId="08CEFE88" w:rsidTr="003328FA">
        <w:trPr>
          <w:trHeight w:val="374"/>
        </w:trPr>
        <w:tc>
          <w:tcPr>
            <w:tcW w:w="2680" w:type="dxa"/>
          </w:tcPr>
          <w:p w14:paraId="02208E4D" w14:textId="2672BD78" w:rsidR="00BC77CF" w:rsidRPr="00366D86" w:rsidRDefault="00BC77CF" w:rsidP="00287A58">
            <w:pPr>
              <w:pStyle w:val="Header"/>
              <w:tabs>
                <w:tab w:val="clear" w:pos="4153"/>
                <w:tab w:val="clear" w:pos="8306"/>
              </w:tabs>
              <w:spacing w:before="60" w:after="60"/>
              <w:rPr>
                <w:color w:val="000000" w:themeColor="text1"/>
                <w:sz w:val="20"/>
              </w:rPr>
            </w:pPr>
            <w:r w:rsidRPr="00366D86">
              <w:rPr>
                <w:color w:val="000000" w:themeColor="text1"/>
                <w:sz w:val="20"/>
              </w:rPr>
              <w:t>Column 1</w:t>
            </w:r>
          </w:p>
          <w:p w14:paraId="35FFC596" w14:textId="6F870C0F" w:rsidR="00BC77CF" w:rsidRPr="00366D86" w:rsidRDefault="00BC77CF" w:rsidP="00B51F23">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1918" w:type="dxa"/>
            <w:shd w:val="clear" w:color="auto" w:fill="auto"/>
          </w:tcPr>
          <w:p w14:paraId="304BEC61" w14:textId="6ECB19CF" w:rsidR="00BC77CF" w:rsidRPr="00366D86" w:rsidRDefault="00BC77CF" w:rsidP="00287A58">
            <w:pPr>
              <w:spacing w:before="60" w:after="60"/>
              <w:rPr>
                <w:color w:val="000000" w:themeColor="text1"/>
                <w:sz w:val="20"/>
              </w:rPr>
            </w:pPr>
            <w:r w:rsidRPr="00366D86">
              <w:rPr>
                <w:color w:val="000000" w:themeColor="text1"/>
                <w:sz w:val="20"/>
              </w:rPr>
              <w:t>Column 2</w:t>
            </w:r>
          </w:p>
          <w:p w14:paraId="6BB80A65" w14:textId="5E6AB76D" w:rsidR="00BC77CF" w:rsidRPr="00366D86" w:rsidRDefault="00BC77CF" w:rsidP="00DB024A">
            <w:pPr>
              <w:spacing w:before="60" w:after="60"/>
              <w:rPr>
                <w:color w:val="000000" w:themeColor="text1"/>
              </w:rPr>
            </w:pPr>
            <w:r>
              <w:rPr>
                <w:b/>
                <w:color w:val="000000" w:themeColor="text1"/>
              </w:rPr>
              <w:t xml:space="preserve">Base </w:t>
            </w:r>
            <w:r w:rsidRPr="00366D86">
              <w:rPr>
                <w:b/>
                <w:color w:val="000000" w:themeColor="text1"/>
              </w:rPr>
              <w:t>Remuneration</w:t>
            </w:r>
          </w:p>
        </w:tc>
        <w:tc>
          <w:tcPr>
            <w:tcW w:w="1918" w:type="dxa"/>
          </w:tcPr>
          <w:p w14:paraId="71E961CA" w14:textId="07A9B162" w:rsidR="00BC77CF" w:rsidRPr="00366D86" w:rsidRDefault="00BC77CF" w:rsidP="006256BF">
            <w:pPr>
              <w:spacing w:before="60" w:after="60"/>
              <w:rPr>
                <w:color w:val="000000" w:themeColor="text1"/>
                <w:sz w:val="20"/>
              </w:rPr>
            </w:pPr>
            <w:r w:rsidRPr="00366D86">
              <w:rPr>
                <w:color w:val="000000" w:themeColor="text1"/>
                <w:sz w:val="20"/>
              </w:rPr>
              <w:t xml:space="preserve">Column </w:t>
            </w:r>
            <w:r>
              <w:rPr>
                <w:color w:val="000000" w:themeColor="text1"/>
                <w:sz w:val="20"/>
              </w:rPr>
              <w:t>3</w:t>
            </w:r>
            <w:r>
              <w:rPr>
                <w:rStyle w:val="FootnoteReference"/>
                <w:color w:val="000000" w:themeColor="text1"/>
                <w:sz w:val="20"/>
              </w:rPr>
              <w:footnoteReference w:id="5"/>
            </w:r>
          </w:p>
          <w:p w14:paraId="08076A9F" w14:textId="4BAB65FC" w:rsidR="00BC77CF" w:rsidRPr="00366D86" w:rsidRDefault="00BC77CF" w:rsidP="006256BF">
            <w:pPr>
              <w:spacing w:before="60" w:after="60"/>
              <w:rPr>
                <w:color w:val="000000" w:themeColor="text1"/>
                <w:sz w:val="20"/>
              </w:rPr>
            </w:pPr>
            <w:r>
              <w:rPr>
                <w:b/>
                <w:color w:val="000000" w:themeColor="text1"/>
              </w:rPr>
              <w:t xml:space="preserve">Total </w:t>
            </w:r>
            <w:r w:rsidRPr="00366D86">
              <w:rPr>
                <w:b/>
                <w:color w:val="000000" w:themeColor="text1"/>
              </w:rPr>
              <w:t>Remuneration</w:t>
            </w:r>
            <w:r w:rsidRPr="00366D86">
              <w:rPr>
                <w:color w:val="000000" w:themeColor="text1"/>
                <w:sz w:val="20"/>
              </w:rPr>
              <w:t xml:space="preserve"> </w:t>
            </w:r>
          </w:p>
        </w:tc>
      </w:tr>
      <w:tr w:rsidR="00BC77CF" w:rsidRPr="00D101F0" w14:paraId="5E7A9976" w14:textId="1F92069E" w:rsidTr="003328FA">
        <w:tc>
          <w:tcPr>
            <w:tcW w:w="2680" w:type="dxa"/>
          </w:tcPr>
          <w:p w14:paraId="3CEE5B51" w14:textId="50D3FB3C" w:rsidR="00BC77CF" w:rsidRPr="003A0EA1" w:rsidRDefault="00BC77CF" w:rsidP="009B6793">
            <w:pPr>
              <w:rPr>
                <w:color w:val="000000" w:themeColor="text1"/>
              </w:rPr>
            </w:pPr>
            <w:r w:rsidRPr="003A0EA1">
              <w:rPr>
                <w:color w:val="000000" w:themeColor="text1"/>
              </w:rPr>
              <w:t>Level 1.1</w:t>
            </w:r>
          </w:p>
        </w:tc>
        <w:tc>
          <w:tcPr>
            <w:tcW w:w="1918" w:type="dxa"/>
            <w:shd w:val="clear" w:color="auto" w:fill="auto"/>
          </w:tcPr>
          <w:p w14:paraId="1F320F1D" w14:textId="60489C45" w:rsidR="00BC77CF" w:rsidRPr="003A0EA1" w:rsidRDefault="00BC77CF" w:rsidP="009B6793">
            <w:pPr>
              <w:rPr>
                <w:color w:val="000000" w:themeColor="text1"/>
                <w:szCs w:val="24"/>
              </w:rPr>
            </w:pPr>
            <w:r>
              <w:rPr>
                <w:color w:val="000000" w:themeColor="text1"/>
                <w:szCs w:val="24"/>
              </w:rPr>
              <w:t>$169,719</w:t>
            </w:r>
          </w:p>
        </w:tc>
        <w:tc>
          <w:tcPr>
            <w:tcW w:w="1918" w:type="dxa"/>
          </w:tcPr>
          <w:p w14:paraId="40149F5C" w14:textId="5C9FDACE" w:rsidR="00BC77CF" w:rsidRPr="003A0EA1" w:rsidRDefault="00BC77CF" w:rsidP="009B6793">
            <w:pPr>
              <w:rPr>
                <w:color w:val="000000" w:themeColor="text1"/>
                <w:szCs w:val="24"/>
              </w:rPr>
            </w:pPr>
            <w:r>
              <w:rPr>
                <w:color w:val="000000" w:themeColor="text1"/>
                <w:szCs w:val="24"/>
              </w:rPr>
              <w:t>$201,219</w:t>
            </w:r>
          </w:p>
        </w:tc>
      </w:tr>
      <w:tr w:rsidR="00BC77CF" w:rsidRPr="00D101F0" w14:paraId="50EE145D" w14:textId="72325C98" w:rsidTr="003328FA">
        <w:tc>
          <w:tcPr>
            <w:tcW w:w="2680" w:type="dxa"/>
          </w:tcPr>
          <w:p w14:paraId="0DF1236B" w14:textId="77777777" w:rsidR="00BC77CF" w:rsidRPr="003A0EA1" w:rsidRDefault="00BC77CF" w:rsidP="009B6793">
            <w:pPr>
              <w:rPr>
                <w:color w:val="000000" w:themeColor="text1"/>
              </w:rPr>
            </w:pPr>
            <w:r w:rsidRPr="003A0EA1">
              <w:rPr>
                <w:color w:val="000000" w:themeColor="text1"/>
              </w:rPr>
              <w:t>Level 1.2</w:t>
            </w:r>
          </w:p>
        </w:tc>
        <w:tc>
          <w:tcPr>
            <w:tcW w:w="1918" w:type="dxa"/>
            <w:shd w:val="clear" w:color="auto" w:fill="auto"/>
          </w:tcPr>
          <w:p w14:paraId="76E882C7" w14:textId="7B9A0592" w:rsidR="00BC77CF" w:rsidRPr="003A0EA1" w:rsidRDefault="00BC77CF" w:rsidP="009B6793">
            <w:pPr>
              <w:rPr>
                <w:color w:val="000000" w:themeColor="text1"/>
                <w:szCs w:val="24"/>
              </w:rPr>
            </w:pPr>
            <w:r>
              <w:rPr>
                <w:color w:val="000000" w:themeColor="text1"/>
                <w:szCs w:val="24"/>
              </w:rPr>
              <w:t>$184,072</w:t>
            </w:r>
          </w:p>
        </w:tc>
        <w:tc>
          <w:tcPr>
            <w:tcW w:w="1918" w:type="dxa"/>
          </w:tcPr>
          <w:p w14:paraId="11171AB3" w14:textId="5ED4B217" w:rsidR="00BC77CF" w:rsidRPr="003A0EA1" w:rsidRDefault="00BC77CF" w:rsidP="009B6793">
            <w:pPr>
              <w:rPr>
                <w:color w:val="000000" w:themeColor="text1"/>
                <w:szCs w:val="24"/>
              </w:rPr>
            </w:pPr>
            <w:r>
              <w:rPr>
                <w:color w:val="000000" w:themeColor="text1"/>
                <w:szCs w:val="24"/>
              </w:rPr>
              <w:t>$215,572</w:t>
            </w:r>
          </w:p>
        </w:tc>
      </w:tr>
      <w:tr w:rsidR="00BC77CF" w:rsidRPr="00D101F0" w14:paraId="2AB740DE" w14:textId="3E67F2A9" w:rsidTr="003328FA">
        <w:tc>
          <w:tcPr>
            <w:tcW w:w="2680" w:type="dxa"/>
          </w:tcPr>
          <w:p w14:paraId="690BF120" w14:textId="77777777" w:rsidR="00BC77CF" w:rsidRPr="003A0EA1" w:rsidRDefault="00BC77CF" w:rsidP="009B6793">
            <w:pPr>
              <w:rPr>
                <w:color w:val="000000" w:themeColor="text1"/>
              </w:rPr>
            </w:pPr>
            <w:r w:rsidRPr="003A0EA1">
              <w:rPr>
                <w:color w:val="000000" w:themeColor="text1"/>
              </w:rPr>
              <w:t>Level 1.3</w:t>
            </w:r>
          </w:p>
        </w:tc>
        <w:tc>
          <w:tcPr>
            <w:tcW w:w="1918" w:type="dxa"/>
            <w:shd w:val="clear" w:color="auto" w:fill="auto"/>
          </w:tcPr>
          <w:p w14:paraId="0A2E3BC2" w14:textId="20C10688" w:rsidR="00BC77CF" w:rsidRPr="003A0EA1" w:rsidRDefault="00BC77CF" w:rsidP="009B6793">
            <w:pPr>
              <w:rPr>
                <w:color w:val="000000" w:themeColor="text1"/>
                <w:szCs w:val="24"/>
              </w:rPr>
            </w:pPr>
            <w:r>
              <w:rPr>
                <w:color w:val="000000" w:themeColor="text1"/>
                <w:szCs w:val="24"/>
              </w:rPr>
              <w:t>$198,415</w:t>
            </w:r>
          </w:p>
        </w:tc>
        <w:tc>
          <w:tcPr>
            <w:tcW w:w="1918" w:type="dxa"/>
          </w:tcPr>
          <w:p w14:paraId="34D508A0" w14:textId="282451A5" w:rsidR="00BC77CF" w:rsidRPr="003A0EA1" w:rsidRDefault="00BC77CF" w:rsidP="009B6793">
            <w:pPr>
              <w:rPr>
                <w:color w:val="000000" w:themeColor="text1"/>
                <w:szCs w:val="24"/>
              </w:rPr>
            </w:pPr>
            <w:r>
              <w:rPr>
                <w:color w:val="000000" w:themeColor="text1"/>
                <w:szCs w:val="24"/>
              </w:rPr>
              <w:t>$229,915</w:t>
            </w:r>
          </w:p>
        </w:tc>
      </w:tr>
      <w:tr w:rsidR="00BC77CF" w:rsidRPr="00D101F0" w14:paraId="58692BE4" w14:textId="6BB8A3AF" w:rsidTr="003328FA">
        <w:tc>
          <w:tcPr>
            <w:tcW w:w="2680" w:type="dxa"/>
            <w:tcBorders>
              <w:bottom w:val="single" w:sz="12" w:space="0" w:color="auto"/>
            </w:tcBorders>
          </w:tcPr>
          <w:p w14:paraId="13BD4524" w14:textId="77777777" w:rsidR="00BC77CF" w:rsidRPr="003A0EA1" w:rsidRDefault="00BC77CF" w:rsidP="009B6793">
            <w:pPr>
              <w:rPr>
                <w:color w:val="000000" w:themeColor="text1"/>
              </w:rPr>
            </w:pPr>
            <w:r w:rsidRPr="003A0EA1">
              <w:rPr>
                <w:color w:val="000000" w:themeColor="text1"/>
              </w:rPr>
              <w:t>Level 1.4</w:t>
            </w:r>
          </w:p>
        </w:tc>
        <w:tc>
          <w:tcPr>
            <w:tcW w:w="1918" w:type="dxa"/>
            <w:tcBorders>
              <w:bottom w:val="single" w:sz="12" w:space="0" w:color="auto"/>
            </w:tcBorders>
            <w:shd w:val="clear" w:color="auto" w:fill="auto"/>
          </w:tcPr>
          <w:p w14:paraId="5F123431" w14:textId="145CF04D" w:rsidR="00BC77CF" w:rsidRPr="003A0EA1" w:rsidRDefault="00BC77CF" w:rsidP="009B6793">
            <w:pPr>
              <w:rPr>
                <w:color w:val="000000" w:themeColor="text1"/>
                <w:szCs w:val="24"/>
              </w:rPr>
            </w:pPr>
            <w:r>
              <w:rPr>
                <w:color w:val="000000" w:themeColor="text1"/>
                <w:szCs w:val="24"/>
              </w:rPr>
              <w:t>$212,701</w:t>
            </w:r>
          </w:p>
        </w:tc>
        <w:tc>
          <w:tcPr>
            <w:tcW w:w="1918" w:type="dxa"/>
            <w:tcBorders>
              <w:bottom w:val="single" w:sz="12" w:space="0" w:color="auto"/>
            </w:tcBorders>
          </w:tcPr>
          <w:p w14:paraId="256C6E4E" w14:textId="4C7B66C8" w:rsidR="00BC77CF" w:rsidRPr="003A0EA1" w:rsidRDefault="00BC77CF" w:rsidP="009B6793">
            <w:pPr>
              <w:rPr>
                <w:color w:val="000000" w:themeColor="text1"/>
                <w:szCs w:val="24"/>
              </w:rPr>
            </w:pPr>
            <w:r>
              <w:rPr>
                <w:color w:val="000000" w:themeColor="text1"/>
                <w:szCs w:val="24"/>
              </w:rPr>
              <w:t>$244,201</w:t>
            </w:r>
          </w:p>
        </w:tc>
      </w:tr>
      <w:tr w:rsidR="00BC77CF" w:rsidRPr="00D101F0" w14:paraId="06E7336A" w14:textId="4BD07862" w:rsidTr="003328FA">
        <w:tc>
          <w:tcPr>
            <w:tcW w:w="2680" w:type="dxa"/>
            <w:tcBorders>
              <w:top w:val="single" w:sz="12" w:space="0" w:color="auto"/>
            </w:tcBorders>
          </w:tcPr>
          <w:p w14:paraId="45B2F5F7" w14:textId="77777777" w:rsidR="00BC77CF" w:rsidRPr="003A0EA1" w:rsidRDefault="00BC77CF" w:rsidP="009B6793">
            <w:pPr>
              <w:rPr>
                <w:color w:val="000000" w:themeColor="text1"/>
              </w:rPr>
            </w:pPr>
            <w:r w:rsidRPr="003A0EA1">
              <w:rPr>
                <w:color w:val="000000" w:themeColor="text1"/>
              </w:rPr>
              <w:t>Level 2.1</w:t>
            </w:r>
          </w:p>
        </w:tc>
        <w:tc>
          <w:tcPr>
            <w:tcW w:w="1918" w:type="dxa"/>
            <w:tcBorders>
              <w:top w:val="single" w:sz="12" w:space="0" w:color="auto"/>
            </w:tcBorders>
            <w:shd w:val="clear" w:color="auto" w:fill="auto"/>
          </w:tcPr>
          <w:p w14:paraId="7D92E1A3" w14:textId="3522D1F6" w:rsidR="00BC77CF" w:rsidRPr="003A0EA1" w:rsidRDefault="00BC77CF" w:rsidP="009B6793">
            <w:pPr>
              <w:rPr>
                <w:color w:val="000000" w:themeColor="text1"/>
                <w:szCs w:val="24"/>
              </w:rPr>
            </w:pPr>
            <w:r>
              <w:rPr>
                <w:color w:val="000000" w:themeColor="text1"/>
                <w:szCs w:val="24"/>
              </w:rPr>
              <w:t>$227,114</w:t>
            </w:r>
          </w:p>
        </w:tc>
        <w:tc>
          <w:tcPr>
            <w:tcW w:w="1918" w:type="dxa"/>
            <w:tcBorders>
              <w:top w:val="single" w:sz="12" w:space="0" w:color="auto"/>
            </w:tcBorders>
          </w:tcPr>
          <w:p w14:paraId="17A71D79" w14:textId="13DD92E7" w:rsidR="00BC77CF" w:rsidRPr="003A0EA1" w:rsidRDefault="00BC77CF" w:rsidP="009B6793">
            <w:pPr>
              <w:rPr>
                <w:color w:val="000000" w:themeColor="text1"/>
                <w:szCs w:val="24"/>
              </w:rPr>
            </w:pPr>
            <w:r>
              <w:rPr>
                <w:color w:val="000000" w:themeColor="text1"/>
                <w:szCs w:val="24"/>
              </w:rPr>
              <w:t>$259,114</w:t>
            </w:r>
          </w:p>
        </w:tc>
      </w:tr>
      <w:tr w:rsidR="00BC77CF" w:rsidRPr="00D101F0" w14:paraId="176A8C60" w14:textId="01226495" w:rsidTr="003328FA">
        <w:tc>
          <w:tcPr>
            <w:tcW w:w="2680" w:type="dxa"/>
          </w:tcPr>
          <w:p w14:paraId="4C9A7992" w14:textId="77777777" w:rsidR="00BC77CF" w:rsidRPr="003A0EA1" w:rsidRDefault="00BC77CF" w:rsidP="009B6793">
            <w:pPr>
              <w:rPr>
                <w:color w:val="000000" w:themeColor="text1"/>
              </w:rPr>
            </w:pPr>
            <w:r w:rsidRPr="003A0EA1">
              <w:rPr>
                <w:color w:val="000000" w:themeColor="text1"/>
              </w:rPr>
              <w:t>Level 2.2</w:t>
            </w:r>
          </w:p>
        </w:tc>
        <w:tc>
          <w:tcPr>
            <w:tcW w:w="1918" w:type="dxa"/>
            <w:shd w:val="clear" w:color="auto" w:fill="auto"/>
          </w:tcPr>
          <w:p w14:paraId="5D36B92B" w14:textId="365954CD" w:rsidR="00BC77CF" w:rsidRPr="003A0EA1" w:rsidRDefault="00BC77CF" w:rsidP="009B6793">
            <w:pPr>
              <w:rPr>
                <w:color w:val="000000" w:themeColor="text1"/>
                <w:szCs w:val="24"/>
              </w:rPr>
            </w:pPr>
            <w:r>
              <w:rPr>
                <w:color w:val="000000" w:themeColor="text1"/>
                <w:szCs w:val="24"/>
              </w:rPr>
              <w:t>$247,122</w:t>
            </w:r>
          </w:p>
        </w:tc>
        <w:tc>
          <w:tcPr>
            <w:tcW w:w="1918" w:type="dxa"/>
          </w:tcPr>
          <w:p w14:paraId="1F794F65" w14:textId="731377AC" w:rsidR="00BC77CF" w:rsidRPr="003A0EA1" w:rsidRDefault="00BC77CF" w:rsidP="009B6793">
            <w:pPr>
              <w:rPr>
                <w:color w:val="000000" w:themeColor="text1"/>
                <w:szCs w:val="24"/>
              </w:rPr>
            </w:pPr>
            <w:r>
              <w:rPr>
                <w:color w:val="000000" w:themeColor="text1"/>
                <w:szCs w:val="24"/>
              </w:rPr>
              <w:t>$279,1</w:t>
            </w:r>
            <w:r w:rsidR="007C5FE9">
              <w:rPr>
                <w:color w:val="000000" w:themeColor="text1"/>
                <w:szCs w:val="24"/>
              </w:rPr>
              <w:t>2</w:t>
            </w:r>
            <w:r>
              <w:rPr>
                <w:color w:val="000000" w:themeColor="text1"/>
                <w:szCs w:val="24"/>
              </w:rPr>
              <w:t>2</w:t>
            </w:r>
          </w:p>
        </w:tc>
      </w:tr>
      <w:tr w:rsidR="00BC77CF" w:rsidRPr="00D101F0" w14:paraId="23141617" w14:textId="0BE79011" w:rsidTr="003328FA">
        <w:tc>
          <w:tcPr>
            <w:tcW w:w="2680" w:type="dxa"/>
          </w:tcPr>
          <w:p w14:paraId="0F9C6CC8" w14:textId="77777777" w:rsidR="00BC77CF" w:rsidRPr="003A0EA1" w:rsidRDefault="00BC77CF" w:rsidP="009B6793">
            <w:pPr>
              <w:rPr>
                <w:color w:val="000000" w:themeColor="text1"/>
              </w:rPr>
            </w:pPr>
            <w:r w:rsidRPr="003A0EA1">
              <w:rPr>
                <w:color w:val="000000" w:themeColor="text1"/>
              </w:rPr>
              <w:t>Level 2.3</w:t>
            </w:r>
          </w:p>
        </w:tc>
        <w:tc>
          <w:tcPr>
            <w:tcW w:w="1918" w:type="dxa"/>
            <w:shd w:val="clear" w:color="auto" w:fill="auto"/>
          </w:tcPr>
          <w:p w14:paraId="7F05F850" w14:textId="3B9D79CC" w:rsidR="00BC77CF" w:rsidRPr="003A0EA1" w:rsidRDefault="00BC77CF" w:rsidP="009B6793">
            <w:pPr>
              <w:rPr>
                <w:color w:val="000000" w:themeColor="text1"/>
                <w:szCs w:val="24"/>
              </w:rPr>
            </w:pPr>
            <w:r>
              <w:rPr>
                <w:color w:val="000000" w:themeColor="text1"/>
                <w:szCs w:val="24"/>
              </w:rPr>
              <w:t>$267,120</w:t>
            </w:r>
          </w:p>
        </w:tc>
        <w:tc>
          <w:tcPr>
            <w:tcW w:w="1918" w:type="dxa"/>
          </w:tcPr>
          <w:p w14:paraId="4D8E87E5" w14:textId="23565ABB"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299,120</w:t>
            </w:r>
          </w:p>
        </w:tc>
      </w:tr>
      <w:tr w:rsidR="00BC77CF" w:rsidRPr="00D101F0" w14:paraId="274FCF9A" w14:textId="700048B9" w:rsidTr="003328FA">
        <w:tc>
          <w:tcPr>
            <w:tcW w:w="2680" w:type="dxa"/>
            <w:tcBorders>
              <w:bottom w:val="single" w:sz="12" w:space="0" w:color="auto"/>
            </w:tcBorders>
          </w:tcPr>
          <w:p w14:paraId="54318AFC" w14:textId="77777777" w:rsidR="00BC77CF" w:rsidRPr="003A0EA1" w:rsidRDefault="00BC77CF" w:rsidP="009B6793">
            <w:pPr>
              <w:rPr>
                <w:color w:val="000000" w:themeColor="text1"/>
              </w:rPr>
            </w:pPr>
            <w:r w:rsidRPr="003A0EA1">
              <w:rPr>
                <w:color w:val="000000" w:themeColor="text1"/>
              </w:rPr>
              <w:t>Level 2.4</w:t>
            </w:r>
          </w:p>
        </w:tc>
        <w:tc>
          <w:tcPr>
            <w:tcW w:w="1918" w:type="dxa"/>
            <w:tcBorders>
              <w:bottom w:val="single" w:sz="12" w:space="0" w:color="auto"/>
            </w:tcBorders>
            <w:shd w:val="clear" w:color="auto" w:fill="auto"/>
          </w:tcPr>
          <w:p w14:paraId="0BADD84E" w14:textId="42E386AF" w:rsidR="00BC77CF" w:rsidRPr="003A0EA1" w:rsidRDefault="00BC77CF" w:rsidP="009B6793">
            <w:pPr>
              <w:rPr>
                <w:color w:val="000000" w:themeColor="text1"/>
                <w:szCs w:val="24"/>
              </w:rPr>
            </w:pPr>
            <w:r>
              <w:rPr>
                <w:color w:val="000000" w:themeColor="text1"/>
                <w:szCs w:val="24"/>
              </w:rPr>
              <w:t>$287,205</w:t>
            </w:r>
          </w:p>
        </w:tc>
        <w:tc>
          <w:tcPr>
            <w:tcW w:w="1918" w:type="dxa"/>
            <w:tcBorders>
              <w:bottom w:val="single" w:sz="12" w:space="0" w:color="auto"/>
            </w:tcBorders>
          </w:tcPr>
          <w:p w14:paraId="55F2D259" w14:textId="2DB2BDBE"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319,205</w:t>
            </w:r>
          </w:p>
        </w:tc>
      </w:tr>
      <w:tr w:rsidR="00BC77CF" w:rsidRPr="00D101F0" w14:paraId="7D849EAD" w14:textId="5F7C84F6" w:rsidTr="003328FA">
        <w:tc>
          <w:tcPr>
            <w:tcW w:w="2680" w:type="dxa"/>
            <w:tcBorders>
              <w:top w:val="single" w:sz="12" w:space="0" w:color="auto"/>
            </w:tcBorders>
          </w:tcPr>
          <w:p w14:paraId="038E525F" w14:textId="77777777" w:rsidR="00BC77CF" w:rsidRPr="003A0EA1" w:rsidRDefault="00BC77CF" w:rsidP="009B6793">
            <w:pPr>
              <w:rPr>
                <w:color w:val="000000" w:themeColor="text1"/>
              </w:rPr>
            </w:pPr>
            <w:r w:rsidRPr="003A0EA1">
              <w:rPr>
                <w:color w:val="000000" w:themeColor="text1"/>
              </w:rPr>
              <w:t>Level 3.1</w:t>
            </w:r>
          </w:p>
        </w:tc>
        <w:tc>
          <w:tcPr>
            <w:tcW w:w="1918" w:type="dxa"/>
            <w:tcBorders>
              <w:top w:val="single" w:sz="12" w:space="0" w:color="auto"/>
            </w:tcBorders>
            <w:shd w:val="clear" w:color="auto" w:fill="auto"/>
          </w:tcPr>
          <w:p w14:paraId="05FAB1D3" w14:textId="3D25F784" w:rsidR="00BC77CF" w:rsidRPr="003A0EA1" w:rsidRDefault="00BC77CF" w:rsidP="009B6793">
            <w:pPr>
              <w:rPr>
                <w:color w:val="000000" w:themeColor="text1"/>
                <w:szCs w:val="24"/>
              </w:rPr>
            </w:pPr>
            <w:r>
              <w:rPr>
                <w:color w:val="000000" w:themeColor="text1"/>
                <w:szCs w:val="24"/>
              </w:rPr>
              <w:t>$307,299</w:t>
            </w:r>
          </w:p>
        </w:tc>
        <w:tc>
          <w:tcPr>
            <w:tcW w:w="1918" w:type="dxa"/>
            <w:tcBorders>
              <w:top w:val="single" w:sz="12" w:space="0" w:color="auto"/>
            </w:tcBorders>
          </w:tcPr>
          <w:p w14:paraId="4705A908" w14:textId="74956674"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339,799</w:t>
            </w:r>
          </w:p>
        </w:tc>
      </w:tr>
      <w:tr w:rsidR="00BC77CF" w:rsidRPr="00D101F0" w14:paraId="44B9E18B" w14:textId="3F3285AD" w:rsidTr="003328FA">
        <w:tc>
          <w:tcPr>
            <w:tcW w:w="2680" w:type="dxa"/>
          </w:tcPr>
          <w:p w14:paraId="5A7B736D" w14:textId="77777777" w:rsidR="00BC77CF" w:rsidRPr="003A0EA1" w:rsidRDefault="00BC77CF" w:rsidP="009B6793">
            <w:pPr>
              <w:rPr>
                <w:color w:val="000000" w:themeColor="text1"/>
              </w:rPr>
            </w:pPr>
            <w:r w:rsidRPr="003A0EA1">
              <w:rPr>
                <w:color w:val="000000" w:themeColor="text1"/>
              </w:rPr>
              <w:t>Level 3.2</w:t>
            </w:r>
          </w:p>
        </w:tc>
        <w:tc>
          <w:tcPr>
            <w:tcW w:w="1918" w:type="dxa"/>
            <w:shd w:val="clear" w:color="auto" w:fill="auto"/>
          </w:tcPr>
          <w:p w14:paraId="4D07F11E" w14:textId="228878BD" w:rsidR="00BC77CF" w:rsidRPr="003A0EA1" w:rsidRDefault="00BC77CF" w:rsidP="009B6793">
            <w:pPr>
              <w:rPr>
                <w:color w:val="000000" w:themeColor="text1"/>
                <w:szCs w:val="24"/>
              </w:rPr>
            </w:pPr>
            <w:r>
              <w:rPr>
                <w:color w:val="000000" w:themeColor="text1"/>
                <w:szCs w:val="24"/>
              </w:rPr>
              <w:t>$319,628</w:t>
            </w:r>
          </w:p>
        </w:tc>
        <w:tc>
          <w:tcPr>
            <w:tcW w:w="1918" w:type="dxa"/>
          </w:tcPr>
          <w:p w14:paraId="103F1BA9" w14:textId="688CA33B"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352,128</w:t>
            </w:r>
          </w:p>
        </w:tc>
      </w:tr>
      <w:tr w:rsidR="00BC77CF" w:rsidRPr="00D101F0" w14:paraId="774AFF0D" w14:textId="6014E5C1" w:rsidTr="003328FA">
        <w:tc>
          <w:tcPr>
            <w:tcW w:w="2680" w:type="dxa"/>
          </w:tcPr>
          <w:p w14:paraId="6278CC55" w14:textId="77777777" w:rsidR="00BC77CF" w:rsidRPr="003A0EA1" w:rsidRDefault="00BC77CF" w:rsidP="009B6793">
            <w:pPr>
              <w:rPr>
                <w:color w:val="000000" w:themeColor="text1"/>
              </w:rPr>
            </w:pPr>
            <w:r w:rsidRPr="003A0EA1">
              <w:rPr>
                <w:color w:val="000000" w:themeColor="text1"/>
              </w:rPr>
              <w:t>Level 3.3</w:t>
            </w:r>
          </w:p>
        </w:tc>
        <w:tc>
          <w:tcPr>
            <w:tcW w:w="1918" w:type="dxa"/>
            <w:shd w:val="clear" w:color="auto" w:fill="auto"/>
          </w:tcPr>
          <w:p w14:paraId="4F43CE37" w14:textId="765EED97" w:rsidR="00BC77CF" w:rsidRPr="003A0EA1" w:rsidRDefault="00BC77CF" w:rsidP="009B6793">
            <w:pPr>
              <w:rPr>
                <w:color w:val="000000" w:themeColor="text1"/>
                <w:szCs w:val="24"/>
              </w:rPr>
            </w:pPr>
            <w:r>
              <w:rPr>
                <w:color w:val="000000" w:themeColor="text1"/>
                <w:szCs w:val="24"/>
              </w:rPr>
              <w:t>$332,315</w:t>
            </w:r>
          </w:p>
        </w:tc>
        <w:tc>
          <w:tcPr>
            <w:tcW w:w="1918" w:type="dxa"/>
          </w:tcPr>
          <w:p w14:paraId="1CBF0245" w14:textId="32CDADEC"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364,815</w:t>
            </w:r>
          </w:p>
        </w:tc>
      </w:tr>
      <w:tr w:rsidR="00BC77CF" w:rsidRPr="00D101F0" w14:paraId="0AAA5937" w14:textId="66C6CCC8" w:rsidTr="003328FA">
        <w:tc>
          <w:tcPr>
            <w:tcW w:w="2680" w:type="dxa"/>
            <w:tcBorders>
              <w:bottom w:val="single" w:sz="12" w:space="0" w:color="auto"/>
            </w:tcBorders>
          </w:tcPr>
          <w:p w14:paraId="71F17429" w14:textId="77777777" w:rsidR="00BC77CF" w:rsidRPr="003A0EA1" w:rsidRDefault="00BC77CF" w:rsidP="009B6793">
            <w:pPr>
              <w:rPr>
                <w:color w:val="000000" w:themeColor="text1"/>
              </w:rPr>
            </w:pPr>
            <w:r w:rsidRPr="003A0EA1">
              <w:rPr>
                <w:color w:val="000000" w:themeColor="text1"/>
              </w:rPr>
              <w:t>Level 3.4</w:t>
            </w:r>
          </w:p>
        </w:tc>
        <w:tc>
          <w:tcPr>
            <w:tcW w:w="1918" w:type="dxa"/>
            <w:tcBorders>
              <w:bottom w:val="single" w:sz="12" w:space="0" w:color="auto"/>
            </w:tcBorders>
            <w:shd w:val="clear" w:color="auto" w:fill="auto"/>
          </w:tcPr>
          <w:p w14:paraId="570234A4" w14:textId="1795F826" w:rsidR="00BC77CF" w:rsidRPr="003A0EA1" w:rsidRDefault="00BC77CF" w:rsidP="009B6793">
            <w:pPr>
              <w:rPr>
                <w:color w:val="000000" w:themeColor="text1"/>
                <w:szCs w:val="24"/>
              </w:rPr>
            </w:pPr>
            <w:r>
              <w:rPr>
                <w:color w:val="000000" w:themeColor="text1"/>
                <w:szCs w:val="24"/>
              </w:rPr>
              <w:t>$344,810</w:t>
            </w:r>
          </w:p>
        </w:tc>
        <w:tc>
          <w:tcPr>
            <w:tcW w:w="1918" w:type="dxa"/>
            <w:tcBorders>
              <w:bottom w:val="single" w:sz="12" w:space="0" w:color="auto"/>
            </w:tcBorders>
          </w:tcPr>
          <w:p w14:paraId="73AB0BF0" w14:textId="6F5D933B"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377,310</w:t>
            </w:r>
          </w:p>
        </w:tc>
      </w:tr>
      <w:tr w:rsidR="00BC77CF" w:rsidRPr="00D101F0" w14:paraId="29A0FBE9" w14:textId="03F5FCFD" w:rsidTr="003328FA">
        <w:tc>
          <w:tcPr>
            <w:tcW w:w="2680" w:type="dxa"/>
            <w:tcBorders>
              <w:top w:val="single" w:sz="12" w:space="0" w:color="auto"/>
            </w:tcBorders>
          </w:tcPr>
          <w:p w14:paraId="785A526D" w14:textId="77777777" w:rsidR="00BC77CF" w:rsidRPr="003A0EA1" w:rsidRDefault="00BC77CF" w:rsidP="009B6793">
            <w:pPr>
              <w:rPr>
                <w:color w:val="000000" w:themeColor="text1"/>
              </w:rPr>
            </w:pPr>
            <w:r w:rsidRPr="003A0EA1">
              <w:rPr>
                <w:color w:val="000000" w:themeColor="text1"/>
              </w:rPr>
              <w:t>Level 4.1</w:t>
            </w:r>
          </w:p>
        </w:tc>
        <w:tc>
          <w:tcPr>
            <w:tcW w:w="1918" w:type="dxa"/>
            <w:tcBorders>
              <w:top w:val="single" w:sz="12" w:space="0" w:color="auto"/>
            </w:tcBorders>
            <w:shd w:val="clear" w:color="auto" w:fill="auto"/>
          </w:tcPr>
          <w:p w14:paraId="3C191755" w14:textId="73E63EEF" w:rsidR="00BC77CF" w:rsidRPr="003A0EA1" w:rsidRDefault="00BC77CF" w:rsidP="009B6793">
            <w:pPr>
              <w:rPr>
                <w:color w:val="000000" w:themeColor="text1"/>
                <w:szCs w:val="24"/>
              </w:rPr>
            </w:pPr>
            <w:r>
              <w:rPr>
                <w:color w:val="000000" w:themeColor="text1"/>
                <w:szCs w:val="24"/>
              </w:rPr>
              <w:t>$357,200</w:t>
            </w:r>
          </w:p>
        </w:tc>
        <w:tc>
          <w:tcPr>
            <w:tcW w:w="1918" w:type="dxa"/>
            <w:tcBorders>
              <w:top w:val="single" w:sz="12" w:space="0" w:color="auto"/>
            </w:tcBorders>
          </w:tcPr>
          <w:p w14:paraId="0EF720B3" w14:textId="63094471"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390,200</w:t>
            </w:r>
          </w:p>
        </w:tc>
      </w:tr>
      <w:tr w:rsidR="00BC77CF" w:rsidRPr="00D101F0" w14:paraId="18911818" w14:textId="39AE1BA4" w:rsidTr="003328FA">
        <w:tc>
          <w:tcPr>
            <w:tcW w:w="2680" w:type="dxa"/>
          </w:tcPr>
          <w:p w14:paraId="366D181A" w14:textId="77777777" w:rsidR="00BC77CF" w:rsidRPr="003A0EA1" w:rsidRDefault="00BC77CF" w:rsidP="009B6793">
            <w:pPr>
              <w:rPr>
                <w:color w:val="000000" w:themeColor="text1"/>
              </w:rPr>
            </w:pPr>
            <w:r w:rsidRPr="003A0EA1">
              <w:rPr>
                <w:color w:val="000000" w:themeColor="text1"/>
              </w:rPr>
              <w:t>Level 4.2</w:t>
            </w:r>
          </w:p>
        </w:tc>
        <w:tc>
          <w:tcPr>
            <w:tcW w:w="1918" w:type="dxa"/>
            <w:shd w:val="clear" w:color="auto" w:fill="auto"/>
          </w:tcPr>
          <w:p w14:paraId="124267B4" w14:textId="7593995C" w:rsidR="00BC77CF" w:rsidRPr="003A0EA1" w:rsidRDefault="00BC77CF" w:rsidP="009B6793">
            <w:pPr>
              <w:rPr>
                <w:color w:val="000000" w:themeColor="text1"/>
                <w:szCs w:val="24"/>
              </w:rPr>
            </w:pPr>
            <w:r>
              <w:rPr>
                <w:color w:val="000000" w:themeColor="text1"/>
                <w:szCs w:val="24"/>
              </w:rPr>
              <w:t>$367,527</w:t>
            </w:r>
          </w:p>
        </w:tc>
        <w:tc>
          <w:tcPr>
            <w:tcW w:w="1918" w:type="dxa"/>
          </w:tcPr>
          <w:p w14:paraId="67672749" w14:textId="3A6F575B"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400,527</w:t>
            </w:r>
          </w:p>
        </w:tc>
      </w:tr>
      <w:tr w:rsidR="00BC77CF" w:rsidRPr="00D101F0" w14:paraId="34F6FD64" w14:textId="7B5B0B02" w:rsidTr="003328FA">
        <w:tc>
          <w:tcPr>
            <w:tcW w:w="2680" w:type="dxa"/>
            <w:tcBorders>
              <w:bottom w:val="single" w:sz="12" w:space="0" w:color="auto"/>
            </w:tcBorders>
          </w:tcPr>
          <w:p w14:paraId="5E05A30C" w14:textId="77777777" w:rsidR="00BC77CF" w:rsidRPr="003A0EA1" w:rsidRDefault="00BC77CF" w:rsidP="009B6793">
            <w:pPr>
              <w:rPr>
                <w:color w:val="000000" w:themeColor="text1"/>
              </w:rPr>
            </w:pPr>
            <w:r w:rsidRPr="003A0EA1">
              <w:rPr>
                <w:color w:val="000000" w:themeColor="text1"/>
              </w:rPr>
              <w:lastRenderedPageBreak/>
              <w:t>Level 4.3</w:t>
            </w:r>
          </w:p>
        </w:tc>
        <w:tc>
          <w:tcPr>
            <w:tcW w:w="1918" w:type="dxa"/>
            <w:tcBorders>
              <w:bottom w:val="single" w:sz="12" w:space="0" w:color="auto"/>
            </w:tcBorders>
            <w:shd w:val="clear" w:color="auto" w:fill="auto"/>
          </w:tcPr>
          <w:p w14:paraId="194CDE40" w14:textId="5C771E7D" w:rsidR="00BC77CF" w:rsidRPr="003A0EA1" w:rsidRDefault="00BC77CF" w:rsidP="009B6793">
            <w:pPr>
              <w:rPr>
                <w:color w:val="000000" w:themeColor="text1"/>
                <w:szCs w:val="24"/>
              </w:rPr>
            </w:pPr>
            <w:r>
              <w:rPr>
                <w:color w:val="000000" w:themeColor="text1"/>
                <w:szCs w:val="24"/>
              </w:rPr>
              <w:t>$380,783</w:t>
            </w:r>
          </w:p>
        </w:tc>
        <w:tc>
          <w:tcPr>
            <w:tcW w:w="1918" w:type="dxa"/>
            <w:tcBorders>
              <w:bottom w:val="single" w:sz="12" w:space="0" w:color="auto"/>
            </w:tcBorders>
          </w:tcPr>
          <w:p w14:paraId="6EC256B7" w14:textId="60D998D8" w:rsidR="00BC77CF" w:rsidRPr="003A0EA1" w:rsidRDefault="00BC77CF" w:rsidP="009B6793">
            <w:pPr>
              <w:rPr>
                <w:color w:val="000000" w:themeColor="text1"/>
                <w:szCs w:val="24"/>
              </w:rPr>
            </w:pPr>
            <w:r>
              <w:rPr>
                <w:color w:val="000000" w:themeColor="text1"/>
                <w:szCs w:val="24"/>
              </w:rPr>
              <w:t>$</w:t>
            </w:r>
            <w:r w:rsidR="00320E9D" w:rsidRPr="00320E9D">
              <w:rPr>
                <w:color w:val="000000" w:themeColor="text1"/>
                <w:szCs w:val="24"/>
              </w:rPr>
              <w:t>413,783</w:t>
            </w:r>
          </w:p>
        </w:tc>
      </w:tr>
      <w:tr w:rsidR="00BC77CF" w:rsidRPr="00D101F0" w14:paraId="792D129D" w14:textId="3085A896" w:rsidTr="003328FA">
        <w:tc>
          <w:tcPr>
            <w:tcW w:w="2680" w:type="dxa"/>
            <w:tcBorders>
              <w:top w:val="single" w:sz="12" w:space="0" w:color="auto"/>
            </w:tcBorders>
          </w:tcPr>
          <w:p w14:paraId="6EB60146" w14:textId="77777777" w:rsidR="00BC77CF" w:rsidRPr="003A0EA1" w:rsidRDefault="00BC77CF" w:rsidP="009B6793">
            <w:pPr>
              <w:rPr>
                <w:color w:val="000000" w:themeColor="text1"/>
              </w:rPr>
            </w:pPr>
            <w:r w:rsidRPr="003A0EA1">
              <w:rPr>
                <w:color w:val="000000" w:themeColor="text1"/>
              </w:rPr>
              <w:t xml:space="preserve">Level 4.4 </w:t>
            </w:r>
            <w:r w:rsidRPr="003A0EA1">
              <w:rPr>
                <w:color w:val="000000" w:themeColor="text1"/>
              </w:rPr>
              <w:br/>
            </w:r>
            <w:r w:rsidRPr="003A0EA1">
              <w:rPr>
                <w:color w:val="000000" w:themeColor="text1"/>
                <w:sz w:val="20"/>
              </w:rPr>
              <w:t>(Head of Service)</w:t>
            </w:r>
          </w:p>
        </w:tc>
        <w:tc>
          <w:tcPr>
            <w:tcW w:w="1918" w:type="dxa"/>
            <w:tcBorders>
              <w:top w:val="single" w:sz="12" w:space="0" w:color="auto"/>
            </w:tcBorders>
            <w:shd w:val="clear" w:color="auto" w:fill="auto"/>
            <w:vAlign w:val="bottom"/>
          </w:tcPr>
          <w:p w14:paraId="575BD5FC" w14:textId="16C984D7" w:rsidR="00BC77CF" w:rsidRPr="003A0EA1" w:rsidRDefault="00BC77CF" w:rsidP="007E68F7">
            <w:pPr>
              <w:jc w:val="both"/>
              <w:rPr>
                <w:color w:val="000000" w:themeColor="text1"/>
                <w:szCs w:val="24"/>
              </w:rPr>
            </w:pPr>
            <w:r>
              <w:rPr>
                <w:color w:val="000000" w:themeColor="text1"/>
                <w:szCs w:val="24"/>
              </w:rPr>
              <w:t>$415,049</w:t>
            </w:r>
          </w:p>
        </w:tc>
        <w:tc>
          <w:tcPr>
            <w:tcW w:w="1918" w:type="dxa"/>
            <w:tcBorders>
              <w:top w:val="single" w:sz="12" w:space="0" w:color="auto"/>
            </w:tcBorders>
          </w:tcPr>
          <w:p w14:paraId="7215E4EE" w14:textId="4F89E8E4" w:rsidR="00BC77CF" w:rsidRDefault="00BC77CF" w:rsidP="007E68F7">
            <w:pPr>
              <w:jc w:val="both"/>
              <w:rPr>
                <w:color w:val="000000" w:themeColor="text1"/>
                <w:szCs w:val="24"/>
              </w:rPr>
            </w:pPr>
          </w:p>
          <w:p w14:paraId="12A150F2" w14:textId="4BF9F4EF" w:rsidR="00BC77CF" w:rsidRPr="003A0EA1" w:rsidRDefault="00BC77CF" w:rsidP="007E68F7">
            <w:pPr>
              <w:jc w:val="both"/>
              <w:rPr>
                <w:color w:val="000000" w:themeColor="text1"/>
                <w:szCs w:val="24"/>
              </w:rPr>
            </w:pPr>
            <w:r>
              <w:rPr>
                <w:color w:val="000000" w:themeColor="text1"/>
                <w:szCs w:val="24"/>
              </w:rPr>
              <w:t>$</w:t>
            </w:r>
            <w:r w:rsidR="00320E9D" w:rsidRPr="00320E9D">
              <w:rPr>
                <w:color w:val="000000" w:themeColor="text1"/>
                <w:szCs w:val="24"/>
              </w:rPr>
              <w:t>448,049</w:t>
            </w:r>
          </w:p>
        </w:tc>
      </w:tr>
    </w:tbl>
    <w:p w14:paraId="0C9640FE" w14:textId="2754B678" w:rsidR="006E5EAA" w:rsidRDefault="009263B9" w:rsidP="009263B9">
      <w:pPr>
        <w:numPr>
          <w:ilvl w:val="1"/>
          <w:numId w:val="1"/>
        </w:numPr>
        <w:tabs>
          <w:tab w:val="clear" w:pos="720"/>
          <w:tab w:val="num" w:pos="0"/>
        </w:tabs>
        <w:spacing w:before="80" w:after="60"/>
        <w:ind w:left="709" w:hanging="709"/>
      </w:pPr>
      <w:bookmarkStart w:id="5" w:name="_Hlk136535010"/>
      <w:r>
        <w:t>W</w:t>
      </w:r>
      <w:r w:rsidR="006E5EAA">
        <w:t>here an executive has an employer-provided vehicle</w:t>
      </w:r>
      <w:r>
        <w:t>, column 2 of Table 2.1 is the total remuneration payable.</w:t>
      </w:r>
    </w:p>
    <w:bookmarkEnd w:id="5"/>
    <w:p w14:paraId="54955FD6" w14:textId="6C2618E7" w:rsidR="00F11BCC" w:rsidRDefault="00F11BCC" w:rsidP="00F11BCC">
      <w:pPr>
        <w:numPr>
          <w:ilvl w:val="1"/>
          <w:numId w:val="1"/>
        </w:numPr>
        <w:tabs>
          <w:tab w:val="clear" w:pos="720"/>
          <w:tab w:val="num" w:pos="0"/>
        </w:tabs>
        <w:spacing w:before="80" w:after="60"/>
        <w:ind w:left="709" w:hanging="709"/>
      </w:pPr>
      <w:r w:rsidRPr="00335707">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1BF5076D" w:rsidR="00932D00" w:rsidRPr="00F87F1D" w:rsidRDefault="00932D00" w:rsidP="00932D00">
      <w:pPr>
        <w:numPr>
          <w:ilvl w:val="1"/>
          <w:numId w:val="1"/>
        </w:numPr>
        <w:spacing w:before="80" w:after="60"/>
        <w:rPr>
          <w:color w:val="000000" w:themeColor="text1"/>
        </w:rPr>
      </w:pPr>
      <w:r w:rsidRPr="00F87F1D">
        <w:rPr>
          <w:color w:val="000000" w:themeColor="text1"/>
        </w:rPr>
        <w:t xml:space="preserve">The person engaged as the Head of Service is to be paid additional remuneration of $10,000 per annum above the remuneration of an executive level 4.4 specified in column </w:t>
      </w:r>
      <w:r w:rsidR="0054046D">
        <w:rPr>
          <w:color w:val="000000" w:themeColor="text1"/>
        </w:rPr>
        <w:t>3</w:t>
      </w:r>
      <w:r w:rsidRPr="00F87F1D">
        <w:rPr>
          <w:color w:val="000000" w:themeColor="text1"/>
        </w:rPr>
        <w:t xml:space="preserve">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92DF13"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5D95EB01" w14:textId="77777777" w:rsidR="009752B8" w:rsidRDefault="009752B8" w:rsidP="004268AC">
      <w:pPr>
        <w:pStyle w:val="Heading3"/>
      </w:pPr>
      <w:bookmarkStart w:id="6" w:name="_Hlk136535809"/>
      <w:r w:rsidRPr="006E7416">
        <w:t>Vehicle</w:t>
      </w:r>
    </w:p>
    <w:p w14:paraId="5B6570A9" w14:textId="77777777" w:rsidR="009752B8" w:rsidRPr="001325F0" w:rsidRDefault="009752B8" w:rsidP="009752B8">
      <w:pPr>
        <w:numPr>
          <w:ilvl w:val="1"/>
          <w:numId w:val="1"/>
        </w:numPr>
        <w:spacing w:before="80" w:after="60"/>
        <w:rPr>
          <w:color w:val="000000" w:themeColor="text1"/>
        </w:rPr>
      </w:pPr>
      <w:r w:rsidRPr="006E7416">
        <w:rPr>
          <w:color w:val="000000" w:themeColor="text1"/>
        </w:rPr>
        <w:t>If an executive has an employer-provided vehicle,</w:t>
      </w:r>
      <w:r>
        <w:rPr>
          <w:color w:val="000000" w:themeColor="text1"/>
        </w:rPr>
        <w:t xml:space="preserve"> Part 13 – Transitional Public Sector Management Amendment Standards 2021 (No 1) of the </w:t>
      </w:r>
      <w:r w:rsidRPr="00364F10">
        <w:rPr>
          <w:i/>
          <w:iCs/>
          <w:color w:val="000000" w:themeColor="text1"/>
        </w:rPr>
        <w:t>Public Sector Management Standards 2016</w:t>
      </w:r>
      <w:r>
        <w:rPr>
          <w:color w:val="000000" w:themeColor="text1"/>
        </w:rPr>
        <w:t xml:space="preserve"> </w:t>
      </w:r>
      <w:r w:rsidRPr="006E7416">
        <w:rPr>
          <w:color w:val="000000" w:themeColor="text1"/>
        </w:rPr>
        <w:t>appl</w:t>
      </w:r>
      <w:r>
        <w:rPr>
          <w:color w:val="000000" w:themeColor="text1"/>
        </w:rPr>
        <w:t>ies.</w:t>
      </w:r>
      <w:r w:rsidRPr="006E7416">
        <w:rPr>
          <w:color w:val="000000" w:themeColor="text1"/>
        </w:rPr>
        <w:t xml:space="preserve"> </w:t>
      </w:r>
    </w:p>
    <w:bookmarkEnd w:id="6"/>
    <w:p w14:paraId="352DA976" w14:textId="77777777" w:rsidR="00F11BCC" w:rsidRPr="00C85627" w:rsidRDefault="00F11BCC" w:rsidP="00F11BCC">
      <w:pPr>
        <w:pStyle w:val="Heading3"/>
        <w:tabs>
          <w:tab w:val="clear" w:pos="720"/>
        </w:tabs>
        <w:ind w:left="709"/>
      </w:pPr>
      <w:r w:rsidRPr="00C85627">
        <w:t xml:space="preserve">Employer provided </w:t>
      </w:r>
      <w:proofErr w:type="gramStart"/>
      <w:r w:rsidRPr="00C85627">
        <w:t>benefits</w:t>
      </w:r>
      <w:proofErr w:type="gramEnd"/>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7AA69C70" w:rsidR="00A6753C" w:rsidRPr="00B656CC" w:rsidRDefault="00A6753C" w:rsidP="00A6753C">
      <w:pPr>
        <w:numPr>
          <w:ilvl w:val="1"/>
          <w:numId w:val="1"/>
        </w:numPr>
        <w:spacing w:before="80" w:after="60"/>
        <w:rPr>
          <w:szCs w:val="24"/>
        </w:rPr>
      </w:pPr>
      <w:r w:rsidRPr="00B656CC">
        <w:rPr>
          <w:szCs w:val="24"/>
        </w:rPr>
        <w:t xml:space="preserve">An employer-provided benefit, or cash payment in lieu of an employer-provided benefit, is in addition to the remuneration specified in clause 2 of this </w:t>
      </w:r>
      <w:proofErr w:type="gramStart"/>
      <w:r w:rsidRPr="00B656CC">
        <w:rPr>
          <w:szCs w:val="24"/>
        </w:rPr>
        <w:t>determination, and</w:t>
      </w:r>
      <w:proofErr w:type="gramEnd"/>
      <w:r w:rsidRPr="00B656CC">
        <w:rPr>
          <w:szCs w:val="24"/>
        </w:rPr>
        <w:t xml:space="preserve">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lastRenderedPageBreak/>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00D550B6" w:rsidR="00942F3C" w:rsidRPr="006E7416" w:rsidRDefault="00942F3C" w:rsidP="004268AC">
      <w:pPr>
        <w:pStyle w:val="Heading3"/>
      </w:pPr>
      <w:r w:rsidRPr="006E7416">
        <w:t xml:space="preserve">Vehicle </w:t>
      </w:r>
      <w:r w:rsidR="001B3A29" w:rsidRPr="006E7416">
        <w:t>parking space</w:t>
      </w:r>
    </w:p>
    <w:p w14:paraId="7078F4CA" w14:textId="072CD250"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parking space in accordance with </w:t>
      </w:r>
      <w:r w:rsidR="001325F0">
        <w:rPr>
          <w:szCs w:val="24"/>
        </w:rPr>
        <w:t xml:space="preserve">section 52A of </w:t>
      </w:r>
      <w:r>
        <w:rPr>
          <w:szCs w:val="24"/>
        </w:rPr>
        <w:t xml:space="preserve">the </w:t>
      </w:r>
      <w:r w:rsidRPr="00942F3C">
        <w:rPr>
          <w:i/>
          <w:szCs w:val="24"/>
        </w:rPr>
        <w:t>Public Sector Management Standards 2016</w:t>
      </w:r>
      <w:r>
        <w:rPr>
          <w:szCs w:val="24"/>
        </w:rPr>
        <w:t>.</w:t>
      </w:r>
    </w:p>
    <w:p w14:paraId="6B53CC70" w14:textId="77777777" w:rsidR="00F11BCC" w:rsidRPr="00A05757" w:rsidRDefault="00F11BCC" w:rsidP="004268AC">
      <w:pPr>
        <w:pStyle w:val="Heading3"/>
      </w:pPr>
      <w:r w:rsidRPr="00A05757">
        <w:t>Employer’s superannuation contribution</w:t>
      </w:r>
    </w:p>
    <w:p w14:paraId="5C69719E" w14:textId="097D730F" w:rsidR="009752B8" w:rsidRDefault="00F11BCC" w:rsidP="00BA31FA">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08D6C3A0" w14:textId="4279F99A" w:rsidR="00F11BCC" w:rsidRPr="00BA31FA" w:rsidRDefault="009752B8" w:rsidP="00BA31FA">
      <w:pPr>
        <w:numPr>
          <w:ilvl w:val="1"/>
          <w:numId w:val="1"/>
        </w:numPr>
        <w:tabs>
          <w:tab w:val="clear" w:pos="720"/>
        </w:tabs>
        <w:spacing w:before="80" w:after="60"/>
        <w:ind w:left="709" w:hanging="709"/>
        <w:rPr>
          <w:szCs w:val="24"/>
          <w:lang w:val="en-US"/>
        </w:rPr>
      </w:pPr>
      <w:bookmarkStart w:id="7" w:name="_Hlk136536252"/>
      <w:r w:rsidRPr="00BA31FA">
        <w:rPr>
          <w:szCs w:val="24"/>
        </w:rPr>
        <w:t xml:space="preserve">Superannuation entitlements for executives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7"/>
    <w:p w14:paraId="085A6666" w14:textId="54018984" w:rsidR="00F11BCC" w:rsidRPr="009C10E9" w:rsidRDefault="00F11BCC" w:rsidP="004268AC">
      <w:pPr>
        <w:numPr>
          <w:ilvl w:val="1"/>
          <w:numId w:val="1"/>
        </w:numPr>
        <w:tabs>
          <w:tab w:val="clear" w:pos="720"/>
          <w:tab w:val="num" w:pos="0"/>
        </w:tabs>
        <w:spacing w:before="12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 xml:space="preserve">Relocation allowance is provided to assist an individual with the costs to relocate from their home location to the ACT </w:t>
      </w:r>
      <w:proofErr w:type="gramStart"/>
      <w:r w:rsidRPr="009D2938">
        <w:rPr>
          <w:szCs w:val="24"/>
        </w:rPr>
        <w:t>in order to</w:t>
      </w:r>
      <w:proofErr w:type="gramEnd"/>
      <w:r w:rsidRPr="009D2938">
        <w:rPr>
          <w:szCs w:val="24"/>
        </w:rPr>
        <w:t xml:space="preserve">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packing personal effects and furniture belonging to the person and their </w:t>
      </w:r>
      <w:proofErr w:type="gramStart"/>
      <w:r w:rsidRPr="009D2938">
        <w:rPr>
          <w:szCs w:val="24"/>
        </w:rPr>
        <w:t>family;</w:t>
      </w:r>
      <w:proofErr w:type="gramEnd"/>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necessary storage of personal effects and </w:t>
      </w:r>
      <w:proofErr w:type="gramStart"/>
      <w:r w:rsidRPr="009D2938">
        <w:rPr>
          <w:szCs w:val="24"/>
        </w:rPr>
        <w:t>furniture;</w:t>
      </w:r>
      <w:proofErr w:type="gramEnd"/>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removal costs and associated insurance of personal effects and </w:t>
      </w:r>
      <w:proofErr w:type="gramStart"/>
      <w:r w:rsidRPr="009D2938">
        <w:rPr>
          <w:szCs w:val="24"/>
        </w:rPr>
        <w:t>furniture;</w:t>
      </w:r>
      <w:proofErr w:type="gramEnd"/>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unpacking of personal effects and </w:t>
      </w:r>
      <w:proofErr w:type="gramStart"/>
      <w:r w:rsidRPr="009D2938">
        <w:rPr>
          <w:szCs w:val="24"/>
        </w:rPr>
        <w:t>furniture;</w:t>
      </w:r>
      <w:proofErr w:type="gramEnd"/>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travel, accommodation and meals between the former location and the </w:t>
      </w:r>
      <w:proofErr w:type="gramStart"/>
      <w:r w:rsidRPr="009D2938">
        <w:rPr>
          <w:szCs w:val="24"/>
        </w:rPr>
        <w:t>ACT;</w:t>
      </w:r>
      <w:proofErr w:type="gramEnd"/>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9D2938">
        <w:rPr>
          <w:szCs w:val="24"/>
        </w:rPr>
        <w:t>);</w:t>
      </w:r>
      <w:proofErr w:type="gramEnd"/>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disconnection and reconnection of </w:t>
      </w:r>
      <w:proofErr w:type="gramStart"/>
      <w:r w:rsidRPr="009D2938">
        <w:rPr>
          <w:szCs w:val="24"/>
        </w:rPr>
        <w:t>utilities;</w:t>
      </w:r>
      <w:proofErr w:type="gramEnd"/>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w:t>
      </w:r>
      <w:proofErr w:type="gramStart"/>
      <w:r w:rsidRPr="009D2938">
        <w:rPr>
          <w:szCs w:val="24"/>
        </w:rPr>
        <w:t>ACT;</w:t>
      </w:r>
      <w:proofErr w:type="gramEnd"/>
      <w:r w:rsidRPr="009D2938">
        <w:rPr>
          <w:szCs w:val="24"/>
        </w:rPr>
        <w:t xml:space="preserve">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lastRenderedPageBreak/>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4C2CE91F"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w:t>
      </w:r>
      <w:r w:rsidR="003C6523">
        <w:rPr>
          <w:color w:val="000000" w:themeColor="text1"/>
          <w:szCs w:val="24"/>
        </w:rPr>
        <w:t>8</w:t>
      </w:r>
      <w:r w:rsidRPr="00366D86">
        <w:rPr>
          <w:color w:val="000000" w:themeColor="text1"/>
          <w:szCs w:val="24"/>
        </w:rPr>
        <w:t>.3</w:t>
      </w:r>
      <w:r w:rsidR="00A55427">
        <w:rPr>
          <w:color w:val="000000" w:themeColor="text1"/>
          <w:szCs w:val="24"/>
        </w:rPr>
        <w:t xml:space="preserve"> and section </w:t>
      </w:r>
      <w:proofErr w:type="gramStart"/>
      <w:r w:rsidR="003C6523">
        <w:rPr>
          <w:color w:val="000000" w:themeColor="text1"/>
          <w:szCs w:val="24"/>
        </w:rPr>
        <w:t>8</w:t>
      </w:r>
      <w:r w:rsidR="00A55427">
        <w:rPr>
          <w:color w:val="000000" w:themeColor="text1"/>
          <w:szCs w:val="24"/>
        </w:rPr>
        <w:t>.4</w:t>
      </w:r>
      <w:r w:rsidRPr="00366D86">
        <w:rPr>
          <w:color w:val="000000" w:themeColor="text1"/>
          <w:szCs w:val="24"/>
        </w:rPr>
        <w:t>;</w:t>
      </w:r>
      <w:proofErr w:type="gramEnd"/>
      <w:r w:rsidRPr="00366D86">
        <w:rPr>
          <w:color w:val="000000" w:themeColor="text1"/>
          <w:szCs w:val="24"/>
        </w:rPr>
        <w:t xml:space="preserve"> </w:t>
      </w:r>
    </w:p>
    <w:p w14:paraId="71F54309" w14:textId="78523672"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more than six months and less than twelve months from the date of their engagement—50% of the amount reimbursed under section </w:t>
      </w:r>
      <w:r w:rsidR="003C6523">
        <w:rPr>
          <w:color w:val="000000" w:themeColor="text1"/>
          <w:szCs w:val="24"/>
        </w:rPr>
        <w:t>8</w:t>
      </w:r>
      <w:r w:rsidRPr="00366D86">
        <w:rPr>
          <w:color w:val="000000" w:themeColor="text1"/>
          <w:szCs w:val="24"/>
        </w:rPr>
        <w:t>.3</w:t>
      </w:r>
      <w:r w:rsidR="00A55427">
        <w:rPr>
          <w:color w:val="000000" w:themeColor="text1"/>
          <w:szCs w:val="24"/>
        </w:rPr>
        <w:t xml:space="preserve"> and section </w:t>
      </w:r>
      <w:r w:rsidR="003C6523">
        <w:rPr>
          <w:color w:val="000000" w:themeColor="text1"/>
          <w:szCs w:val="24"/>
        </w:rPr>
        <w:t>8</w:t>
      </w:r>
      <w:r w:rsidR="00A55427">
        <w:rPr>
          <w:color w:val="000000" w:themeColor="text1"/>
          <w:szCs w:val="24"/>
        </w:rPr>
        <w:t>.4</w:t>
      </w:r>
      <w:r w:rsidRPr="00366D86">
        <w:rPr>
          <w:color w:val="000000" w:themeColor="text1"/>
          <w:szCs w:val="24"/>
        </w:rPr>
        <w:t>.</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roofErr w:type="gramStart"/>
      <w:r>
        <w:t>);</w:t>
      </w:r>
      <w:proofErr w:type="gramEnd"/>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roofErr w:type="gramStart"/>
      <w:r>
        <w:t>);</w:t>
      </w:r>
      <w:proofErr w:type="gramEnd"/>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roofErr w:type="gramStart"/>
      <w:r>
        <w:t>);</w:t>
      </w:r>
      <w:proofErr w:type="gramEnd"/>
    </w:p>
    <w:p w14:paraId="31F10BAD" w14:textId="77777777" w:rsidR="00793C81" w:rsidRDefault="00793C81" w:rsidP="00793C81">
      <w:pPr>
        <w:numPr>
          <w:ilvl w:val="2"/>
          <w:numId w:val="1"/>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 xml:space="preserve">Leave entitlements, salary sacrifice arrangements and vacation childcare subsidy are provided to executives under Division 5.6 of the </w:t>
      </w:r>
      <w:r w:rsidRPr="002C31BF">
        <w:rPr>
          <w:i/>
          <w:iCs/>
        </w:rPr>
        <w:t>Public Sector Management Standards 2016</w:t>
      </w:r>
      <w:r>
        <w:t>,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D13D8B6" w14:textId="5FD5E4C9" w:rsidR="00EE2788" w:rsidRPr="00EE2788" w:rsidRDefault="00EE2788" w:rsidP="00F11BCC">
      <w:pPr>
        <w:spacing w:before="80"/>
        <w:ind w:left="709"/>
        <w:jc w:val="both"/>
        <w:rPr>
          <w:b/>
          <w:bCs/>
          <w:i/>
          <w:iCs/>
        </w:rPr>
      </w:pPr>
      <w:bookmarkStart w:id="8" w:name="_Hlk136536683"/>
      <w:r w:rsidRPr="004268AC">
        <w:rPr>
          <w:b/>
          <w:bCs/>
          <w:i/>
          <w:iCs/>
        </w:rPr>
        <w:t>Public Benevolent Institution</w:t>
      </w:r>
      <w:r>
        <w:rPr>
          <w:b/>
          <w:bCs/>
          <w:i/>
          <w:iCs/>
        </w:rPr>
        <w:t xml:space="preserve"> </w:t>
      </w:r>
      <w:r w:rsidRPr="004268AC">
        <w:t>means a charity whose main purpose is to relieve poverty, sickness, suffering or disability.</w:t>
      </w:r>
    </w:p>
    <w:bookmarkEnd w:id="8"/>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lastRenderedPageBreak/>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t>Revocation of previous Determination</w:t>
      </w:r>
    </w:p>
    <w:p w14:paraId="090E038F" w14:textId="5A55314D" w:rsidR="006E7416" w:rsidRDefault="00F11BCC" w:rsidP="00740B05">
      <w:pPr>
        <w:numPr>
          <w:ilvl w:val="1"/>
          <w:numId w:val="1"/>
        </w:numPr>
        <w:tabs>
          <w:tab w:val="clear" w:pos="720"/>
        </w:tabs>
        <w:spacing w:before="80" w:after="60"/>
        <w:ind w:left="709" w:hanging="709"/>
        <w:rPr>
          <w:color w:val="000000" w:themeColor="text1"/>
        </w:rPr>
      </w:pPr>
      <w:r w:rsidRPr="00740B05">
        <w:rPr>
          <w:color w:val="000000" w:themeColor="text1"/>
        </w:rPr>
        <w:t xml:space="preserve">Determination </w:t>
      </w:r>
      <w:r w:rsidR="005131B0" w:rsidRPr="00740B05">
        <w:rPr>
          <w:color w:val="000000" w:themeColor="text1"/>
        </w:rPr>
        <w:t>2</w:t>
      </w:r>
      <w:r w:rsidR="00482097" w:rsidRPr="00740B05">
        <w:rPr>
          <w:color w:val="000000" w:themeColor="text1"/>
        </w:rPr>
        <w:t xml:space="preserve"> of </w:t>
      </w:r>
      <w:r w:rsidR="006442AA" w:rsidRPr="00740B05">
        <w:rPr>
          <w:color w:val="000000" w:themeColor="text1"/>
        </w:rPr>
        <w:t>20</w:t>
      </w:r>
      <w:r w:rsidR="001B3A29" w:rsidRPr="00740B05">
        <w:rPr>
          <w:color w:val="000000" w:themeColor="text1"/>
        </w:rPr>
        <w:t>2</w:t>
      </w:r>
      <w:r w:rsidR="007A1880" w:rsidRPr="00740B05">
        <w:rPr>
          <w:color w:val="000000" w:themeColor="text1"/>
        </w:rPr>
        <w:t>2</w:t>
      </w:r>
      <w:r w:rsidR="006442AA" w:rsidRPr="00740B05">
        <w:rPr>
          <w:color w:val="000000" w:themeColor="text1"/>
        </w:rPr>
        <w:t xml:space="preserve"> </w:t>
      </w:r>
      <w:r w:rsidRPr="00740B05">
        <w:rPr>
          <w:color w:val="000000" w:themeColor="text1"/>
        </w:rPr>
        <w:t>is revoked.</w:t>
      </w:r>
      <w:bookmarkEnd w:id="0"/>
    </w:p>
    <w:p w14:paraId="11512FC4" w14:textId="38A39A99" w:rsidR="00740B05" w:rsidRDefault="00740B05" w:rsidP="00740B05">
      <w:pPr>
        <w:pStyle w:val="Heading3"/>
        <w:numPr>
          <w:ilvl w:val="0"/>
          <w:numId w:val="0"/>
        </w:numPr>
        <w:ind w:left="720"/>
      </w:pPr>
    </w:p>
    <w:p w14:paraId="776EC0E9" w14:textId="6EEBA8F9" w:rsidR="00740B05" w:rsidRDefault="00740B05" w:rsidP="00740B05"/>
    <w:p w14:paraId="61BE3BE3" w14:textId="1A4F20E7" w:rsidR="00740B05" w:rsidRDefault="00740B05" w:rsidP="00740B05"/>
    <w:p w14:paraId="2537F86C" w14:textId="3DE4D77F" w:rsidR="00740B05" w:rsidRDefault="00740B05" w:rsidP="00740B05"/>
    <w:p w14:paraId="560FF22E" w14:textId="39246442" w:rsidR="00740B05" w:rsidRPr="00740B05" w:rsidRDefault="00740B05" w:rsidP="00740B05"/>
    <w:tbl>
      <w:tblPr>
        <w:tblW w:w="13505" w:type="dxa"/>
        <w:tblLook w:val="04A0" w:firstRow="1" w:lastRow="0" w:firstColumn="1" w:lastColumn="0" w:noHBand="0" w:noVBand="1"/>
      </w:tblPr>
      <w:tblGrid>
        <w:gridCol w:w="4529"/>
        <w:gridCol w:w="4488"/>
        <w:gridCol w:w="41"/>
        <w:gridCol w:w="4447"/>
      </w:tblGrid>
      <w:tr w:rsidR="007A1880" w:rsidRPr="006A51E8" w14:paraId="46365CB2" w14:textId="77777777" w:rsidTr="007A1880">
        <w:tc>
          <w:tcPr>
            <w:tcW w:w="4529" w:type="dxa"/>
          </w:tcPr>
          <w:p w14:paraId="5FA93711" w14:textId="7CBC49FD" w:rsidR="007A1880" w:rsidRPr="000F41B0" w:rsidRDefault="007A1880" w:rsidP="007A1880">
            <w:pPr>
              <w:tabs>
                <w:tab w:val="left" w:pos="4253"/>
                <w:tab w:val="left" w:leader="dot" w:pos="8222"/>
              </w:tabs>
              <w:rPr>
                <w:szCs w:val="24"/>
              </w:rPr>
            </w:pPr>
          </w:p>
          <w:p w14:paraId="79B26535" w14:textId="77777777" w:rsidR="007A1880" w:rsidRPr="000F41B0" w:rsidRDefault="007A1880" w:rsidP="007A1880">
            <w:pPr>
              <w:tabs>
                <w:tab w:val="left" w:pos="4253"/>
                <w:tab w:val="left" w:pos="7230"/>
                <w:tab w:val="left" w:leader="dot" w:pos="8222"/>
              </w:tabs>
              <w:rPr>
                <w:szCs w:val="24"/>
              </w:rPr>
            </w:pPr>
            <w:r>
              <w:rPr>
                <w:szCs w:val="24"/>
              </w:rPr>
              <w:t>Ms Sandra Lambert AM</w:t>
            </w:r>
            <w:r w:rsidRPr="000F41B0">
              <w:rPr>
                <w:szCs w:val="24"/>
              </w:rPr>
              <w:tab/>
            </w:r>
          </w:p>
          <w:p w14:paraId="4BE1A0E2" w14:textId="77777777" w:rsidR="007A1880" w:rsidRPr="000F41B0" w:rsidRDefault="007A1880" w:rsidP="007A1880">
            <w:pPr>
              <w:tabs>
                <w:tab w:val="left" w:pos="7230"/>
              </w:tabs>
              <w:rPr>
                <w:szCs w:val="24"/>
              </w:rPr>
            </w:pPr>
            <w:r w:rsidRPr="000F41B0">
              <w:rPr>
                <w:szCs w:val="24"/>
              </w:rPr>
              <w:t>Chair</w:t>
            </w:r>
          </w:p>
          <w:p w14:paraId="086CC79A" w14:textId="77777777" w:rsidR="007A1880" w:rsidRPr="000F41B0" w:rsidRDefault="007A1880" w:rsidP="007A1880">
            <w:pPr>
              <w:tabs>
                <w:tab w:val="left" w:pos="4253"/>
                <w:tab w:val="left" w:leader="dot" w:pos="8222"/>
              </w:tabs>
              <w:spacing w:after="120"/>
              <w:rPr>
                <w:szCs w:val="24"/>
              </w:rPr>
            </w:pPr>
          </w:p>
        </w:tc>
        <w:tc>
          <w:tcPr>
            <w:tcW w:w="4488" w:type="dxa"/>
          </w:tcPr>
          <w:p w14:paraId="4705D372" w14:textId="0F2C0106" w:rsidR="007A1880" w:rsidRDefault="009D0DE1" w:rsidP="007A1880">
            <w:pPr>
              <w:tabs>
                <w:tab w:val="left" w:pos="3059"/>
                <w:tab w:val="left" w:pos="7230"/>
              </w:tabs>
            </w:pPr>
            <w:r>
              <w:rPr>
                <w:noProof/>
              </w:rPr>
              <w:drawing>
                <wp:anchor distT="0" distB="0" distL="114300" distR="114300" simplePos="0" relativeHeight="251658240" behindDoc="0" locked="0" layoutInCell="1" allowOverlap="1" wp14:anchorId="55D8FF13" wp14:editId="4497306C">
                  <wp:simplePos x="0" y="0"/>
                  <wp:positionH relativeFrom="column">
                    <wp:posOffset>341630</wp:posOffset>
                  </wp:positionH>
                  <wp:positionV relativeFrom="paragraph">
                    <wp:posOffset>0</wp:posOffset>
                  </wp:positionV>
                  <wp:extent cx="1824205" cy="87764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1824205" cy="877640"/>
                          </a:xfrm>
                          <a:prstGeom prst="rect">
                            <a:avLst/>
                          </a:prstGeom>
                        </pic:spPr>
                      </pic:pic>
                    </a:graphicData>
                  </a:graphic>
                  <wp14:sizeRelH relativeFrom="page">
                    <wp14:pctWidth>0</wp14:pctWidth>
                  </wp14:sizeRelH>
                  <wp14:sizeRelV relativeFrom="page">
                    <wp14:pctHeight>0</wp14:pctHeight>
                  </wp14:sizeRelV>
                </wp:anchor>
              </w:drawing>
            </w:r>
          </w:p>
          <w:p w14:paraId="15796CBB" w14:textId="6FEE4EAE" w:rsidR="007A1880" w:rsidRPr="006A51E8" w:rsidRDefault="007A1880" w:rsidP="007A1880">
            <w:pPr>
              <w:tabs>
                <w:tab w:val="left" w:pos="3059"/>
                <w:tab w:val="left" w:pos="7230"/>
              </w:tabs>
              <w:spacing w:before="120"/>
            </w:pPr>
            <w:r>
              <w:t xml:space="preserve"> </w:t>
            </w:r>
            <w:r>
              <w:br/>
              <w:t xml:space="preserve"> </w:t>
            </w:r>
          </w:p>
        </w:tc>
        <w:tc>
          <w:tcPr>
            <w:tcW w:w="4488" w:type="dxa"/>
            <w:gridSpan w:val="2"/>
          </w:tcPr>
          <w:p w14:paraId="2EF348A3" w14:textId="26689719" w:rsidR="007A1880" w:rsidRPr="006A51E8" w:rsidRDefault="007A1880" w:rsidP="007A1880">
            <w:pPr>
              <w:tabs>
                <w:tab w:val="left" w:pos="3059"/>
                <w:tab w:val="left" w:pos="7230"/>
              </w:tabs>
              <w:spacing w:before="120"/>
            </w:pPr>
          </w:p>
        </w:tc>
      </w:tr>
      <w:tr w:rsidR="007A1880" w:rsidRPr="006A51E8" w14:paraId="57AC1D65" w14:textId="6E4D02D2" w:rsidTr="007A1880">
        <w:trPr>
          <w:gridAfter w:val="1"/>
          <w:wAfter w:w="4447" w:type="dxa"/>
        </w:trPr>
        <w:tc>
          <w:tcPr>
            <w:tcW w:w="4529" w:type="dxa"/>
          </w:tcPr>
          <w:p w14:paraId="44860858" w14:textId="77777777" w:rsidR="00740B05" w:rsidRDefault="00740B05" w:rsidP="007A1880">
            <w:pPr>
              <w:tabs>
                <w:tab w:val="left" w:pos="4253"/>
                <w:tab w:val="left" w:leader="dot" w:pos="8222"/>
              </w:tabs>
              <w:rPr>
                <w:szCs w:val="24"/>
              </w:rPr>
            </w:pPr>
          </w:p>
          <w:p w14:paraId="0B071945" w14:textId="77777777" w:rsidR="00740B05" w:rsidRDefault="00740B05" w:rsidP="007A1880">
            <w:pPr>
              <w:tabs>
                <w:tab w:val="left" w:pos="4253"/>
                <w:tab w:val="left" w:leader="dot" w:pos="8222"/>
              </w:tabs>
              <w:rPr>
                <w:szCs w:val="24"/>
              </w:rPr>
            </w:pPr>
          </w:p>
          <w:p w14:paraId="72032221" w14:textId="64FAF7F3" w:rsidR="007A1880" w:rsidRPr="000F41B0" w:rsidRDefault="005131B0" w:rsidP="007A1880">
            <w:pPr>
              <w:tabs>
                <w:tab w:val="left" w:pos="4253"/>
                <w:tab w:val="left" w:leader="dot" w:pos="8222"/>
              </w:tabs>
              <w:rPr>
                <w:szCs w:val="24"/>
              </w:rPr>
            </w:pPr>
            <w:r>
              <w:rPr>
                <w:szCs w:val="24"/>
              </w:rPr>
              <w:t>Mr Michael Manthorpe PSM FIPAA</w:t>
            </w:r>
            <w:r w:rsidR="007A1880" w:rsidRPr="000F41B0">
              <w:rPr>
                <w:szCs w:val="24"/>
              </w:rPr>
              <w:tab/>
            </w:r>
          </w:p>
          <w:p w14:paraId="3E9DBDA7" w14:textId="7D413D20" w:rsidR="007A1880" w:rsidRPr="000F41B0" w:rsidRDefault="007A1880" w:rsidP="007A1880">
            <w:pPr>
              <w:tabs>
                <w:tab w:val="left" w:pos="4253"/>
                <w:tab w:val="left" w:leader="dot" w:pos="8222"/>
              </w:tabs>
              <w:rPr>
                <w:szCs w:val="24"/>
              </w:rPr>
            </w:pPr>
            <w:r w:rsidRPr="000F41B0">
              <w:rPr>
                <w:szCs w:val="24"/>
              </w:rPr>
              <w:t>Member</w:t>
            </w:r>
          </w:p>
        </w:tc>
        <w:tc>
          <w:tcPr>
            <w:tcW w:w="4529" w:type="dxa"/>
            <w:gridSpan w:val="2"/>
          </w:tcPr>
          <w:p w14:paraId="656ADA88" w14:textId="53EF97C4" w:rsidR="007A1880" w:rsidRDefault="007A1880" w:rsidP="007A1880">
            <w:pPr>
              <w:tabs>
                <w:tab w:val="left" w:pos="3059"/>
                <w:tab w:val="left" w:pos="7230"/>
              </w:tabs>
            </w:pPr>
            <w:r w:rsidRPr="006A51E8">
              <w:t xml:space="preserve"> </w:t>
            </w:r>
          </w:p>
          <w:p w14:paraId="4F4E7D0E" w14:textId="2F2CC42E" w:rsidR="007A1880" w:rsidRDefault="009D0DE1" w:rsidP="007A1880">
            <w:pPr>
              <w:tabs>
                <w:tab w:val="left" w:pos="3059"/>
                <w:tab w:val="left" w:pos="7230"/>
              </w:tabs>
            </w:pPr>
            <w:r>
              <w:rPr>
                <w:noProof/>
                <w:szCs w:val="24"/>
              </w:rPr>
              <w:drawing>
                <wp:anchor distT="0" distB="0" distL="114300" distR="114300" simplePos="0" relativeHeight="251659264" behindDoc="0" locked="0" layoutInCell="1" allowOverlap="1" wp14:anchorId="6BD3676E" wp14:editId="58624E60">
                  <wp:simplePos x="0" y="0"/>
                  <wp:positionH relativeFrom="column">
                    <wp:posOffset>209550</wp:posOffset>
                  </wp:positionH>
                  <wp:positionV relativeFrom="paragraph">
                    <wp:posOffset>173990</wp:posOffset>
                  </wp:positionV>
                  <wp:extent cx="1955800" cy="3810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p w14:paraId="11206046" w14:textId="2513F087" w:rsidR="007A1880" w:rsidRDefault="007A1880" w:rsidP="007A1880">
            <w:pPr>
              <w:tabs>
                <w:tab w:val="left" w:pos="3059"/>
                <w:tab w:val="left" w:pos="7230"/>
              </w:tabs>
            </w:pPr>
            <w:r>
              <w:t xml:space="preserve">  </w:t>
            </w:r>
          </w:p>
          <w:p w14:paraId="1B7217AB" w14:textId="56CA6FB8" w:rsidR="007A1880" w:rsidRDefault="007A1880" w:rsidP="007A1880">
            <w:pPr>
              <w:tabs>
                <w:tab w:val="left" w:pos="4253"/>
                <w:tab w:val="left" w:leader="dot" w:pos="8222"/>
              </w:tabs>
              <w:rPr>
                <w:szCs w:val="24"/>
              </w:rPr>
            </w:pPr>
          </w:p>
        </w:tc>
      </w:tr>
      <w:tr w:rsidR="007A1880" w:rsidRPr="006A51E8" w14:paraId="476FECDA" w14:textId="0302CBD3" w:rsidTr="007A1880">
        <w:trPr>
          <w:gridAfter w:val="1"/>
          <w:wAfter w:w="4447" w:type="dxa"/>
        </w:trPr>
        <w:tc>
          <w:tcPr>
            <w:tcW w:w="4529" w:type="dxa"/>
          </w:tcPr>
          <w:p w14:paraId="078F8A1A" w14:textId="77777777" w:rsidR="007A1880" w:rsidRPr="000F41B0" w:rsidRDefault="007A1880" w:rsidP="007A1880">
            <w:pPr>
              <w:tabs>
                <w:tab w:val="left" w:pos="4253"/>
                <w:tab w:val="left" w:pos="7230"/>
                <w:tab w:val="left" w:leader="dot" w:pos="8222"/>
              </w:tabs>
              <w:rPr>
                <w:szCs w:val="24"/>
              </w:rPr>
            </w:pPr>
          </w:p>
          <w:p w14:paraId="28B1B3E1" w14:textId="77777777" w:rsidR="007A1880" w:rsidRDefault="007A1880" w:rsidP="007A1880">
            <w:pPr>
              <w:tabs>
                <w:tab w:val="left" w:pos="4253"/>
                <w:tab w:val="left" w:pos="7230"/>
                <w:tab w:val="left" w:leader="dot" w:pos="8222"/>
              </w:tabs>
              <w:rPr>
                <w:szCs w:val="24"/>
              </w:rPr>
            </w:pPr>
          </w:p>
          <w:p w14:paraId="6C0C5D45" w14:textId="77777777" w:rsidR="00740B05" w:rsidRDefault="00740B05" w:rsidP="007A1880">
            <w:pPr>
              <w:tabs>
                <w:tab w:val="left" w:pos="4253"/>
                <w:tab w:val="left" w:leader="dot" w:pos="8222"/>
              </w:tabs>
              <w:rPr>
                <w:szCs w:val="24"/>
              </w:rPr>
            </w:pPr>
          </w:p>
          <w:p w14:paraId="3DB5440B" w14:textId="77777777" w:rsidR="00740B05" w:rsidRDefault="00740B05" w:rsidP="007A1880">
            <w:pPr>
              <w:tabs>
                <w:tab w:val="left" w:pos="4253"/>
                <w:tab w:val="left" w:leader="dot" w:pos="8222"/>
              </w:tabs>
              <w:rPr>
                <w:szCs w:val="24"/>
              </w:rPr>
            </w:pPr>
          </w:p>
          <w:p w14:paraId="444E8D90" w14:textId="4DBC8590" w:rsidR="007A1880" w:rsidRPr="000F41B0" w:rsidRDefault="007A1880" w:rsidP="007A1880">
            <w:pPr>
              <w:tabs>
                <w:tab w:val="left" w:pos="4253"/>
                <w:tab w:val="left" w:leader="dot" w:pos="8222"/>
              </w:tabs>
              <w:rPr>
                <w:szCs w:val="24"/>
              </w:rPr>
            </w:pPr>
            <w:r>
              <w:rPr>
                <w:szCs w:val="24"/>
              </w:rPr>
              <w:t>Mr Dale Boucher PSM</w:t>
            </w:r>
            <w:r w:rsidRPr="000F41B0">
              <w:rPr>
                <w:szCs w:val="24"/>
              </w:rPr>
              <w:tab/>
            </w:r>
          </w:p>
          <w:p w14:paraId="34560325" w14:textId="77B185B1" w:rsidR="007A1880" w:rsidRPr="000F41B0" w:rsidRDefault="007A1880" w:rsidP="007A1880">
            <w:pPr>
              <w:tabs>
                <w:tab w:val="left" w:pos="4253"/>
                <w:tab w:val="left" w:leader="dot" w:pos="8222"/>
              </w:tabs>
              <w:rPr>
                <w:szCs w:val="24"/>
              </w:rPr>
            </w:pPr>
            <w:r w:rsidRPr="000F41B0">
              <w:rPr>
                <w:szCs w:val="24"/>
              </w:rPr>
              <w:t xml:space="preserve">Member </w:t>
            </w:r>
          </w:p>
        </w:tc>
        <w:tc>
          <w:tcPr>
            <w:tcW w:w="4529" w:type="dxa"/>
            <w:gridSpan w:val="2"/>
          </w:tcPr>
          <w:p w14:paraId="1D5202D2" w14:textId="7062D986" w:rsidR="007A1880" w:rsidRPr="00E96CB7" w:rsidRDefault="009D0DE1" w:rsidP="00E96CB7">
            <w:pPr>
              <w:tabs>
                <w:tab w:val="left" w:pos="4026"/>
                <w:tab w:val="left" w:pos="7230"/>
              </w:tabs>
            </w:pPr>
            <w:r>
              <w:rPr>
                <w:noProof/>
                <w:szCs w:val="24"/>
              </w:rPr>
              <w:drawing>
                <wp:anchor distT="0" distB="0" distL="114300" distR="114300" simplePos="0" relativeHeight="251660288" behindDoc="0" locked="0" layoutInCell="1" allowOverlap="1" wp14:anchorId="2EED7E2F" wp14:editId="405C1D25">
                  <wp:simplePos x="0" y="0"/>
                  <wp:positionH relativeFrom="column">
                    <wp:posOffset>360680</wp:posOffset>
                  </wp:positionH>
                  <wp:positionV relativeFrom="paragraph">
                    <wp:posOffset>492125</wp:posOffset>
                  </wp:positionV>
                  <wp:extent cx="1571625" cy="9048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tc>
      </w:tr>
      <w:tr w:rsidR="007A1880" w:rsidRPr="006A51E8" w14:paraId="5ADD0EEF" w14:textId="6E42E95C" w:rsidTr="007A1880">
        <w:trPr>
          <w:gridAfter w:val="1"/>
          <w:wAfter w:w="4447" w:type="dxa"/>
        </w:trPr>
        <w:tc>
          <w:tcPr>
            <w:tcW w:w="4529" w:type="dxa"/>
          </w:tcPr>
          <w:p w14:paraId="341DF29A" w14:textId="77777777" w:rsidR="007A1880" w:rsidRDefault="007A1880" w:rsidP="007A1880">
            <w:pPr>
              <w:tabs>
                <w:tab w:val="left" w:pos="4253"/>
                <w:tab w:val="left" w:pos="7230"/>
                <w:tab w:val="left" w:leader="dot" w:pos="8222"/>
              </w:tabs>
              <w:rPr>
                <w:szCs w:val="24"/>
              </w:rPr>
            </w:pPr>
          </w:p>
          <w:p w14:paraId="7756E005" w14:textId="6D92CF0C" w:rsidR="007A1880" w:rsidRPr="000F41B0" w:rsidRDefault="007A1880" w:rsidP="007A1880">
            <w:pPr>
              <w:tabs>
                <w:tab w:val="left" w:pos="4253"/>
                <w:tab w:val="left" w:pos="7230"/>
                <w:tab w:val="left" w:leader="dot" w:pos="8222"/>
              </w:tabs>
              <w:rPr>
                <w:szCs w:val="24"/>
              </w:rPr>
            </w:pPr>
          </w:p>
        </w:tc>
        <w:tc>
          <w:tcPr>
            <w:tcW w:w="4529" w:type="dxa"/>
            <w:gridSpan w:val="2"/>
          </w:tcPr>
          <w:p w14:paraId="17FF72AC" w14:textId="77777777" w:rsidR="007A1880" w:rsidRDefault="007A1880" w:rsidP="007A1880">
            <w:pPr>
              <w:tabs>
                <w:tab w:val="left" w:pos="4253"/>
                <w:tab w:val="left" w:pos="7230"/>
                <w:tab w:val="left" w:leader="dot" w:pos="8222"/>
              </w:tabs>
              <w:rPr>
                <w:szCs w:val="24"/>
              </w:rPr>
            </w:pPr>
          </w:p>
        </w:tc>
      </w:tr>
    </w:tbl>
    <w:p w14:paraId="2BDE3B57" w14:textId="14916E76" w:rsidR="0027602A" w:rsidRDefault="009D0DE1" w:rsidP="0027602A">
      <w:pPr>
        <w:tabs>
          <w:tab w:val="left" w:pos="4320"/>
        </w:tabs>
        <w:jc w:val="right"/>
      </w:pPr>
      <w:r>
        <w:t>16</w:t>
      </w:r>
      <w:r>
        <w:t xml:space="preserve"> </w:t>
      </w:r>
      <w:r w:rsidR="001A347A">
        <w:t>Ju</w:t>
      </w:r>
      <w:r w:rsidR="005131B0">
        <w:t>ne</w:t>
      </w:r>
      <w:r w:rsidR="007A1880">
        <w:t xml:space="preserve"> </w:t>
      </w:r>
      <w:r w:rsidR="0054199E">
        <w:t>202</w:t>
      </w:r>
      <w:r w:rsidR="005131B0">
        <w:t>3</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9"/>
      <w:headerReference w:type="default" r:id="rId20"/>
      <w:footerReference w:type="even" r:id="rId21"/>
      <w:footerReference w:type="default" r:id="rId22"/>
      <w:headerReference w:type="first" r:id="rId23"/>
      <w:footerReference w:type="first" r:id="rId24"/>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B0B" w14:textId="77777777" w:rsidR="00E53A1A" w:rsidRDefault="00E53A1A" w:rsidP="00182539">
      <w:r>
        <w:separator/>
      </w:r>
    </w:p>
  </w:endnote>
  <w:endnote w:type="continuationSeparator" w:id="0">
    <w:p w14:paraId="01C5AABF" w14:textId="77777777" w:rsidR="00E53A1A" w:rsidRDefault="00E53A1A"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1EE4" w14:textId="77777777" w:rsidR="00895EC0" w:rsidRDefault="0089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7F62" w14:textId="77777777" w:rsidR="00895EC0" w:rsidRPr="005E4817" w:rsidRDefault="00895EC0">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B05D84">
      <w:rPr>
        <w:rFonts w:asciiTheme="minorHAnsi" w:hAnsiTheme="minorHAnsi"/>
        <w:noProof/>
      </w:rPr>
      <w:t>2</w:t>
    </w:r>
    <w:r w:rsidRPr="005E4817">
      <w:rPr>
        <w:rFonts w:asciiTheme="minorHAnsi" w:hAnsiTheme="minorHAnsi"/>
        <w:noProof/>
      </w:rPr>
      <w:fldChar w:fldCharType="end"/>
    </w:r>
  </w:p>
  <w:p w14:paraId="0C6D8C73" w14:textId="77777777" w:rsidR="00895EC0" w:rsidRDefault="00895EC0" w:rsidP="00891BAE">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B38F" w14:textId="77777777" w:rsidR="00895EC0" w:rsidRDefault="00895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2B7" w14:textId="77777777" w:rsidR="00895EC0" w:rsidRDefault="00895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895EC0" w:rsidRDefault="00895E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28F" w14:textId="77777777" w:rsidR="00895EC0" w:rsidRPr="006E0090" w:rsidRDefault="00895EC0">
    <w:pPr>
      <w:pStyle w:val="Footer"/>
      <w:framePr w:wrap="around" w:vAnchor="text" w:hAnchor="margin" w:xAlign="right" w:y="1"/>
      <w:rPr>
        <w:rStyle w:val="PageNumber"/>
      </w:rPr>
    </w:pPr>
  </w:p>
  <w:p w14:paraId="24906FE0" w14:textId="3C4BC9F6" w:rsidR="00895EC0" w:rsidRPr="005E4817" w:rsidRDefault="00895EC0"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B05D84">
      <w:rPr>
        <w:rFonts w:ascii="Calibri" w:hAnsi="Calibri"/>
        <w:noProof/>
      </w:rPr>
      <w:t>6</w:t>
    </w:r>
    <w:r w:rsidRPr="005E4817">
      <w:rPr>
        <w:rFonts w:ascii="Calibri" w:hAnsi="Calibri"/>
        <w:noProof/>
      </w:rPr>
      <w:fldChar w:fldCharType="end"/>
    </w:r>
  </w:p>
  <w:p w14:paraId="5420BBD1" w14:textId="77777777" w:rsidR="00895EC0" w:rsidRPr="00453A0F" w:rsidRDefault="00895EC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ECB" w14:textId="77777777" w:rsidR="00895EC0" w:rsidRDefault="0089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696E" w14:textId="77777777" w:rsidR="00E53A1A" w:rsidRDefault="00E53A1A" w:rsidP="00182539">
      <w:r>
        <w:separator/>
      </w:r>
    </w:p>
  </w:footnote>
  <w:footnote w:type="continuationSeparator" w:id="0">
    <w:p w14:paraId="1F341106" w14:textId="77777777" w:rsidR="00E53A1A" w:rsidRDefault="00E53A1A" w:rsidP="00182539">
      <w:r>
        <w:continuationSeparator/>
      </w:r>
    </w:p>
  </w:footnote>
  <w:footnote w:id="1">
    <w:p w14:paraId="471F0126" w14:textId="03F3AC63" w:rsidR="007638B8" w:rsidRDefault="007638B8">
      <w:pPr>
        <w:pStyle w:val="FootnoteText"/>
      </w:pPr>
      <w:r>
        <w:rPr>
          <w:rStyle w:val="FootnoteReference"/>
        </w:rPr>
        <w:footnoteRef/>
      </w:r>
      <w:r>
        <w:t xml:space="preserve"> </w:t>
      </w:r>
      <w:hyperlink r:id="rId1" w:history="1">
        <w:r w:rsidRPr="007638B8">
          <w:rPr>
            <w:rStyle w:val="Hyperlink"/>
          </w:rPr>
          <w:t>Fair Work Commission Decision 2 June 2023</w:t>
        </w:r>
      </w:hyperlink>
    </w:p>
  </w:footnote>
  <w:footnote w:id="2">
    <w:p w14:paraId="237E3C1E" w14:textId="77777777" w:rsidR="003B7BE6" w:rsidRPr="001C56AB" w:rsidRDefault="003B7BE6" w:rsidP="003B7BE6">
      <w:pPr>
        <w:pStyle w:val="FootnoteText"/>
        <w:rPr>
          <w:rFonts w:cs="Calibri"/>
          <w:szCs w:val="18"/>
        </w:rPr>
      </w:pPr>
      <w:r w:rsidRPr="001C56AB">
        <w:rPr>
          <w:rStyle w:val="FootnoteReference"/>
          <w:rFonts w:cs="Calibri"/>
          <w:szCs w:val="18"/>
        </w:rPr>
        <w:footnoteRef/>
      </w:r>
      <w:r w:rsidRPr="001C56AB">
        <w:rPr>
          <w:rFonts w:cs="Calibri"/>
          <w:szCs w:val="18"/>
        </w:rPr>
        <w:t xml:space="preserve"> </w:t>
      </w:r>
      <w:r>
        <w:rPr>
          <w:rFonts w:cs="Calibri"/>
          <w:szCs w:val="18"/>
        </w:rPr>
        <w:t xml:space="preserve">ACT Treasury, 26 April 2023, CPI – March Quarter 2023 </w:t>
      </w:r>
      <w:hyperlink r:id="rId2" w:history="1">
        <w:r w:rsidRPr="00F966E4">
          <w:rPr>
            <w:rStyle w:val="Hyperlink"/>
            <w:rFonts w:cs="Calibri"/>
            <w:szCs w:val="18"/>
          </w:rPr>
          <w:t>https://www.treasury.act.gov.au/__data/assets/pdf_file/0009/399978/CPI.pdf/_recache</w:t>
        </w:r>
      </w:hyperlink>
      <w:r>
        <w:rPr>
          <w:rFonts w:cs="Calibri"/>
          <w:szCs w:val="18"/>
        </w:rPr>
        <w:t xml:space="preserve"> </w:t>
      </w:r>
    </w:p>
  </w:footnote>
  <w:footnote w:id="3">
    <w:p w14:paraId="5D04B2E8" w14:textId="77777777" w:rsidR="003B7BE6" w:rsidRPr="001C56AB" w:rsidRDefault="003B7BE6" w:rsidP="003B7BE6">
      <w:pPr>
        <w:pStyle w:val="FootnoteText"/>
        <w:rPr>
          <w:szCs w:val="18"/>
        </w:rPr>
      </w:pPr>
      <w:r w:rsidRPr="001C56AB">
        <w:rPr>
          <w:rStyle w:val="FootnoteReference"/>
          <w:rFonts w:cs="Calibri"/>
          <w:szCs w:val="18"/>
        </w:rPr>
        <w:footnoteRef/>
      </w:r>
      <w:r w:rsidRPr="001C56AB">
        <w:rPr>
          <w:rFonts w:cs="Calibri"/>
          <w:szCs w:val="18"/>
        </w:rPr>
        <w:t xml:space="preserve"> Australian Bureau of Statistics Release</w:t>
      </w:r>
      <w:r>
        <w:rPr>
          <w:rFonts w:cs="Calibri"/>
          <w:szCs w:val="18"/>
        </w:rPr>
        <w:t xml:space="preserve"> 26 April 2023</w:t>
      </w:r>
      <w:r w:rsidRPr="001C56AB">
        <w:rPr>
          <w:szCs w:val="18"/>
        </w:rPr>
        <w:t xml:space="preserve"> </w:t>
      </w:r>
      <w:r w:rsidRPr="00F966E4">
        <w:rPr>
          <w:szCs w:val="18"/>
        </w:rPr>
        <w:t>https://www.abs.gov.au/statistics/economy/price-indexes-and-inflation/consumer-price-index-australia/latest-release</w:t>
      </w:r>
    </w:p>
  </w:footnote>
  <w:footnote w:id="4">
    <w:p w14:paraId="4ABE500D" w14:textId="77777777" w:rsidR="00862AE7" w:rsidRPr="00ED4564" w:rsidRDefault="00862AE7" w:rsidP="00862AE7">
      <w:pPr>
        <w:pStyle w:val="FootnoteText"/>
        <w:rPr>
          <w:rFonts w:cs="Calibri"/>
          <w:szCs w:val="18"/>
        </w:rPr>
      </w:pPr>
      <w:r w:rsidRPr="001C56AB">
        <w:rPr>
          <w:rStyle w:val="FootnoteReference"/>
          <w:rFonts w:cs="Calibri"/>
          <w:szCs w:val="18"/>
        </w:rPr>
        <w:footnoteRef/>
      </w:r>
      <w:r w:rsidRPr="001C56AB">
        <w:rPr>
          <w:rFonts w:cs="Calibri"/>
          <w:szCs w:val="18"/>
        </w:rPr>
        <w:t xml:space="preserve"> </w:t>
      </w:r>
      <w:r>
        <w:rPr>
          <w:rFonts w:cs="Calibri"/>
          <w:szCs w:val="18"/>
        </w:rPr>
        <w:t xml:space="preserve"> </w:t>
      </w:r>
      <w:hyperlink r:id="rId3" w:history="1">
        <w:r w:rsidRPr="00263E02">
          <w:rPr>
            <w:rStyle w:val="Hyperlink"/>
            <w:rFonts w:cs="Calibri"/>
            <w:szCs w:val="18"/>
          </w:rPr>
          <w:t>ACT Budget 202</w:t>
        </w:r>
        <w:r>
          <w:rPr>
            <w:rStyle w:val="Hyperlink"/>
            <w:rFonts w:cs="Calibri"/>
            <w:szCs w:val="18"/>
          </w:rPr>
          <w:t>2</w:t>
        </w:r>
        <w:r w:rsidRPr="00263E02">
          <w:rPr>
            <w:rStyle w:val="Hyperlink"/>
            <w:rFonts w:cs="Calibri"/>
            <w:szCs w:val="18"/>
          </w:rPr>
          <w:t>-202</w:t>
        </w:r>
        <w:r>
          <w:rPr>
            <w:rStyle w:val="Hyperlink"/>
            <w:rFonts w:cs="Calibri"/>
            <w:szCs w:val="18"/>
          </w:rPr>
          <w:t>3</w:t>
        </w:r>
        <w:r w:rsidRPr="00263E02">
          <w:rPr>
            <w:rStyle w:val="Hyperlink"/>
            <w:rFonts w:cs="Calibri"/>
            <w:szCs w:val="18"/>
          </w:rPr>
          <w:t xml:space="preserve"> Budget </w:t>
        </w:r>
        <w:r>
          <w:rPr>
            <w:rStyle w:val="Hyperlink"/>
            <w:rFonts w:cs="Calibri"/>
            <w:szCs w:val="18"/>
          </w:rPr>
          <w:t>Review</w:t>
        </w:r>
        <w:r w:rsidRPr="00263E02">
          <w:rPr>
            <w:rStyle w:val="Hyperlink"/>
            <w:rFonts w:cs="Calibri"/>
            <w:szCs w:val="18"/>
          </w:rPr>
          <w:t>, Chapter 2 Economic Outlook</w:t>
        </w:r>
      </w:hyperlink>
      <w:r>
        <w:rPr>
          <w:rFonts w:cs="Calibri"/>
          <w:szCs w:val="18"/>
        </w:rPr>
        <w:t>, page 15.</w:t>
      </w:r>
    </w:p>
  </w:footnote>
  <w:footnote w:id="5">
    <w:p w14:paraId="68D20DBB" w14:textId="1A3DEB5E" w:rsidR="00715289" w:rsidRPr="00AB6029" w:rsidRDefault="00BC77CF" w:rsidP="00715289">
      <w:pPr>
        <w:rPr>
          <w:sz w:val="14"/>
          <w:szCs w:val="12"/>
          <w:lang w:eastAsia="en-AU"/>
        </w:rPr>
      </w:pPr>
      <w:r w:rsidRPr="00AB6029">
        <w:rPr>
          <w:rStyle w:val="FootnoteReference"/>
          <w:sz w:val="16"/>
          <w:szCs w:val="12"/>
        </w:rPr>
        <w:footnoteRef/>
      </w:r>
      <w:r w:rsidRPr="00AB6029">
        <w:rPr>
          <w:sz w:val="16"/>
          <w:szCs w:val="12"/>
        </w:rPr>
        <w:t xml:space="preserve"> Includes additional </w:t>
      </w:r>
      <w:r w:rsidR="00715289" w:rsidRPr="00AB6029">
        <w:rPr>
          <w:sz w:val="16"/>
          <w:szCs w:val="12"/>
        </w:rPr>
        <w:t>remuneration payable to ACT</w:t>
      </w:r>
      <w:r w:rsidR="00B96803" w:rsidRPr="00AB6029">
        <w:rPr>
          <w:sz w:val="16"/>
          <w:szCs w:val="12"/>
        </w:rPr>
        <w:t>PS Senior</w:t>
      </w:r>
      <w:r w:rsidR="00715289" w:rsidRPr="00AB6029">
        <w:rPr>
          <w:sz w:val="16"/>
          <w:szCs w:val="12"/>
        </w:rPr>
        <w:t xml:space="preserve"> </w:t>
      </w:r>
      <w:r w:rsidR="00B96803" w:rsidRPr="00AB6029">
        <w:rPr>
          <w:sz w:val="16"/>
          <w:szCs w:val="12"/>
        </w:rPr>
        <w:t xml:space="preserve">Executives, associated with the previous provision of executive vehicles, as determined by this </w:t>
      </w:r>
      <w:proofErr w:type="gramStart"/>
      <w:r w:rsidR="00B96803" w:rsidRPr="00AB6029">
        <w:rPr>
          <w:sz w:val="16"/>
          <w:szCs w:val="12"/>
        </w:rPr>
        <w:t>Tribunal</w:t>
      </w:r>
      <w:proofErr w:type="gramEnd"/>
      <w:r w:rsidR="00B96803" w:rsidRPr="00AB6029">
        <w:rPr>
          <w:sz w:val="16"/>
          <w:szCs w:val="12"/>
        </w:rPr>
        <w:t xml:space="preserve"> and </w:t>
      </w:r>
      <w:r w:rsidRPr="00AB6029">
        <w:rPr>
          <w:sz w:val="16"/>
          <w:szCs w:val="12"/>
        </w:rPr>
        <w:t xml:space="preserve">as provided for in Section 51 of the </w:t>
      </w:r>
      <w:r w:rsidRPr="00AB6029">
        <w:rPr>
          <w:i/>
          <w:iCs/>
          <w:sz w:val="16"/>
          <w:szCs w:val="12"/>
        </w:rPr>
        <w:t>Public Sector Management Standards 2016</w:t>
      </w:r>
      <w:r w:rsidR="00715289" w:rsidRPr="00AB6029">
        <w:rPr>
          <w:sz w:val="16"/>
          <w:szCs w:val="12"/>
        </w:rPr>
        <w:t>.  </w:t>
      </w:r>
    </w:p>
    <w:p w14:paraId="5140EEF1" w14:textId="5D65B372" w:rsidR="00BC77CF" w:rsidRPr="004268AC" w:rsidRDefault="00BC77CF">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376" w14:textId="0AA02844" w:rsidR="00895EC0" w:rsidRDefault="0089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1680" w14:textId="3D356835" w:rsidR="00895EC0" w:rsidRDefault="0089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ED11" w14:textId="14C5FDA4" w:rsidR="00895EC0" w:rsidRDefault="00895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738" w14:textId="1D6286CA" w:rsidR="00895EC0" w:rsidRDefault="00895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1B30" w14:textId="67D9ADC0" w:rsidR="00895EC0" w:rsidRDefault="00895E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48E" w14:textId="44EB993D" w:rsidR="00895EC0" w:rsidRDefault="0089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CE7EC2"/>
    <w:multiLevelType w:val="hybridMultilevel"/>
    <w:tmpl w:val="23AE2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363696"/>
    <w:multiLevelType w:val="hybridMultilevel"/>
    <w:tmpl w:val="9AE0269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1A02F9"/>
    <w:multiLevelType w:val="hybridMultilevel"/>
    <w:tmpl w:val="1332AAEE"/>
    <w:lvl w:ilvl="0" w:tplc="7D161C9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3819061">
    <w:abstractNumId w:val="13"/>
  </w:num>
  <w:num w:numId="2" w16cid:durableId="1955601503">
    <w:abstractNumId w:val="14"/>
  </w:num>
  <w:num w:numId="3" w16cid:durableId="406998405">
    <w:abstractNumId w:val="4"/>
  </w:num>
  <w:num w:numId="4" w16cid:durableId="1686133053">
    <w:abstractNumId w:val="8"/>
  </w:num>
  <w:num w:numId="5" w16cid:durableId="1911190041">
    <w:abstractNumId w:val="10"/>
  </w:num>
  <w:num w:numId="6" w16cid:durableId="303699193">
    <w:abstractNumId w:val="1"/>
  </w:num>
  <w:num w:numId="7" w16cid:durableId="174265919">
    <w:abstractNumId w:val="12"/>
  </w:num>
  <w:num w:numId="8" w16cid:durableId="1133448060">
    <w:abstractNumId w:val="0"/>
  </w:num>
  <w:num w:numId="9" w16cid:durableId="348020491">
    <w:abstractNumId w:val="9"/>
  </w:num>
  <w:num w:numId="10" w16cid:durableId="402945906">
    <w:abstractNumId w:val="3"/>
  </w:num>
  <w:num w:numId="11" w16cid:durableId="350374362">
    <w:abstractNumId w:val="2"/>
  </w:num>
  <w:num w:numId="12" w16cid:durableId="316963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769544">
    <w:abstractNumId w:val="13"/>
  </w:num>
  <w:num w:numId="14" w16cid:durableId="1756124133">
    <w:abstractNumId w:val="7"/>
  </w:num>
  <w:num w:numId="15" w16cid:durableId="1761566378">
    <w:abstractNumId w:val="5"/>
  </w:num>
  <w:num w:numId="16" w16cid:durableId="591816855">
    <w:abstractNumId w:val="6"/>
  </w:num>
  <w:num w:numId="17" w16cid:durableId="1709717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5"/>
    <w:rsid w:val="0000051E"/>
    <w:rsid w:val="00007CCC"/>
    <w:rsid w:val="00011CC0"/>
    <w:rsid w:val="0001754D"/>
    <w:rsid w:val="000238E7"/>
    <w:rsid w:val="00033953"/>
    <w:rsid w:val="00034683"/>
    <w:rsid w:val="00076DD7"/>
    <w:rsid w:val="000776B6"/>
    <w:rsid w:val="00087B91"/>
    <w:rsid w:val="000908D4"/>
    <w:rsid w:val="00096D75"/>
    <w:rsid w:val="000B25AB"/>
    <w:rsid w:val="000B4043"/>
    <w:rsid w:val="000B5250"/>
    <w:rsid w:val="000C1670"/>
    <w:rsid w:val="000C594A"/>
    <w:rsid w:val="000C63D5"/>
    <w:rsid w:val="000D472A"/>
    <w:rsid w:val="000D754F"/>
    <w:rsid w:val="000D7565"/>
    <w:rsid w:val="000E1E49"/>
    <w:rsid w:val="000E7AD4"/>
    <w:rsid w:val="000F76FB"/>
    <w:rsid w:val="00100AE4"/>
    <w:rsid w:val="00101758"/>
    <w:rsid w:val="00101B26"/>
    <w:rsid w:val="00107E29"/>
    <w:rsid w:val="00114810"/>
    <w:rsid w:val="001217EA"/>
    <w:rsid w:val="001325F0"/>
    <w:rsid w:val="00144E2B"/>
    <w:rsid w:val="0016790D"/>
    <w:rsid w:val="00172E82"/>
    <w:rsid w:val="00182539"/>
    <w:rsid w:val="001874FE"/>
    <w:rsid w:val="001969BA"/>
    <w:rsid w:val="00196EA5"/>
    <w:rsid w:val="001A347A"/>
    <w:rsid w:val="001B3A29"/>
    <w:rsid w:val="001B7AD8"/>
    <w:rsid w:val="001B7C96"/>
    <w:rsid w:val="001C0825"/>
    <w:rsid w:val="001C1981"/>
    <w:rsid w:val="001C411C"/>
    <w:rsid w:val="001D0963"/>
    <w:rsid w:val="001D4E92"/>
    <w:rsid w:val="001D5158"/>
    <w:rsid w:val="001D659C"/>
    <w:rsid w:val="001E1D55"/>
    <w:rsid w:val="002103B0"/>
    <w:rsid w:val="00216A13"/>
    <w:rsid w:val="002206F2"/>
    <w:rsid w:val="00223BC3"/>
    <w:rsid w:val="00225C49"/>
    <w:rsid w:val="0023242B"/>
    <w:rsid w:val="0027602A"/>
    <w:rsid w:val="002807D5"/>
    <w:rsid w:val="00287A58"/>
    <w:rsid w:val="002B240A"/>
    <w:rsid w:val="002B304B"/>
    <w:rsid w:val="002B68C1"/>
    <w:rsid w:val="002C0D76"/>
    <w:rsid w:val="002C31BF"/>
    <w:rsid w:val="002D11BC"/>
    <w:rsid w:val="002D63E9"/>
    <w:rsid w:val="002E3D81"/>
    <w:rsid w:val="002E4F0B"/>
    <w:rsid w:val="002E60D9"/>
    <w:rsid w:val="002E7521"/>
    <w:rsid w:val="00306A45"/>
    <w:rsid w:val="003075CE"/>
    <w:rsid w:val="00307776"/>
    <w:rsid w:val="00310675"/>
    <w:rsid w:val="00316581"/>
    <w:rsid w:val="00320D81"/>
    <w:rsid w:val="00320E9D"/>
    <w:rsid w:val="003254DA"/>
    <w:rsid w:val="003328FA"/>
    <w:rsid w:val="00335707"/>
    <w:rsid w:val="00344458"/>
    <w:rsid w:val="00361F5B"/>
    <w:rsid w:val="0036642B"/>
    <w:rsid w:val="003665E3"/>
    <w:rsid w:val="00366D86"/>
    <w:rsid w:val="00372A2C"/>
    <w:rsid w:val="00382491"/>
    <w:rsid w:val="00382B95"/>
    <w:rsid w:val="00386D5E"/>
    <w:rsid w:val="00394C8C"/>
    <w:rsid w:val="003A0C5A"/>
    <w:rsid w:val="003A0EA1"/>
    <w:rsid w:val="003A71E4"/>
    <w:rsid w:val="003A7BE4"/>
    <w:rsid w:val="003B469E"/>
    <w:rsid w:val="003B6F4F"/>
    <w:rsid w:val="003B7BE6"/>
    <w:rsid w:val="003C3D5D"/>
    <w:rsid w:val="003C6523"/>
    <w:rsid w:val="003C6FEE"/>
    <w:rsid w:val="003D1AC6"/>
    <w:rsid w:val="003F1040"/>
    <w:rsid w:val="003F6E52"/>
    <w:rsid w:val="003F783F"/>
    <w:rsid w:val="00400960"/>
    <w:rsid w:val="00403160"/>
    <w:rsid w:val="004066A4"/>
    <w:rsid w:val="00411109"/>
    <w:rsid w:val="00413443"/>
    <w:rsid w:val="00423EE2"/>
    <w:rsid w:val="004268AC"/>
    <w:rsid w:val="00433423"/>
    <w:rsid w:val="00453A0F"/>
    <w:rsid w:val="00453B06"/>
    <w:rsid w:val="00453BB4"/>
    <w:rsid w:val="00463482"/>
    <w:rsid w:val="00464754"/>
    <w:rsid w:val="00464F72"/>
    <w:rsid w:val="004715C3"/>
    <w:rsid w:val="00480B90"/>
    <w:rsid w:val="00482097"/>
    <w:rsid w:val="00496FE9"/>
    <w:rsid w:val="004B34E6"/>
    <w:rsid w:val="004B75FC"/>
    <w:rsid w:val="004C3154"/>
    <w:rsid w:val="004C4297"/>
    <w:rsid w:val="004C6D00"/>
    <w:rsid w:val="004D2BBC"/>
    <w:rsid w:val="004D3741"/>
    <w:rsid w:val="004D4B51"/>
    <w:rsid w:val="004D60D4"/>
    <w:rsid w:val="004D6306"/>
    <w:rsid w:val="004E631E"/>
    <w:rsid w:val="004F2085"/>
    <w:rsid w:val="004F2086"/>
    <w:rsid w:val="004F5FC1"/>
    <w:rsid w:val="00501D02"/>
    <w:rsid w:val="00502D96"/>
    <w:rsid w:val="00504AA8"/>
    <w:rsid w:val="005131B0"/>
    <w:rsid w:val="005221D2"/>
    <w:rsid w:val="00525C84"/>
    <w:rsid w:val="00525FEA"/>
    <w:rsid w:val="0053188F"/>
    <w:rsid w:val="00533E72"/>
    <w:rsid w:val="0054028B"/>
    <w:rsid w:val="0054046D"/>
    <w:rsid w:val="0054199E"/>
    <w:rsid w:val="005553BD"/>
    <w:rsid w:val="0056037E"/>
    <w:rsid w:val="00562357"/>
    <w:rsid w:val="00562862"/>
    <w:rsid w:val="0056377D"/>
    <w:rsid w:val="00590449"/>
    <w:rsid w:val="00594246"/>
    <w:rsid w:val="00595C50"/>
    <w:rsid w:val="005A1BE6"/>
    <w:rsid w:val="005A3A46"/>
    <w:rsid w:val="005A673A"/>
    <w:rsid w:val="005A7227"/>
    <w:rsid w:val="005B07A5"/>
    <w:rsid w:val="005B18AF"/>
    <w:rsid w:val="005B22D3"/>
    <w:rsid w:val="005B375C"/>
    <w:rsid w:val="005B556E"/>
    <w:rsid w:val="005B6D7D"/>
    <w:rsid w:val="005C0CA7"/>
    <w:rsid w:val="005C6543"/>
    <w:rsid w:val="005D3272"/>
    <w:rsid w:val="005D75B3"/>
    <w:rsid w:val="005E4817"/>
    <w:rsid w:val="005F3493"/>
    <w:rsid w:val="006003CD"/>
    <w:rsid w:val="006011A1"/>
    <w:rsid w:val="00614C77"/>
    <w:rsid w:val="00625610"/>
    <w:rsid w:val="006256BF"/>
    <w:rsid w:val="006401F4"/>
    <w:rsid w:val="006442AA"/>
    <w:rsid w:val="00644334"/>
    <w:rsid w:val="00644A92"/>
    <w:rsid w:val="00664751"/>
    <w:rsid w:val="00670BC5"/>
    <w:rsid w:val="00680BB2"/>
    <w:rsid w:val="006905C6"/>
    <w:rsid w:val="00690EE1"/>
    <w:rsid w:val="006B0526"/>
    <w:rsid w:val="006C0DA8"/>
    <w:rsid w:val="006C5DEF"/>
    <w:rsid w:val="006C62D2"/>
    <w:rsid w:val="006D3751"/>
    <w:rsid w:val="006D4065"/>
    <w:rsid w:val="006D6BA1"/>
    <w:rsid w:val="006E0090"/>
    <w:rsid w:val="006E5EAA"/>
    <w:rsid w:val="006E7053"/>
    <w:rsid w:val="006E7416"/>
    <w:rsid w:val="006F40F5"/>
    <w:rsid w:val="00701963"/>
    <w:rsid w:val="00702A22"/>
    <w:rsid w:val="007066EC"/>
    <w:rsid w:val="00715289"/>
    <w:rsid w:val="00720146"/>
    <w:rsid w:val="007258CF"/>
    <w:rsid w:val="00737A85"/>
    <w:rsid w:val="00740323"/>
    <w:rsid w:val="00740B05"/>
    <w:rsid w:val="00743D98"/>
    <w:rsid w:val="007629CF"/>
    <w:rsid w:val="007638B8"/>
    <w:rsid w:val="007639B1"/>
    <w:rsid w:val="00765DFD"/>
    <w:rsid w:val="0077357E"/>
    <w:rsid w:val="0077456D"/>
    <w:rsid w:val="007810C2"/>
    <w:rsid w:val="007879EE"/>
    <w:rsid w:val="00790767"/>
    <w:rsid w:val="00793C81"/>
    <w:rsid w:val="00795F62"/>
    <w:rsid w:val="007A1880"/>
    <w:rsid w:val="007A6BB9"/>
    <w:rsid w:val="007A78A8"/>
    <w:rsid w:val="007B1039"/>
    <w:rsid w:val="007B2440"/>
    <w:rsid w:val="007B4076"/>
    <w:rsid w:val="007C0B41"/>
    <w:rsid w:val="007C241C"/>
    <w:rsid w:val="007C2BAC"/>
    <w:rsid w:val="007C2BB3"/>
    <w:rsid w:val="007C4085"/>
    <w:rsid w:val="007C5FE9"/>
    <w:rsid w:val="007C66D9"/>
    <w:rsid w:val="007D020D"/>
    <w:rsid w:val="007D54E4"/>
    <w:rsid w:val="007D7803"/>
    <w:rsid w:val="007E21B4"/>
    <w:rsid w:val="007E68F7"/>
    <w:rsid w:val="0080525F"/>
    <w:rsid w:val="00805874"/>
    <w:rsid w:val="0081684F"/>
    <w:rsid w:val="00824298"/>
    <w:rsid w:val="008251B6"/>
    <w:rsid w:val="00831BB0"/>
    <w:rsid w:val="008339D2"/>
    <w:rsid w:val="00834E66"/>
    <w:rsid w:val="00835D97"/>
    <w:rsid w:val="00860D65"/>
    <w:rsid w:val="00862AE7"/>
    <w:rsid w:val="008764B5"/>
    <w:rsid w:val="00887EC4"/>
    <w:rsid w:val="00891BAE"/>
    <w:rsid w:val="00894955"/>
    <w:rsid w:val="00895EC0"/>
    <w:rsid w:val="008A2333"/>
    <w:rsid w:val="008E71FC"/>
    <w:rsid w:val="00910E17"/>
    <w:rsid w:val="009123D0"/>
    <w:rsid w:val="00913A39"/>
    <w:rsid w:val="00915F3A"/>
    <w:rsid w:val="00917854"/>
    <w:rsid w:val="009263B9"/>
    <w:rsid w:val="009277CD"/>
    <w:rsid w:val="009279C2"/>
    <w:rsid w:val="00927F3E"/>
    <w:rsid w:val="00932D00"/>
    <w:rsid w:val="00940D75"/>
    <w:rsid w:val="00942AE0"/>
    <w:rsid w:val="00942F3C"/>
    <w:rsid w:val="00945387"/>
    <w:rsid w:val="009453AF"/>
    <w:rsid w:val="00945BE7"/>
    <w:rsid w:val="009467AF"/>
    <w:rsid w:val="00947B6F"/>
    <w:rsid w:val="00964983"/>
    <w:rsid w:val="00971EAB"/>
    <w:rsid w:val="009752B8"/>
    <w:rsid w:val="009755A3"/>
    <w:rsid w:val="00983E90"/>
    <w:rsid w:val="00985E56"/>
    <w:rsid w:val="009B4321"/>
    <w:rsid w:val="009B6793"/>
    <w:rsid w:val="009B7920"/>
    <w:rsid w:val="009C10E9"/>
    <w:rsid w:val="009C2F6E"/>
    <w:rsid w:val="009C390C"/>
    <w:rsid w:val="009C6900"/>
    <w:rsid w:val="009C7670"/>
    <w:rsid w:val="009D0DE1"/>
    <w:rsid w:val="009D2938"/>
    <w:rsid w:val="009E09AB"/>
    <w:rsid w:val="009E09C1"/>
    <w:rsid w:val="009E0E67"/>
    <w:rsid w:val="009E36A7"/>
    <w:rsid w:val="009E48D4"/>
    <w:rsid w:val="00A02D43"/>
    <w:rsid w:val="00A052D8"/>
    <w:rsid w:val="00A12B19"/>
    <w:rsid w:val="00A15F32"/>
    <w:rsid w:val="00A246C0"/>
    <w:rsid w:val="00A32835"/>
    <w:rsid w:val="00A47632"/>
    <w:rsid w:val="00A50E8B"/>
    <w:rsid w:val="00A55427"/>
    <w:rsid w:val="00A55710"/>
    <w:rsid w:val="00A61735"/>
    <w:rsid w:val="00A6753C"/>
    <w:rsid w:val="00A7162F"/>
    <w:rsid w:val="00A7760F"/>
    <w:rsid w:val="00A86CB9"/>
    <w:rsid w:val="00A94435"/>
    <w:rsid w:val="00AA26C9"/>
    <w:rsid w:val="00AA42E1"/>
    <w:rsid w:val="00AB171A"/>
    <w:rsid w:val="00AB6000"/>
    <w:rsid w:val="00AB6029"/>
    <w:rsid w:val="00AD0936"/>
    <w:rsid w:val="00AF3576"/>
    <w:rsid w:val="00B03A31"/>
    <w:rsid w:val="00B05D84"/>
    <w:rsid w:val="00B06BD8"/>
    <w:rsid w:val="00B20CE5"/>
    <w:rsid w:val="00B21432"/>
    <w:rsid w:val="00B3413E"/>
    <w:rsid w:val="00B40619"/>
    <w:rsid w:val="00B41331"/>
    <w:rsid w:val="00B504D7"/>
    <w:rsid w:val="00B51F23"/>
    <w:rsid w:val="00B551D9"/>
    <w:rsid w:val="00B656CC"/>
    <w:rsid w:val="00B66D0F"/>
    <w:rsid w:val="00B84ED0"/>
    <w:rsid w:val="00B95A81"/>
    <w:rsid w:val="00B96803"/>
    <w:rsid w:val="00B96D2B"/>
    <w:rsid w:val="00BA31FA"/>
    <w:rsid w:val="00BB22C0"/>
    <w:rsid w:val="00BB56AD"/>
    <w:rsid w:val="00BB7969"/>
    <w:rsid w:val="00BC77CF"/>
    <w:rsid w:val="00BD0DE7"/>
    <w:rsid w:val="00BD6800"/>
    <w:rsid w:val="00BD78A4"/>
    <w:rsid w:val="00BE1775"/>
    <w:rsid w:val="00BE259E"/>
    <w:rsid w:val="00BE4363"/>
    <w:rsid w:val="00BF6ACD"/>
    <w:rsid w:val="00C0193F"/>
    <w:rsid w:val="00C019FF"/>
    <w:rsid w:val="00C138DF"/>
    <w:rsid w:val="00C16C8A"/>
    <w:rsid w:val="00C24529"/>
    <w:rsid w:val="00C474F5"/>
    <w:rsid w:val="00C54DEE"/>
    <w:rsid w:val="00C55E3B"/>
    <w:rsid w:val="00C5735B"/>
    <w:rsid w:val="00C57461"/>
    <w:rsid w:val="00C62560"/>
    <w:rsid w:val="00C627B5"/>
    <w:rsid w:val="00C80E44"/>
    <w:rsid w:val="00C819EB"/>
    <w:rsid w:val="00C84061"/>
    <w:rsid w:val="00C86137"/>
    <w:rsid w:val="00C931E1"/>
    <w:rsid w:val="00CA2745"/>
    <w:rsid w:val="00CA53E3"/>
    <w:rsid w:val="00CA5A16"/>
    <w:rsid w:val="00CC0DB1"/>
    <w:rsid w:val="00CE1B99"/>
    <w:rsid w:val="00CE6FC1"/>
    <w:rsid w:val="00CF7EF1"/>
    <w:rsid w:val="00D07D73"/>
    <w:rsid w:val="00D1323F"/>
    <w:rsid w:val="00D21B26"/>
    <w:rsid w:val="00D21F9B"/>
    <w:rsid w:val="00D23DC3"/>
    <w:rsid w:val="00D425C3"/>
    <w:rsid w:val="00D42B2D"/>
    <w:rsid w:val="00D501F4"/>
    <w:rsid w:val="00D528EE"/>
    <w:rsid w:val="00D54E49"/>
    <w:rsid w:val="00D5616F"/>
    <w:rsid w:val="00D60CE6"/>
    <w:rsid w:val="00D66DD1"/>
    <w:rsid w:val="00D721C1"/>
    <w:rsid w:val="00D7416F"/>
    <w:rsid w:val="00D74807"/>
    <w:rsid w:val="00D7585B"/>
    <w:rsid w:val="00D775A1"/>
    <w:rsid w:val="00DB024A"/>
    <w:rsid w:val="00DC34BF"/>
    <w:rsid w:val="00DC47EE"/>
    <w:rsid w:val="00DD0593"/>
    <w:rsid w:val="00DF0E54"/>
    <w:rsid w:val="00DF40FC"/>
    <w:rsid w:val="00DF41BA"/>
    <w:rsid w:val="00E01394"/>
    <w:rsid w:val="00E0380F"/>
    <w:rsid w:val="00E04F07"/>
    <w:rsid w:val="00E07F02"/>
    <w:rsid w:val="00E102AE"/>
    <w:rsid w:val="00E103E6"/>
    <w:rsid w:val="00E14080"/>
    <w:rsid w:val="00E154D7"/>
    <w:rsid w:val="00E30FA8"/>
    <w:rsid w:val="00E31AF0"/>
    <w:rsid w:val="00E42203"/>
    <w:rsid w:val="00E4245B"/>
    <w:rsid w:val="00E42637"/>
    <w:rsid w:val="00E53A1A"/>
    <w:rsid w:val="00E564E8"/>
    <w:rsid w:val="00E6370F"/>
    <w:rsid w:val="00E70236"/>
    <w:rsid w:val="00E7453B"/>
    <w:rsid w:val="00E835FD"/>
    <w:rsid w:val="00E83F9F"/>
    <w:rsid w:val="00E85568"/>
    <w:rsid w:val="00E8666D"/>
    <w:rsid w:val="00E922E2"/>
    <w:rsid w:val="00E9580A"/>
    <w:rsid w:val="00E95939"/>
    <w:rsid w:val="00E96CB7"/>
    <w:rsid w:val="00EA1D9F"/>
    <w:rsid w:val="00EA22C2"/>
    <w:rsid w:val="00EA238C"/>
    <w:rsid w:val="00EA5820"/>
    <w:rsid w:val="00EA6F35"/>
    <w:rsid w:val="00EB1F62"/>
    <w:rsid w:val="00EC21E5"/>
    <w:rsid w:val="00ED339A"/>
    <w:rsid w:val="00ED66D1"/>
    <w:rsid w:val="00EE2788"/>
    <w:rsid w:val="00EE7A33"/>
    <w:rsid w:val="00EF2321"/>
    <w:rsid w:val="00EF79D9"/>
    <w:rsid w:val="00F00DFB"/>
    <w:rsid w:val="00F037A1"/>
    <w:rsid w:val="00F07177"/>
    <w:rsid w:val="00F11BCC"/>
    <w:rsid w:val="00F22A1F"/>
    <w:rsid w:val="00F2575C"/>
    <w:rsid w:val="00F34F67"/>
    <w:rsid w:val="00F37E28"/>
    <w:rsid w:val="00F42BB8"/>
    <w:rsid w:val="00F52AFD"/>
    <w:rsid w:val="00F62B08"/>
    <w:rsid w:val="00F703A5"/>
    <w:rsid w:val="00F72CE1"/>
    <w:rsid w:val="00F82398"/>
    <w:rsid w:val="00F87F1D"/>
    <w:rsid w:val="00F93DCF"/>
    <w:rsid w:val="00FD5F13"/>
    <w:rsid w:val="00FD6F1F"/>
    <w:rsid w:val="00FE029D"/>
    <w:rsid w:val="00FF21BA"/>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iPriority w:val="99"/>
    <w:unhideWhenUsed/>
    <w:rsid w:val="00B84ED0"/>
    <w:rPr>
      <w:sz w:val="18"/>
      <w:szCs w:val="18"/>
    </w:rPr>
  </w:style>
  <w:style w:type="paragraph" w:styleId="CommentText">
    <w:name w:val="annotation text"/>
    <w:basedOn w:val="Normal"/>
    <w:link w:val="CommentTextChar"/>
    <w:uiPriority w:val="99"/>
    <w:unhideWhenUsed/>
    <w:rsid w:val="00B84ED0"/>
    <w:rPr>
      <w:szCs w:val="24"/>
    </w:rPr>
  </w:style>
  <w:style w:type="character" w:customStyle="1" w:styleId="CommentTextChar">
    <w:name w:val="Comment Text Char"/>
    <w:link w:val="CommentText"/>
    <w:uiPriority w:val="99"/>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 w:type="paragraph" w:styleId="FootnoteText">
    <w:name w:val="footnote text"/>
    <w:basedOn w:val="Normal"/>
    <w:link w:val="FootnoteTextChar"/>
    <w:uiPriority w:val="99"/>
    <w:semiHidden/>
    <w:rsid w:val="00EA1D9F"/>
    <w:pPr>
      <w:spacing w:before="80" w:after="80" w:line="200" w:lineRule="atLeast"/>
    </w:pPr>
    <w:rPr>
      <w:sz w:val="18"/>
    </w:rPr>
  </w:style>
  <w:style w:type="character" w:customStyle="1" w:styleId="FootnoteTextChar">
    <w:name w:val="Footnote Text Char"/>
    <w:basedOn w:val="DefaultParagraphFont"/>
    <w:link w:val="FootnoteText"/>
    <w:uiPriority w:val="99"/>
    <w:semiHidden/>
    <w:rsid w:val="00EA1D9F"/>
    <w:rPr>
      <w:rFonts w:eastAsia="Times New Roman"/>
      <w:sz w:val="18"/>
      <w:lang w:eastAsia="en-US"/>
    </w:rPr>
  </w:style>
  <w:style w:type="character" w:styleId="FootnoteReference">
    <w:name w:val="footnote reference"/>
    <w:basedOn w:val="DefaultParagraphFont"/>
    <w:uiPriority w:val="99"/>
    <w:semiHidden/>
    <w:rsid w:val="00EA1D9F"/>
    <w:rPr>
      <w:vertAlign w:val="superscript"/>
    </w:rPr>
  </w:style>
  <w:style w:type="paragraph" w:customStyle="1" w:styleId="ColorfulList-Accent11">
    <w:name w:val="Colorful List - Accent 11"/>
    <w:basedOn w:val="Normal"/>
    <w:uiPriority w:val="34"/>
    <w:qFormat/>
    <w:rsid w:val="00B05D84"/>
    <w:pPr>
      <w:ind w:left="720"/>
    </w:pPr>
  </w:style>
  <w:style w:type="character" w:styleId="UnresolvedMention">
    <w:name w:val="Unresolved Mention"/>
    <w:basedOn w:val="DefaultParagraphFont"/>
    <w:uiPriority w:val="99"/>
    <w:semiHidden/>
    <w:unhideWhenUsed/>
    <w:rsid w:val="00763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28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chrome-extension://efaidnbmnnnibpcajpcglclefindmkaj/https:/www.treasury.act.gov.au/__data/assets/pdf_file/0018/2175030/2022-23-Budget-Review.pdf"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8B07A-73A8-44FC-A5FF-63D4575DB60A}"/>
</file>

<file path=customXml/itemProps2.xml><?xml version="1.0" encoding="utf-8"?>
<ds:datastoreItem xmlns:ds="http://schemas.openxmlformats.org/officeDocument/2006/customXml" ds:itemID="{7CF821AA-59C3-4978-828C-CDC29804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7</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Determination 3 of 2023 - Head of Service, Directors-General and Executives</vt:lpstr>
    </vt:vector>
  </TitlesOfParts>
  <Company>InTACT</Company>
  <LinksUpToDate>false</LinksUpToDate>
  <CharactersWithSpaces>13093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3 of 2023 - Head of Service, Directors-General and Executives</dc:title>
  <dc:subject>Remuneration</dc:subject>
  <dc:creator>Secretary, ACT Remuneration Tribunal</dc:creator>
  <cp:lastModifiedBy>Burton, Amelia</cp:lastModifiedBy>
  <cp:revision>28</cp:revision>
  <cp:lastPrinted>2023-06-06T23:17:00Z</cp:lastPrinted>
  <dcterms:created xsi:type="dcterms:W3CDTF">2023-05-31T05:33:00Z</dcterms:created>
  <dcterms:modified xsi:type="dcterms:W3CDTF">2023-06-16T04:42:00Z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