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F6839" w14:textId="77777777" w:rsidR="003F542F" w:rsidRDefault="003F542F" w:rsidP="003F542F">
      <w:pPr>
        <w:pStyle w:val="Header"/>
        <w:tabs>
          <w:tab w:val="clear" w:pos="2880"/>
          <w:tab w:val="clear" w:pos="4153"/>
          <w:tab w:val="clear" w:pos="8306"/>
          <w:tab w:val="left" w:pos="1848"/>
        </w:tabs>
      </w:pPr>
      <w:bookmarkStart w:id="0" w:name="_Hlk191560547"/>
      <w:bookmarkStart w:id="1" w:name="_Toc44738651"/>
      <w:r>
        <w:rPr>
          <w:noProof/>
        </w:rPr>
        <w:drawing>
          <wp:anchor distT="0" distB="0" distL="114300" distR="114300" simplePos="0" relativeHeight="251663360" behindDoc="1" locked="0" layoutInCell="1" allowOverlap="1" wp14:anchorId="18B3F82F" wp14:editId="4B44D606">
            <wp:simplePos x="0" y="0"/>
            <wp:positionH relativeFrom="column">
              <wp:posOffset>5171</wp:posOffset>
            </wp:positionH>
            <wp:positionV relativeFrom="page">
              <wp:posOffset>810986</wp:posOffset>
            </wp:positionV>
            <wp:extent cx="864870" cy="856615"/>
            <wp:effectExtent l="0" t="0" r="0" b="635"/>
            <wp:wrapSquare wrapText="bothSides"/>
            <wp:docPr id="224193919" name="Picture 1" descr="A black circle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12299" name="Picture 1" descr="A black circle with a white and black logo&#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r="48573"/>
                    <a:stretch>
                      <a:fillRect/>
                    </a:stretch>
                  </pic:blipFill>
                  <pic:spPr bwMode="auto">
                    <a:xfrm>
                      <a:off x="0" y="0"/>
                      <a:ext cx="864870" cy="856615"/>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684E237A" w14:textId="77777777" w:rsidR="003F542F" w:rsidRDefault="003F542F" w:rsidP="003F542F">
      <w:pPr>
        <w:pStyle w:val="Header"/>
        <w:tabs>
          <w:tab w:val="clear" w:pos="2880"/>
          <w:tab w:val="clear" w:pos="4153"/>
          <w:tab w:val="clear" w:pos="8306"/>
          <w:tab w:val="left" w:pos="1848"/>
        </w:tabs>
        <w:rPr>
          <w:rFonts w:cs="Arial"/>
          <w:sz w:val="32"/>
          <w:szCs w:val="32"/>
        </w:rPr>
      </w:pPr>
      <w:r w:rsidRPr="00A63274">
        <w:rPr>
          <w:rFonts w:cs="Arial"/>
          <w:sz w:val="32"/>
          <w:szCs w:val="32"/>
        </w:rPr>
        <w:t>Australian Capital Territory Remuneration Tribunal</w:t>
      </w:r>
    </w:p>
    <w:bookmarkEnd w:id="0"/>
    <w:p w14:paraId="14B7CB14" w14:textId="77777777" w:rsidR="00FB665E" w:rsidRDefault="00FB665E" w:rsidP="009E4C67">
      <w:pPr>
        <w:pStyle w:val="Heading1"/>
        <w:keepLines/>
        <w:pageBreakBefore w:val="0"/>
        <w:pBdr>
          <w:bottom w:val="none" w:sz="0" w:space="0" w:color="auto"/>
        </w:pBdr>
        <w:spacing w:before="240"/>
        <w:rPr>
          <w:color w:val="000000" w:themeColor="text1"/>
        </w:rPr>
      </w:pPr>
    </w:p>
    <w:p w14:paraId="7F8EF703" w14:textId="649AFB1C" w:rsidR="009E4C67" w:rsidRPr="00D61781" w:rsidRDefault="009E4C67" w:rsidP="009E4C67">
      <w:pPr>
        <w:pStyle w:val="Heading1"/>
        <w:keepLines/>
        <w:pageBreakBefore w:val="0"/>
        <w:pBdr>
          <w:bottom w:val="none" w:sz="0" w:space="0" w:color="auto"/>
        </w:pBdr>
        <w:spacing w:before="240"/>
        <w:rPr>
          <w:color w:val="000000" w:themeColor="text1"/>
        </w:rPr>
      </w:pPr>
      <w:r w:rsidRPr="00D61781">
        <w:rPr>
          <w:color w:val="000000" w:themeColor="text1"/>
        </w:rPr>
        <w:t xml:space="preserve">Determination </w:t>
      </w:r>
      <w:r w:rsidR="00B92322">
        <w:t>2</w:t>
      </w:r>
      <w:r w:rsidR="00E012BE" w:rsidRPr="00FC4D82">
        <w:t xml:space="preserve"> </w:t>
      </w:r>
      <w:r w:rsidR="00DC6C6D" w:rsidRPr="00FC4D82">
        <w:t xml:space="preserve">of </w:t>
      </w:r>
      <w:r w:rsidR="00E012BE" w:rsidRPr="00FC4D82">
        <w:t>20</w:t>
      </w:r>
      <w:r w:rsidR="00577E23">
        <w:t>2</w:t>
      </w:r>
      <w:r w:rsidR="007C7062">
        <w:t>6</w:t>
      </w:r>
      <w:r w:rsidR="00913DC0" w:rsidRPr="00FC4D82">
        <w:t xml:space="preserve"> </w:t>
      </w:r>
    </w:p>
    <w:p w14:paraId="2AA71DBC" w14:textId="32643AEA" w:rsidR="00DC6C6D" w:rsidRPr="002E55A6" w:rsidRDefault="00DC6C6D" w:rsidP="00DC6C6D">
      <w:pPr>
        <w:pStyle w:val="Heading1"/>
        <w:keepLines/>
        <w:pageBreakBefore w:val="0"/>
        <w:pBdr>
          <w:bottom w:val="none" w:sz="0" w:space="0" w:color="auto"/>
        </w:pBdr>
        <w:spacing w:before="240"/>
      </w:pPr>
      <w:r w:rsidRPr="002E55A6">
        <w:t>Full-Time Statutory Office</w:t>
      </w:r>
      <w:r w:rsidR="00D9585F">
        <w:t xml:space="preserve"> H</w:t>
      </w:r>
      <w:r w:rsidRPr="002E55A6">
        <w:t>older</w:t>
      </w:r>
      <w:r w:rsidR="00AD5E24" w:rsidRPr="002E55A6">
        <w:t>s</w:t>
      </w:r>
    </w:p>
    <w:p w14:paraId="03A06F42" w14:textId="77777777" w:rsidR="00FB665E" w:rsidRPr="003B1A08" w:rsidRDefault="00FB665E" w:rsidP="00FB665E">
      <w:pPr>
        <w:pStyle w:val="madeunder"/>
        <w:spacing w:before="240" w:after="120"/>
      </w:pPr>
      <w:r w:rsidRPr="003B1A08">
        <w:t xml:space="preserve">made under the </w:t>
      </w:r>
    </w:p>
    <w:p w14:paraId="3CD8DD7D" w14:textId="77777777" w:rsidR="00FB665E" w:rsidRPr="003B1A08" w:rsidRDefault="00FB665E" w:rsidP="00FB665E">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B0FFAC8" w14:textId="77DCE4C3" w:rsidR="009E4C67" w:rsidRPr="00D9585F" w:rsidRDefault="009E4C67" w:rsidP="00D9585F">
      <w:pPr>
        <w:pStyle w:val="Heading1"/>
        <w:keepLines/>
        <w:pageBreakBefore w:val="0"/>
        <w:pBdr>
          <w:bottom w:val="none" w:sz="0" w:space="0" w:color="auto"/>
        </w:pBdr>
        <w:spacing w:before="240"/>
      </w:pPr>
      <w:r w:rsidRPr="002E55A6">
        <w:t>AC</w:t>
      </w:r>
      <w:r w:rsidR="00FF72C5" w:rsidRPr="002E55A6">
        <w:t>C</w:t>
      </w:r>
      <w:r w:rsidRPr="002E55A6">
        <w:t>OMPANYING STATEMENT</w:t>
      </w:r>
      <w:r w:rsidR="00AB0311" w:rsidRPr="002E55A6">
        <w:t xml:space="preserve">  </w:t>
      </w:r>
    </w:p>
    <w:p w14:paraId="7C4F82F2" w14:textId="77777777" w:rsidR="00D9585F" w:rsidRPr="005149D2" w:rsidRDefault="00D9585F" w:rsidP="00D9585F">
      <w:pPr>
        <w:pStyle w:val="N-line3"/>
        <w:pBdr>
          <w:top w:val="single" w:sz="12" w:space="1" w:color="auto"/>
          <w:bottom w:val="none" w:sz="0" w:space="0" w:color="auto"/>
        </w:pBdr>
        <w:rPr>
          <w:szCs w:val="24"/>
        </w:rPr>
      </w:pPr>
    </w:p>
    <w:p w14:paraId="115F66F7" w14:textId="77777777" w:rsidR="00D9585F" w:rsidRPr="007C66D9" w:rsidRDefault="00D9585F" w:rsidP="00D9585F">
      <w:pPr>
        <w:spacing w:after="60"/>
        <w:rPr>
          <w:b/>
        </w:rPr>
      </w:pPr>
      <w:r>
        <w:rPr>
          <w:b/>
        </w:rPr>
        <w:t>Background</w:t>
      </w:r>
    </w:p>
    <w:p w14:paraId="12198F24" w14:textId="326C0A49" w:rsidR="00DC6C6D" w:rsidRPr="002E55A6" w:rsidRDefault="00DC6C6D" w:rsidP="001F6DFA">
      <w:pPr>
        <w:spacing w:before="120" w:after="60"/>
      </w:pPr>
      <w:r w:rsidRPr="002E55A6">
        <w:t xml:space="preserve">Under section 10 of the </w:t>
      </w:r>
      <w:r w:rsidRPr="002E55A6">
        <w:rPr>
          <w:i/>
        </w:rPr>
        <w:t>Remuneration Tribunal Act 1995</w:t>
      </w:r>
      <w:r w:rsidRPr="002E55A6">
        <w:t xml:space="preserve"> </w:t>
      </w:r>
      <w:r w:rsidR="00111665" w:rsidRPr="002E55A6">
        <w:t xml:space="preserve">(the Act), </w:t>
      </w:r>
      <w:r w:rsidRPr="002E55A6">
        <w:t>the Remuneration Tribunal (</w:t>
      </w:r>
      <w:r w:rsidR="00111665" w:rsidRPr="002E55A6">
        <w:t xml:space="preserve">the </w:t>
      </w:r>
      <w:r w:rsidRPr="002E55A6">
        <w:t>Tribunal) is required to inquire into, and determine, the salary, allowances and other entitlements for</w:t>
      </w:r>
      <w:r w:rsidR="002C785E" w:rsidRPr="002E55A6">
        <w:t xml:space="preserve"> certain </w:t>
      </w:r>
      <w:r w:rsidR="00F975B7" w:rsidRPr="002E55A6">
        <w:t>f</w:t>
      </w:r>
      <w:r w:rsidRPr="002E55A6">
        <w:t>ull-time public office</w:t>
      </w:r>
      <w:r w:rsidR="00F975B7" w:rsidRPr="002E55A6">
        <w:t xml:space="preserve"> holder</w:t>
      </w:r>
      <w:r w:rsidRPr="002E55A6">
        <w:t xml:space="preserve">s. </w:t>
      </w:r>
      <w:r w:rsidR="00F975B7" w:rsidRPr="002E55A6">
        <w:t>T</w:t>
      </w:r>
      <w:r w:rsidR="00843E1B" w:rsidRPr="002E55A6">
        <w:t>his Determination covers the</w:t>
      </w:r>
      <w:r w:rsidR="00F975B7" w:rsidRPr="002E55A6">
        <w:t xml:space="preserve"> following office holders</w:t>
      </w:r>
      <w:r w:rsidR="00843E1B" w:rsidRPr="002E55A6">
        <w:t>:</w:t>
      </w:r>
    </w:p>
    <w:p w14:paraId="43326DA1" w14:textId="54CF0484" w:rsidR="00843E1B" w:rsidRPr="002E55A6" w:rsidRDefault="00843E1B" w:rsidP="00843E1B">
      <w:pPr>
        <w:pStyle w:val="ListParagraph"/>
        <w:numPr>
          <w:ilvl w:val="0"/>
          <w:numId w:val="27"/>
        </w:numPr>
        <w:spacing w:before="120" w:after="60"/>
        <w:rPr>
          <w:sz w:val="24"/>
          <w:szCs w:val="24"/>
        </w:rPr>
      </w:pPr>
      <w:r w:rsidRPr="002E55A6">
        <w:rPr>
          <w:sz w:val="24"/>
          <w:szCs w:val="24"/>
        </w:rPr>
        <w:t>Assistant Executive Officer, Legal Aid Commission (ACT</w:t>
      </w:r>
      <w:proofErr w:type="gramStart"/>
      <w:r w:rsidRPr="002E55A6">
        <w:rPr>
          <w:sz w:val="24"/>
          <w:szCs w:val="24"/>
        </w:rPr>
        <w:t>);</w:t>
      </w:r>
      <w:proofErr w:type="gramEnd"/>
    </w:p>
    <w:p w14:paraId="24ED0E60" w14:textId="25434037" w:rsidR="00843E1B" w:rsidRDefault="00843E1B" w:rsidP="00843E1B">
      <w:pPr>
        <w:pStyle w:val="ListParagraph"/>
        <w:numPr>
          <w:ilvl w:val="0"/>
          <w:numId w:val="27"/>
        </w:numPr>
        <w:spacing w:before="120" w:after="60"/>
        <w:rPr>
          <w:sz w:val="24"/>
          <w:szCs w:val="24"/>
        </w:rPr>
      </w:pPr>
      <w:r w:rsidRPr="002E55A6">
        <w:rPr>
          <w:sz w:val="24"/>
          <w:szCs w:val="24"/>
        </w:rPr>
        <w:t xml:space="preserve">Chief Executive Officer, Canberra Institute of </w:t>
      </w:r>
      <w:proofErr w:type="gramStart"/>
      <w:r w:rsidRPr="002E55A6">
        <w:rPr>
          <w:sz w:val="24"/>
          <w:szCs w:val="24"/>
        </w:rPr>
        <w:t>Technology;</w:t>
      </w:r>
      <w:proofErr w:type="gramEnd"/>
    </w:p>
    <w:p w14:paraId="4ED392FA" w14:textId="7836AD5E" w:rsidR="00F329DE" w:rsidRDefault="00F329DE" w:rsidP="00843E1B">
      <w:pPr>
        <w:pStyle w:val="ListParagraph"/>
        <w:numPr>
          <w:ilvl w:val="0"/>
          <w:numId w:val="27"/>
        </w:numPr>
        <w:spacing w:before="120" w:after="60"/>
        <w:rPr>
          <w:sz w:val="24"/>
          <w:szCs w:val="24"/>
        </w:rPr>
      </w:pPr>
      <w:r>
        <w:rPr>
          <w:sz w:val="24"/>
          <w:szCs w:val="24"/>
        </w:rPr>
        <w:t xml:space="preserve">Chief Executive Officer, City Renewal </w:t>
      </w:r>
      <w:proofErr w:type="gramStart"/>
      <w:r>
        <w:rPr>
          <w:sz w:val="24"/>
          <w:szCs w:val="24"/>
        </w:rPr>
        <w:t>Authority;</w:t>
      </w:r>
      <w:proofErr w:type="gramEnd"/>
    </w:p>
    <w:p w14:paraId="598A1560" w14:textId="1F4A162B" w:rsidR="00F329DE" w:rsidRDefault="00F329DE" w:rsidP="00843E1B">
      <w:pPr>
        <w:pStyle w:val="ListParagraph"/>
        <w:numPr>
          <w:ilvl w:val="0"/>
          <w:numId w:val="27"/>
        </w:numPr>
        <w:spacing w:before="120" w:after="60"/>
        <w:rPr>
          <w:sz w:val="24"/>
          <w:szCs w:val="24"/>
        </w:rPr>
      </w:pPr>
      <w:r>
        <w:rPr>
          <w:sz w:val="24"/>
          <w:szCs w:val="24"/>
        </w:rPr>
        <w:t xml:space="preserve">Chief Executive Officer, Suburban Land </w:t>
      </w:r>
      <w:proofErr w:type="gramStart"/>
      <w:r>
        <w:rPr>
          <w:sz w:val="24"/>
          <w:szCs w:val="24"/>
        </w:rPr>
        <w:t>Agency;</w:t>
      </w:r>
      <w:proofErr w:type="gramEnd"/>
    </w:p>
    <w:p w14:paraId="20034F0E" w14:textId="45E4002E"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Legal Aid Commission (ACT</w:t>
      </w:r>
      <w:proofErr w:type="gramStart"/>
      <w:r w:rsidRPr="002E55A6">
        <w:rPr>
          <w:sz w:val="24"/>
          <w:szCs w:val="24"/>
        </w:rPr>
        <w:t>);</w:t>
      </w:r>
      <w:proofErr w:type="gramEnd"/>
    </w:p>
    <w:p w14:paraId="435A51D2" w14:textId="438380D8" w:rsidR="003D404C" w:rsidRPr="002E55A6" w:rsidRDefault="003D404C" w:rsidP="00843E1B">
      <w:pPr>
        <w:pStyle w:val="ListParagraph"/>
        <w:numPr>
          <w:ilvl w:val="0"/>
          <w:numId w:val="27"/>
        </w:numPr>
        <w:spacing w:before="120" w:after="60"/>
        <w:rPr>
          <w:sz w:val="24"/>
          <w:szCs w:val="24"/>
        </w:rPr>
      </w:pPr>
      <w:r w:rsidRPr="003D404C">
        <w:rPr>
          <w:sz w:val="24"/>
          <w:szCs w:val="24"/>
        </w:rPr>
        <w:t xml:space="preserve">Commissioner for Sustainability and the </w:t>
      </w:r>
      <w:proofErr w:type="gramStart"/>
      <w:r w:rsidRPr="003D404C">
        <w:rPr>
          <w:sz w:val="24"/>
          <w:szCs w:val="24"/>
        </w:rPr>
        <w:t>Environment</w:t>
      </w:r>
      <w:r w:rsidR="009636B0">
        <w:rPr>
          <w:sz w:val="24"/>
          <w:szCs w:val="24"/>
        </w:rPr>
        <w:t>;</w:t>
      </w:r>
      <w:proofErr w:type="gramEnd"/>
    </w:p>
    <w:p w14:paraId="0110AD24" w14:textId="5A2A128C"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Discrimination, Health Services and Disability and Community Services </w:t>
      </w:r>
      <w:proofErr w:type="gramStart"/>
      <w:r w:rsidRPr="002E55A6">
        <w:rPr>
          <w:sz w:val="24"/>
          <w:szCs w:val="24"/>
        </w:rPr>
        <w:t>Commissioner;</w:t>
      </w:r>
      <w:proofErr w:type="gramEnd"/>
    </w:p>
    <w:p w14:paraId="1B16624C" w14:textId="5C6C92B9"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President and Human Rights </w:t>
      </w:r>
      <w:proofErr w:type="gramStart"/>
      <w:r w:rsidRPr="002E55A6">
        <w:rPr>
          <w:sz w:val="24"/>
          <w:szCs w:val="24"/>
        </w:rPr>
        <w:t>Commissioner;</w:t>
      </w:r>
      <w:proofErr w:type="gramEnd"/>
    </w:p>
    <w:p w14:paraId="4C45AA9C" w14:textId="47644179"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Public Advocate and Children and </w:t>
      </w:r>
      <w:r w:rsidR="00F74E7D" w:rsidRPr="002E55A6">
        <w:rPr>
          <w:sz w:val="24"/>
          <w:szCs w:val="24"/>
        </w:rPr>
        <w:t>Y</w:t>
      </w:r>
      <w:r w:rsidRPr="002E55A6">
        <w:rPr>
          <w:sz w:val="24"/>
          <w:szCs w:val="24"/>
        </w:rPr>
        <w:t xml:space="preserve">oung People </w:t>
      </w:r>
      <w:proofErr w:type="gramStart"/>
      <w:r w:rsidRPr="002E55A6">
        <w:rPr>
          <w:sz w:val="24"/>
          <w:szCs w:val="24"/>
        </w:rPr>
        <w:t>Commissioner;</w:t>
      </w:r>
      <w:proofErr w:type="gramEnd"/>
      <w:r w:rsidRPr="002E55A6">
        <w:rPr>
          <w:sz w:val="24"/>
          <w:szCs w:val="24"/>
        </w:rPr>
        <w:t xml:space="preserve"> </w:t>
      </w:r>
    </w:p>
    <w:p w14:paraId="686C2D56" w14:textId="4C7C7DAB" w:rsidR="003A57A2" w:rsidRPr="002E55A6" w:rsidRDefault="00843E1B" w:rsidP="00843E1B">
      <w:pPr>
        <w:pStyle w:val="ListParagraph"/>
        <w:numPr>
          <w:ilvl w:val="0"/>
          <w:numId w:val="27"/>
        </w:numPr>
        <w:spacing w:before="120" w:after="60"/>
        <w:rPr>
          <w:sz w:val="24"/>
          <w:szCs w:val="24"/>
        </w:rPr>
      </w:pPr>
      <w:r w:rsidRPr="002E55A6">
        <w:rPr>
          <w:sz w:val="24"/>
          <w:szCs w:val="24"/>
        </w:rPr>
        <w:t xml:space="preserve">Victims of Crime </w:t>
      </w:r>
      <w:proofErr w:type="gramStart"/>
      <w:r w:rsidRPr="002E55A6">
        <w:rPr>
          <w:sz w:val="24"/>
          <w:szCs w:val="24"/>
        </w:rPr>
        <w:t>Commissioner</w:t>
      </w:r>
      <w:r w:rsidR="003A57A2" w:rsidRPr="002E55A6">
        <w:rPr>
          <w:sz w:val="24"/>
          <w:szCs w:val="24"/>
        </w:rPr>
        <w:t>;</w:t>
      </w:r>
      <w:proofErr w:type="gramEnd"/>
      <w:r w:rsidR="003A57A2" w:rsidRPr="002E55A6">
        <w:rPr>
          <w:sz w:val="24"/>
          <w:szCs w:val="24"/>
        </w:rPr>
        <w:t xml:space="preserve"> </w:t>
      </w:r>
    </w:p>
    <w:p w14:paraId="54764CF0" w14:textId="5F0D4F09" w:rsidR="00843E1B" w:rsidRDefault="003A57A2" w:rsidP="00843E1B">
      <w:pPr>
        <w:pStyle w:val="ListParagraph"/>
        <w:numPr>
          <w:ilvl w:val="0"/>
          <w:numId w:val="27"/>
        </w:numPr>
        <w:spacing w:before="120" w:after="60"/>
        <w:rPr>
          <w:sz w:val="24"/>
          <w:szCs w:val="24"/>
        </w:rPr>
      </w:pPr>
      <w:r w:rsidRPr="002E55A6">
        <w:rPr>
          <w:sz w:val="24"/>
          <w:szCs w:val="24"/>
        </w:rPr>
        <w:t>Work Health and Safety Commissioner</w:t>
      </w:r>
      <w:r w:rsidR="00B3518F">
        <w:rPr>
          <w:sz w:val="24"/>
          <w:szCs w:val="24"/>
        </w:rPr>
        <w:t>; and</w:t>
      </w:r>
    </w:p>
    <w:p w14:paraId="13B69D41" w14:textId="77777777" w:rsidR="007C7062" w:rsidRDefault="00B3518F" w:rsidP="00843E1B">
      <w:pPr>
        <w:pStyle w:val="ListParagraph"/>
        <w:numPr>
          <w:ilvl w:val="0"/>
          <w:numId w:val="27"/>
        </w:numPr>
        <w:spacing w:before="120" w:after="60"/>
        <w:rPr>
          <w:sz w:val="24"/>
          <w:szCs w:val="24"/>
        </w:rPr>
      </w:pPr>
      <w:r>
        <w:rPr>
          <w:sz w:val="24"/>
          <w:szCs w:val="24"/>
        </w:rPr>
        <w:t>Aboriginal and Torres Strait Islander Children and Young People Commissioner</w:t>
      </w:r>
      <w:r w:rsidR="007C7062">
        <w:rPr>
          <w:sz w:val="24"/>
          <w:szCs w:val="24"/>
        </w:rPr>
        <w:t>; and</w:t>
      </w:r>
    </w:p>
    <w:p w14:paraId="71B68B2E" w14:textId="132E91C2" w:rsidR="00B3518F" w:rsidRPr="002E55A6" w:rsidRDefault="007C7062" w:rsidP="00843E1B">
      <w:pPr>
        <w:pStyle w:val="ListParagraph"/>
        <w:numPr>
          <w:ilvl w:val="0"/>
          <w:numId w:val="27"/>
        </w:numPr>
        <w:spacing w:before="120" w:after="60"/>
        <w:rPr>
          <w:sz w:val="24"/>
          <w:szCs w:val="24"/>
        </w:rPr>
      </w:pPr>
      <w:r>
        <w:rPr>
          <w:sz w:val="24"/>
          <w:szCs w:val="24"/>
        </w:rPr>
        <w:t>Chair, Therapeutic Support Panel</w:t>
      </w:r>
      <w:r w:rsidR="00B3518F">
        <w:rPr>
          <w:sz w:val="24"/>
          <w:szCs w:val="24"/>
        </w:rPr>
        <w:t>.</w:t>
      </w:r>
    </w:p>
    <w:p w14:paraId="1576A6F6" w14:textId="77777777" w:rsidR="00FB665E" w:rsidRPr="009D2938" w:rsidRDefault="00FB665E" w:rsidP="00FB665E">
      <w:pPr>
        <w:spacing w:before="120" w:after="60"/>
        <w:rPr>
          <w:color w:val="000000" w:themeColor="text1"/>
        </w:rPr>
      </w:pPr>
      <w:bookmarkStart w:id="2" w:name="_Hlk160711776"/>
      <w:r w:rsidRPr="009D2938">
        <w:rPr>
          <w:b/>
          <w:color w:val="000000" w:themeColor="text1"/>
        </w:rPr>
        <w:t>Considerations</w:t>
      </w:r>
    </w:p>
    <w:p w14:paraId="03EFECDC" w14:textId="136F9DBF" w:rsidR="00FB665E" w:rsidRPr="00033953" w:rsidRDefault="00FB665E" w:rsidP="00FB665E">
      <w:pPr>
        <w:spacing w:after="120"/>
        <w:rPr>
          <w:szCs w:val="24"/>
        </w:rPr>
      </w:pPr>
      <w:bookmarkStart w:id="3" w:name="_Hlk161732656"/>
      <w:r w:rsidRPr="001B7AD8">
        <w:rPr>
          <w:szCs w:val="24"/>
        </w:rPr>
        <w:t xml:space="preserve">In </w:t>
      </w:r>
      <w:r w:rsidR="008B0427" w:rsidRPr="005D6ACC">
        <w:rPr>
          <w:szCs w:val="24"/>
        </w:rPr>
        <w:t>March</w:t>
      </w:r>
      <w:r w:rsidRPr="005D6ACC">
        <w:rPr>
          <w:szCs w:val="24"/>
        </w:rPr>
        <w:t xml:space="preserve"> 202</w:t>
      </w:r>
      <w:r w:rsidR="002514B4" w:rsidRPr="005D6ACC">
        <w:rPr>
          <w:szCs w:val="24"/>
        </w:rPr>
        <w:t>6</w:t>
      </w:r>
      <w:r w:rsidRPr="005D6ACC">
        <w:rPr>
          <w:szCs w:val="24"/>
        </w:rPr>
        <w:t>,</w:t>
      </w:r>
      <w:r w:rsidRPr="001B7AD8">
        <w:rPr>
          <w:szCs w:val="24"/>
        </w:rPr>
        <w:t xml:space="preserve"> the Tribunal commenced its Autumn Sitting to consider the remuneration, allowances and other entitlements of the following </w:t>
      </w:r>
      <w:r w:rsidRPr="00033953">
        <w:rPr>
          <w:szCs w:val="24"/>
        </w:rPr>
        <w:t xml:space="preserve">officeholders: </w:t>
      </w:r>
    </w:p>
    <w:p w14:paraId="265E5DF5" w14:textId="77777777" w:rsidR="00FB665E" w:rsidRPr="00677D07" w:rsidRDefault="00FB665E" w:rsidP="00FB665E">
      <w:pPr>
        <w:pStyle w:val="ListParagraph"/>
        <w:numPr>
          <w:ilvl w:val="0"/>
          <w:numId w:val="2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0D475606" w14:textId="77777777" w:rsidR="00FB665E" w:rsidRPr="00677D07" w:rsidRDefault="00FB665E" w:rsidP="00FB665E">
      <w:pPr>
        <w:pStyle w:val="ListParagraph"/>
        <w:numPr>
          <w:ilvl w:val="0"/>
          <w:numId w:val="28"/>
        </w:numPr>
        <w:spacing w:after="120"/>
        <w:rPr>
          <w:sz w:val="24"/>
          <w:szCs w:val="24"/>
        </w:rPr>
      </w:pPr>
      <w:r w:rsidRPr="00677D07">
        <w:rPr>
          <w:sz w:val="24"/>
          <w:szCs w:val="24"/>
        </w:rPr>
        <w:t>the Head of Service, Directors-General and ACT Public Service Executives;</w:t>
      </w:r>
      <w:r>
        <w:rPr>
          <w:sz w:val="24"/>
          <w:szCs w:val="24"/>
        </w:rPr>
        <w:t xml:space="preserve"> and</w:t>
      </w:r>
    </w:p>
    <w:p w14:paraId="04BBEBBD" w14:textId="3C80053F" w:rsidR="00FB665E" w:rsidRPr="00677D07" w:rsidRDefault="00FB665E" w:rsidP="00FB665E">
      <w:pPr>
        <w:pStyle w:val="ListParagraph"/>
        <w:numPr>
          <w:ilvl w:val="0"/>
          <w:numId w:val="28"/>
        </w:numPr>
        <w:spacing w:after="120"/>
        <w:rPr>
          <w:sz w:val="24"/>
          <w:szCs w:val="24"/>
        </w:rPr>
      </w:pPr>
      <w:r w:rsidRPr="00677D07">
        <w:rPr>
          <w:sz w:val="24"/>
          <w:szCs w:val="24"/>
        </w:rPr>
        <w:t xml:space="preserve">Full-time Statutory </w:t>
      </w:r>
      <w:r w:rsidR="00D9585F" w:rsidRPr="00677D07">
        <w:rPr>
          <w:sz w:val="24"/>
          <w:szCs w:val="24"/>
        </w:rPr>
        <w:t>Office</w:t>
      </w:r>
      <w:r w:rsidR="00D9585F">
        <w:rPr>
          <w:sz w:val="24"/>
          <w:szCs w:val="24"/>
        </w:rPr>
        <w:t>holders</w:t>
      </w:r>
      <w:r w:rsidRPr="00677D07">
        <w:rPr>
          <w:sz w:val="24"/>
          <w:szCs w:val="24"/>
        </w:rPr>
        <w:t xml:space="preserve">,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5232C038" w14:textId="0755815C" w:rsidR="005D6ACC" w:rsidRPr="00F630FF" w:rsidRDefault="005D6ACC" w:rsidP="005D6ACC">
      <w:pPr>
        <w:spacing w:after="120"/>
        <w:rPr>
          <w:rFonts w:cs="Calibri"/>
          <w:szCs w:val="24"/>
        </w:rPr>
      </w:pPr>
      <w:bookmarkStart w:id="4" w:name="_Hlk193293000"/>
      <w:bookmarkEnd w:id="2"/>
      <w:bookmarkEnd w:id="3"/>
      <w:r w:rsidRPr="00F630FF" w:rsidDel="00BB4820">
        <w:rPr>
          <w:rFonts w:cs="Calibri"/>
          <w:szCs w:val="24"/>
        </w:rPr>
        <w:t xml:space="preserve">The </w:t>
      </w:r>
      <w:r w:rsidRPr="00F630FF">
        <w:rPr>
          <w:rFonts w:cs="Calibri"/>
          <w:szCs w:val="24"/>
        </w:rPr>
        <w:t>202</w:t>
      </w:r>
      <w:r>
        <w:rPr>
          <w:rFonts w:cs="Calibri"/>
          <w:szCs w:val="24"/>
        </w:rPr>
        <w:t>6</w:t>
      </w:r>
      <w:r w:rsidRPr="00F630FF" w:rsidDel="00BB4820">
        <w:rPr>
          <w:rFonts w:cs="Calibri"/>
          <w:szCs w:val="24"/>
        </w:rPr>
        <w:t xml:space="preserve"> </w:t>
      </w:r>
      <w:r w:rsidRPr="00F630FF">
        <w:rPr>
          <w:rFonts w:cs="Calibri"/>
          <w:szCs w:val="24"/>
        </w:rPr>
        <w:t>Autumn Sitting was advertised</w:t>
      </w:r>
      <w:r w:rsidRPr="00F630FF" w:rsidDel="00BB4820">
        <w:rPr>
          <w:rFonts w:cs="Calibri"/>
          <w:szCs w:val="24"/>
        </w:rPr>
        <w:t xml:space="preserve"> on </w:t>
      </w:r>
      <w:r w:rsidRPr="00F630FF">
        <w:rPr>
          <w:rFonts w:cs="Calibri"/>
          <w:szCs w:val="24"/>
        </w:rPr>
        <w:t>the Remuneration Tribunal ACT</w:t>
      </w:r>
      <w:r w:rsidRPr="00F630FF" w:rsidDel="00BB4820">
        <w:rPr>
          <w:rFonts w:cs="Calibri"/>
          <w:szCs w:val="24"/>
        </w:rPr>
        <w:t xml:space="preserve"> website and in </w:t>
      </w:r>
      <w:r w:rsidRPr="00F630FF">
        <w:rPr>
          <w:rFonts w:cs="Calibri"/>
          <w:szCs w:val="24"/>
        </w:rPr>
        <w:t>t</w:t>
      </w:r>
      <w:r w:rsidRPr="00F630FF" w:rsidDel="00BB4820">
        <w:rPr>
          <w:rFonts w:cs="Calibri"/>
          <w:szCs w:val="24"/>
        </w:rPr>
        <w:t xml:space="preserve">he Canberra Times on </w:t>
      </w:r>
      <w:r w:rsidR="00B63E13" w:rsidRPr="00B63E13">
        <w:rPr>
          <w:rFonts w:cs="Calibri"/>
          <w:szCs w:val="24"/>
        </w:rPr>
        <w:t>14</w:t>
      </w:r>
      <w:r w:rsidRPr="00B63E13">
        <w:rPr>
          <w:rFonts w:cs="Calibri"/>
          <w:szCs w:val="24"/>
        </w:rPr>
        <w:t xml:space="preserve"> December 2025.</w:t>
      </w:r>
      <w:r w:rsidRPr="00F630FF" w:rsidDel="00BB4820">
        <w:rPr>
          <w:rFonts w:cs="Calibri"/>
          <w:szCs w:val="24"/>
        </w:rPr>
        <w:t xml:space="preserve"> </w:t>
      </w:r>
      <w:r w:rsidRPr="00F630FF">
        <w:rPr>
          <w:rFonts w:cs="Calibri"/>
          <w:szCs w:val="24"/>
        </w:rPr>
        <w:t xml:space="preserve">The Tribunal also wrote to the relevant officeholders inviting submissions. </w:t>
      </w:r>
    </w:p>
    <w:bookmarkEnd w:id="4"/>
    <w:p w14:paraId="00051231" w14:textId="77777777" w:rsidR="005D6ACC" w:rsidRPr="00F630FF" w:rsidRDefault="005D6ACC" w:rsidP="005D6ACC">
      <w:pPr>
        <w:spacing w:after="120"/>
        <w:rPr>
          <w:rFonts w:cs="Calibri"/>
          <w:szCs w:val="24"/>
        </w:rPr>
      </w:pPr>
      <w:r w:rsidRPr="00F630FF">
        <w:rPr>
          <w:rFonts w:cs="Calibri"/>
          <w:szCs w:val="24"/>
        </w:rPr>
        <w:t xml:space="preserve">At its meeting in </w:t>
      </w:r>
      <w:r w:rsidRPr="00A326A9">
        <w:rPr>
          <w:rFonts w:cs="Calibri"/>
          <w:szCs w:val="24"/>
        </w:rPr>
        <w:t>March 2026</w:t>
      </w:r>
      <w:r w:rsidRPr="00F630FF">
        <w:rPr>
          <w:rFonts w:cs="Calibri"/>
          <w:szCs w:val="24"/>
        </w:rPr>
        <w:t xml:space="preserve">, the Tribunal met with the Chief Minister, ACT Government Treasury officials and officials responsible for the Enterprise Agreement bargaining for ACT Public Sector non-executive employees. The Tribunal also met with </w:t>
      </w:r>
      <w:proofErr w:type="gramStart"/>
      <w:r w:rsidRPr="00F630FF">
        <w:rPr>
          <w:rFonts w:cs="Calibri"/>
          <w:szCs w:val="24"/>
        </w:rPr>
        <w:t>a number of</w:t>
      </w:r>
      <w:proofErr w:type="gramEnd"/>
      <w:r w:rsidRPr="00F630FF">
        <w:rPr>
          <w:rFonts w:cs="Calibri"/>
          <w:szCs w:val="24"/>
        </w:rPr>
        <w:t xml:space="preserve"> full-time public officeholders and departmental officials. </w:t>
      </w:r>
    </w:p>
    <w:p w14:paraId="2D8EB1F3" w14:textId="77777777" w:rsidR="00F219F2" w:rsidRPr="00DF4321" w:rsidRDefault="00F219F2" w:rsidP="00F219F2">
      <w:pPr>
        <w:spacing w:after="120"/>
        <w:rPr>
          <w:rFonts w:cs="Calibri"/>
          <w:szCs w:val="24"/>
        </w:rPr>
      </w:pPr>
      <w:r w:rsidRPr="00DF4321">
        <w:rPr>
          <w:rFonts w:cs="Calibri"/>
          <w:szCs w:val="24"/>
        </w:rPr>
        <w:t>The Tribunal received a briefing from the ACT Government outlining the broader national economic context and its implications for the Territory. While inflation had eased through 2025, the recent resurgence in inflation</w:t>
      </w:r>
      <w:r>
        <w:rPr>
          <w:rFonts w:cs="Calibri"/>
          <w:szCs w:val="24"/>
        </w:rPr>
        <w:t xml:space="preserve">, </w:t>
      </w:r>
      <w:r w:rsidRPr="00DF4321">
        <w:rPr>
          <w:rFonts w:cs="Calibri"/>
          <w:szCs w:val="24"/>
        </w:rPr>
        <w:t>alongside</w:t>
      </w:r>
      <w:r>
        <w:rPr>
          <w:rFonts w:cs="Calibri"/>
          <w:szCs w:val="24"/>
        </w:rPr>
        <w:t xml:space="preserve"> increasing</w:t>
      </w:r>
      <w:r w:rsidRPr="00DF4321">
        <w:rPr>
          <w:rFonts w:cs="Calibri"/>
          <w:szCs w:val="24"/>
        </w:rPr>
        <w:t xml:space="preserve"> international economic uncertainty</w:t>
      </w:r>
      <w:proofErr w:type="gramStart"/>
      <w:r>
        <w:rPr>
          <w:rFonts w:cs="Calibri"/>
          <w:szCs w:val="24"/>
        </w:rPr>
        <w:t xml:space="preserve"> and in particular</w:t>
      </w:r>
      <w:proofErr w:type="gramEnd"/>
      <w:r>
        <w:rPr>
          <w:rFonts w:cs="Calibri"/>
          <w:szCs w:val="24"/>
        </w:rPr>
        <w:t xml:space="preserve"> the recent sharp increase in the cost of fuel, are</w:t>
      </w:r>
      <w:r w:rsidRPr="00DF4321">
        <w:rPr>
          <w:rFonts w:cs="Calibri"/>
          <w:szCs w:val="24"/>
        </w:rPr>
        <w:t xml:space="preserve"> contribut</w:t>
      </w:r>
      <w:r>
        <w:rPr>
          <w:rFonts w:cs="Calibri"/>
          <w:szCs w:val="24"/>
        </w:rPr>
        <w:t>ing</w:t>
      </w:r>
      <w:r w:rsidRPr="00DF4321">
        <w:rPr>
          <w:rFonts w:cs="Calibri"/>
          <w:szCs w:val="24"/>
        </w:rPr>
        <w:t xml:space="preserve"> to </w:t>
      </w:r>
      <w:r>
        <w:rPr>
          <w:rFonts w:cs="Calibri"/>
          <w:szCs w:val="24"/>
        </w:rPr>
        <w:t>significant</w:t>
      </w:r>
      <w:r w:rsidRPr="00DF4321">
        <w:rPr>
          <w:rFonts w:cs="Calibri"/>
          <w:szCs w:val="24"/>
        </w:rPr>
        <w:t xml:space="preserve"> cost</w:t>
      </w:r>
      <w:r w:rsidRPr="00DF4321">
        <w:rPr>
          <w:rFonts w:cs="Calibri"/>
          <w:szCs w:val="24"/>
        </w:rPr>
        <w:noBreakHyphen/>
        <w:t>of</w:t>
      </w:r>
      <w:r w:rsidRPr="00DF4321">
        <w:rPr>
          <w:rFonts w:cs="Calibri"/>
          <w:szCs w:val="24"/>
        </w:rPr>
        <w:noBreakHyphen/>
        <w:t xml:space="preserve">living pressures for households. The Tribunal </w:t>
      </w:r>
      <w:r>
        <w:rPr>
          <w:rFonts w:cs="Calibri"/>
          <w:szCs w:val="24"/>
        </w:rPr>
        <w:t>recognises</w:t>
      </w:r>
      <w:r w:rsidRPr="00DF4321">
        <w:rPr>
          <w:rFonts w:cs="Calibri"/>
          <w:szCs w:val="24"/>
        </w:rPr>
        <w:t xml:space="preserve"> that these factors continue to influence expectations within the community, particularly </w:t>
      </w:r>
      <w:r>
        <w:rPr>
          <w:rFonts w:cs="Calibri"/>
          <w:szCs w:val="24"/>
        </w:rPr>
        <w:t>in the context of responsible finan</w:t>
      </w:r>
      <w:r w:rsidRPr="00DF4321">
        <w:rPr>
          <w:rFonts w:cs="Calibri"/>
          <w:szCs w:val="24"/>
        </w:rPr>
        <w:t>cial management by government.</w:t>
      </w:r>
    </w:p>
    <w:p w14:paraId="564D90E4" w14:textId="77777777" w:rsidR="00F219F2" w:rsidRDefault="00F219F2" w:rsidP="00F219F2">
      <w:pPr>
        <w:spacing w:after="120"/>
        <w:rPr>
          <w:rFonts w:cs="Calibri"/>
          <w:szCs w:val="24"/>
        </w:rPr>
      </w:pPr>
      <w:r w:rsidRPr="00DF4321">
        <w:rPr>
          <w:rFonts w:cs="Calibri"/>
          <w:szCs w:val="24"/>
        </w:rPr>
        <w:t xml:space="preserve">The ACT Government further advised that the Territory’s fiscal environment remains challenging. Despite a resilient local economy, expenditure pressures and broader economic volatility continue to affect the Territory’s budget outlook. The Tribunal </w:t>
      </w:r>
      <w:r>
        <w:rPr>
          <w:rFonts w:cs="Calibri"/>
          <w:szCs w:val="24"/>
        </w:rPr>
        <w:t>recognises</w:t>
      </w:r>
      <w:r w:rsidRPr="00DF4321">
        <w:rPr>
          <w:rFonts w:cs="Calibri"/>
          <w:szCs w:val="24"/>
        </w:rPr>
        <w:t xml:space="preserve"> both the need for financial discipline and the importance of maintaining the competitiveness of public sector remuneration.</w:t>
      </w:r>
      <w:r>
        <w:rPr>
          <w:rFonts w:cs="Calibri"/>
          <w:szCs w:val="24"/>
        </w:rPr>
        <w:t xml:space="preserve"> </w:t>
      </w:r>
      <w:r w:rsidRPr="00DF4321">
        <w:rPr>
          <w:rFonts w:cs="Calibri"/>
          <w:szCs w:val="24"/>
        </w:rPr>
        <w:t xml:space="preserve">The Tribunal </w:t>
      </w:r>
      <w:r>
        <w:rPr>
          <w:rFonts w:cs="Calibri"/>
          <w:szCs w:val="24"/>
        </w:rPr>
        <w:t>also recognises</w:t>
      </w:r>
      <w:r w:rsidRPr="00DF4321">
        <w:rPr>
          <w:rFonts w:cs="Calibri"/>
          <w:szCs w:val="24"/>
        </w:rPr>
        <w:t xml:space="preserve"> that providing no adjustment this year</w:t>
      </w:r>
      <w:r>
        <w:rPr>
          <w:rFonts w:cs="Calibri"/>
          <w:szCs w:val="24"/>
        </w:rPr>
        <w:t xml:space="preserve"> </w:t>
      </w:r>
      <w:r w:rsidRPr="00DF4321">
        <w:rPr>
          <w:rFonts w:cs="Calibri"/>
          <w:szCs w:val="24"/>
        </w:rPr>
        <w:t>create</w:t>
      </w:r>
      <w:r>
        <w:rPr>
          <w:rFonts w:cs="Calibri"/>
          <w:szCs w:val="24"/>
        </w:rPr>
        <w:t>s</w:t>
      </w:r>
      <w:r w:rsidRPr="00DF4321">
        <w:rPr>
          <w:rFonts w:cs="Calibri"/>
          <w:szCs w:val="24"/>
        </w:rPr>
        <w:t xml:space="preserve"> compounding pressures that would require more significant correction in future determinations.</w:t>
      </w:r>
    </w:p>
    <w:p w14:paraId="726FA3FF" w14:textId="2AE7908D" w:rsidR="00F21A48" w:rsidRPr="002056CC" w:rsidRDefault="00F21A48" w:rsidP="00F21A48">
      <w:pPr>
        <w:spacing w:after="120"/>
        <w:rPr>
          <w:rFonts w:asciiTheme="majorHAnsi" w:hAnsiTheme="majorHAnsi" w:cstheme="majorHAnsi"/>
          <w:szCs w:val="24"/>
        </w:rPr>
      </w:pPr>
      <w:r w:rsidRPr="002056CC">
        <w:rPr>
          <w:rFonts w:asciiTheme="majorHAnsi" w:hAnsiTheme="majorHAnsi" w:cstheme="majorHAnsi"/>
          <w:szCs w:val="24"/>
        </w:rPr>
        <w:t>The Tribunal took note of the national consumer price index in the year to March 2026 of 4.6 per cent, up from 3.7 percent in the year to February 2026</w:t>
      </w:r>
      <w:r w:rsidRPr="002056CC">
        <w:rPr>
          <w:rStyle w:val="FootnoteReference"/>
          <w:rFonts w:asciiTheme="majorHAnsi" w:hAnsiTheme="majorHAnsi" w:cstheme="majorHAnsi"/>
        </w:rPr>
        <w:footnoteReference w:id="1"/>
      </w:r>
      <w:r w:rsidRPr="002056CC">
        <w:rPr>
          <w:rFonts w:asciiTheme="majorHAnsi" w:hAnsiTheme="majorHAnsi" w:cstheme="majorHAnsi"/>
          <w:szCs w:val="24"/>
        </w:rPr>
        <w:t xml:space="preserve">. </w:t>
      </w:r>
      <w:r w:rsidR="00391F3F" w:rsidRPr="002056CC">
        <w:rPr>
          <w:rFonts w:asciiTheme="majorHAnsi" w:hAnsiTheme="majorHAnsi" w:cstheme="majorHAnsi"/>
          <w:szCs w:val="24"/>
        </w:rPr>
        <w:t xml:space="preserve">This meant the headline consumer price index was higher than the current mid-year economic and fiscal outlook released by the federal government in December 2025. </w:t>
      </w:r>
      <w:r w:rsidRPr="002056CC">
        <w:rPr>
          <w:rFonts w:asciiTheme="majorHAnsi" w:hAnsiTheme="majorHAnsi" w:cstheme="majorHAnsi"/>
          <w:szCs w:val="24"/>
        </w:rPr>
        <w:t xml:space="preserve">The Tribunal also noted that the national trimmed mean inflation remained unchanged at 3.3 per cent. </w:t>
      </w:r>
    </w:p>
    <w:p w14:paraId="7DD7617D" w14:textId="1F8F2F74" w:rsidR="009208E7" w:rsidRPr="005E31C6" w:rsidRDefault="009208E7" w:rsidP="00F219F2">
      <w:pPr>
        <w:spacing w:after="120"/>
        <w:rPr>
          <w:rFonts w:asciiTheme="majorHAnsi" w:hAnsiTheme="majorHAnsi" w:cstheme="majorHAnsi"/>
          <w:szCs w:val="24"/>
        </w:rPr>
      </w:pPr>
      <w:r w:rsidRPr="002056CC">
        <w:rPr>
          <w:rFonts w:asciiTheme="majorHAnsi" w:hAnsiTheme="majorHAnsi" w:cstheme="majorHAnsi"/>
          <w:szCs w:val="24"/>
        </w:rPr>
        <w:t>The ACT’s Wage Price Index (WPI) grew 3.7 per cent in the year to the December quarter 2025, the equal second highest in Australia. In comparison, Australian WPI growth was 3.4 per cent</w:t>
      </w:r>
      <w:r w:rsidR="00F21A48" w:rsidRPr="002056CC">
        <w:rPr>
          <w:rStyle w:val="FootnoteReference"/>
          <w:rFonts w:asciiTheme="majorHAnsi" w:hAnsiTheme="majorHAnsi" w:cstheme="majorHAnsi"/>
        </w:rPr>
        <w:footnoteReference w:id="2"/>
      </w:r>
      <w:r w:rsidRPr="002056CC">
        <w:rPr>
          <w:rFonts w:asciiTheme="majorHAnsi" w:hAnsiTheme="majorHAnsi" w:cstheme="majorHAnsi"/>
          <w:szCs w:val="24"/>
        </w:rPr>
        <w:t>.</w:t>
      </w:r>
      <w:r w:rsidRPr="005E31C6">
        <w:rPr>
          <w:rFonts w:asciiTheme="majorHAnsi" w:hAnsiTheme="majorHAnsi" w:cstheme="majorHAnsi"/>
          <w:szCs w:val="24"/>
        </w:rPr>
        <w:t xml:space="preserve"> </w:t>
      </w:r>
    </w:p>
    <w:p w14:paraId="439D8543" w14:textId="77777777" w:rsidR="003911B9" w:rsidRDefault="003911B9" w:rsidP="003911B9">
      <w:pPr>
        <w:spacing w:after="120"/>
        <w:rPr>
          <w:rFonts w:cs="Calibri"/>
          <w:szCs w:val="24"/>
        </w:rPr>
      </w:pPr>
      <w:r w:rsidRPr="00DF4321">
        <w:rPr>
          <w:rFonts w:cs="Calibri"/>
          <w:szCs w:val="24"/>
        </w:rPr>
        <w:t>As in recent years, the labour market remains tight, with the ACT competing to attract and retain high</w:t>
      </w:r>
      <w:r w:rsidRPr="00DF4321">
        <w:rPr>
          <w:rFonts w:cs="Calibri"/>
          <w:szCs w:val="24"/>
        </w:rPr>
        <w:noBreakHyphen/>
        <w:t>calibre senior personnel across the public and private sectors. The Tribunal noted the Government’s publicly articulated position on remuneration for non</w:t>
      </w:r>
      <w:r w:rsidRPr="00DF4321">
        <w:rPr>
          <w:rFonts w:cs="Calibri"/>
          <w:szCs w:val="24"/>
        </w:rPr>
        <w:noBreakHyphen/>
        <w:t>executive staff and considered the broader industrial environment across the Territory.</w:t>
      </w:r>
      <w:r>
        <w:rPr>
          <w:rFonts w:cs="Calibri"/>
          <w:szCs w:val="24"/>
        </w:rPr>
        <w:t xml:space="preserve"> </w:t>
      </w:r>
      <w:r w:rsidRPr="007E64C8">
        <w:rPr>
          <w:rFonts w:cs="Calibri"/>
          <w:szCs w:val="24"/>
        </w:rPr>
        <w:t>In this context, the Tribunal noted the wage policies and recent remuneration determinations by its Commonwealth and State/Territory counterparts.</w:t>
      </w:r>
    </w:p>
    <w:p w14:paraId="0D0E3E66" w14:textId="77777777" w:rsidR="003911B9" w:rsidRPr="00DF4321" w:rsidRDefault="003911B9" w:rsidP="003911B9">
      <w:pPr>
        <w:spacing w:after="120"/>
        <w:rPr>
          <w:rFonts w:cs="Calibri"/>
          <w:szCs w:val="24"/>
        </w:rPr>
      </w:pPr>
      <w:r>
        <w:rPr>
          <w:rFonts w:cs="Calibri"/>
          <w:szCs w:val="24"/>
        </w:rPr>
        <w:t>The Tribunal also acknowledges that l</w:t>
      </w:r>
      <w:r w:rsidRPr="00DF4321">
        <w:rPr>
          <w:rFonts w:cs="Calibri"/>
          <w:szCs w:val="24"/>
        </w:rPr>
        <w:t>ast year’s 2 per cent increase was granted</w:t>
      </w:r>
      <w:r>
        <w:rPr>
          <w:rFonts w:cs="Calibri"/>
          <w:szCs w:val="24"/>
        </w:rPr>
        <w:t xml:space="preserve"> to the Head of Service, Directors-General and Executives </w:t>
      </w:r>
      <w:r w:rsidRPr="00DF4321">
        <w:rPr>
          <w:rFonts w:cs="Calibri"/>
          <w:szCs w:val="24"/>
        </w:rPr>
        <w:t>against expectations that inflation would continue to decline; however, the circumstances in 2026 differ materially.</w:t>
      </w:r>
    </w:p>
    <w:p w14:paraId="56B68609" w14:textId="77777777" w:rsidR="00D27F6B" w:rsidRDefault="00D27F6B" w:rsidP="00D27F6B">
      <w:pPr>
        <w:spacing w:after="120"/>
        <w:rPr>
          <w:rFonts w:cs="Calibri"/>
          <w:szCs w:val="24"/>
        </w:rPr>
      </w:pPr>
      <w:r>
        <w:rPr>
          <w:rFonts w:cs="Calibri"/>
          <w:szCs w:val="24"/>
        </w:rPr>
        <w:t>T</w:t>
      </w:r>
      <w:r w:rsidRPr="00DF4321">
        <w:rPr>
          <w:rFonts w:cs="Calibri"/>
          <w:szCs w:val="24"/>
        </w:rPr>
        <w:t>he Tribunal considers</w:t>
      </w:r>
      <w:r>
        <w:rPr>
          <w:rFonts w:cs="Calibri"/>
          <w:szCs w:val="24"/>
        </w:rPr>
        <w:t xml:space="preserve"> based on the </w:t>
      </w:r>
      <w:r w:rsidRPr="00070E25">
        <w:rPr>
          <w:rFonts w:cs="Calibri"/>
          <w:szCs w:val="24"/>
        </w:rPr>
        <w:t xml:space="preserve">preceding </w:t>
      </w:r>
      <w:r>
        <w:rPr>
          <w:rFonts w:cs="Calibri"/>
          <w:szCs w:val="24"/>
        </w:rPr>
        <w:t>information</w:t>
      </w:r>
      <w:r w:rsidRPr="00DF4321">
        <w:rPr>
          <w:rFonts w:cs="Calibri"/>
          <w:szCs w:val="24"/>
        </w:rPr>
        <w:t xml:space="preserve"> that a</w:t>
      </w:r>
      <w:r>
        <w:rPr>
          <w:rFonts w:cs="Calibri"/>
          <w:szCs w:val="24"/>
        </w:rPr>
        <w:t xml:space="preserve"> modest</w:t>
      </w:r>
      <w:r w:rsidRPr="00DF4321">
        <w:rPr>
          <w:rFonts w:cs="Calibri"/>
          <w:szCs w:val="24"/>
        </w:rPr>
        <w:t xml:space="preserve"> </w:t>
      </w:r>
      <w:r>
        <w:rPr>
          <w:rFonts w:cs="Calibri"/>
          <w:szCs w:val="24"/>
        </w:rPr>
        <w:t>increase of remuneration for officeholders covered by this determination</w:t>
      </w:r>
      <w:r w:rsidRPr="00DF4321">
        <w:rPr>
          <w:rFonts w:cs="Calibri"/>
          <w:szCs w:val="24"/>
        </w:rPr>
        <w:t xml:space="preserve"> is </w:t>
      </w:r>
      <w:r>
        <w:rPr>
          <w:rFonts w:cs="Calibri"/>
          <w:szCs w:val="24"/>
        </w:rPr>
        <w:t>prudent at this time.</w:t>
      </w:r>
    </w:p>
    <w:p w14:paraId="4F5FEC54" w14:textId="77777777" w:rsidR="005D6ACC" w:rsidRPr="00A326A9" w:rsidRDefault="005D6ACC" w:rsidP="005D6ACC">
      <w:pPr>
        <w:spacing w:after="120"/>
        <w:rPr>
          <w:rFonts w:cs="Calibri"/>
          <w:szCs w:val="24"/>
        </w:rPr>
      </w:pPr>
    </w:p>
    <w:p w14:paraId="4FA3AEBD" w14:textId="438BF1D1" w:rsidR="00D9585F" w:rsidRDefault="00D9585F" w:rsidP="00A011DD">
      <w:pPr>
        <w:spacing w:before="120" w:after="120"/>
        <w:rPr>
          <w:b/>
          <w:color w:val="000000" w:themeColor="text1"/>
          <w:szCs w:val="24"/>
        </w:rPr>
      </w:pPr>
      <w:r w:rsidRPr="00F73252">
        <w:rPr>
          <w:b/>
          <w:color w:val="000000" w:themeColor="text1"/>
          <w:szCs w:val="24"/>
        </w:rPr>
        <w:t>Decision</w:t>
      </w:r>
    </w:p>
    <w:p w14:paraId="19789EEE" w14:textId="4C4150A3" w:rsidR="00FB665E" w:rsidRPr="00BB5F20" w:rsidRDefault="00D9585F" w:rsidP="002514B4">
      <w:pPr>
        <w:spacing w:after="120"/>
        <w:rPr>
          <w:b/>
          <w:color w:val="000000" w:themeColor="text1"/>
          <w:szCs w:val="24"/>
        </w:rPr>
      </w:pPr>
      <w:r w:rsidRPr="00BB5F20">
        <w:rPr>
          <w:color w:val="000000" w:themeColor="text1"/>
          <w:szCs w:val="24"/>
        </w:rPr>
        <w:t xml:space="preserve">The Tribunal determines to provide an increase of </w:t>
      </w:r>
      <w:r w:rsidR="00BB5F20" w:rsidRPr="00BB5F20">
        <w:rPr>
          <w:color w:val="000000" w:themeColor="text1"/>
          <w:szCs w:val="24"/>
        </w:rPr>
        <w:t>3</w:t>
      </w:r>
      <w:r w:rsidRPr="00BB5F20">
        <w:rPr>
          <w:color w:val="000000" w:themeColor="text1"/>
          <w:szCs w:val="24"/>
        </w:rPr>
        <w:t xml:space="preserve"> per cent to the base </w:t>
      </w:r>
      <w:r w:rsidRPr="00BB5F20">
        <w:rPr>
          <w:color w:val="000000" w:themeColor="text1"/>
          <w:szCs w:val="24"/>
          <w:lang w:val="x-none"/>
        </w:rPr>
        <w:t xml:space="preserve">remuneration of </w:t>
      </w:r>
      <w:r w:rsidRPr="00BB5F20">
        <w:rPr>
          <w:color w:val="000000" w:themeColor="text1"/>
          <w:szCs w:val="24"/>
        </w:rPr>
        <w:t>officeholders</w:t>
      </w:r>
      <w:r w:rsidRPr="00BB5F20">
        <w:rPr>
          <w:color w:val="000000" w:themeColor="text1"/>
          <w:szCs w:val="24"/>
          <w:lang w:val="x-none"/>
        </w:rPr>
        <w:t xml:space="preserve"> </w:t>
      </w:r>
      <w:r w:rsidRPr="00BB5F20">
        <w:rPr>
          <w:color w:val="000000" w:themeColor="text1"/>
          <w:szCs w:val="24"/>
        </w:rPr>
        <w:t>covered by this Determination</w:t>
      </w:r>
      <w:r w:rsidRPr="00BB5F20">
        <w:rPr>
          <w:color w:val="000000" w:themeColor="text1"/>
          <w:szCs w:val="24"/>
          <w:lang w:val="x-none"/>
        </w:rPr>
        <w:t xml:space="preserve">. </w:t>
      </w:r>
      <w:r w:rsidRPr="00BB5F20">
        <w:rPr>
          <w:color w:val="000000" w:themeColor="text1"/>
          <w:szCs w:val="24"/>
        </w:rPr>
        <w:t>The increase will commence on 1 July 202</w:t>
      </w:r>
      <w:r w:rsidR="002514B4" w:rsidRPr="00BB5F20">
        <w:rPr>
          <w:color w:val="000000" w:themeColor="text1"/>
          <w:szCs w:val="24"/>
        </w:rPr>
        <w:t>6</w:t>
      </w:r>
      <w:r w:rsidRPr="00BB5F20">
        <w:rPr>
          <w:color w:val="000000" w:themeColor="text1"/>
          <w:szCs w:val="24"/>
        </w:rPr>
        <w:t>.</w:t>
      </w:r>
    </w:p>
    <w:p w14:paraId="6CA6FC64" w14:textId="77777777" w:rsidR="00C03752" w:rsidRDefault="00C03752" w:rsidP="00D9585F">
      <w:pPr>
        <w:tabs>
          <w:tab w:val="left" w:pos="4253"/>
          <w:tab w:val="left" w:leader="dot" w:pos="8222"/>
        </w:tabs>
        <w:jc w:val="right"/>
        <w:rPr>
          <w:color w:val="000000" w:themeColor="text1"/>
        </w:rPr>
      </w:pPr>
    </w:p>
    <w:p w14:paraId="362F22EA" w14:textId="77777777" w:rsidR="00C03752" w:rsidRDefault="00C03752" w:rsidP="00D9585F">
      <w:pPr>
        <w:tabs>
          <w:tab w:val="left" w:pos="4253"/>
          <w:tab w:val="left" w:leader="dot" w:pos="8222"/>
        </w:tabs>
        <w:jc w:val="right"/>
        <w:rPr>
          <w:color w:val="000000" w:themeColor="text1"/>
        </w:rPr>
      </w:pPr>
    </w:p>
    <w:p w14:paraId="4375DB9D" w14:textId="0F0953CC" w:rsidR="00D9585F" w:rsidRPr="006E7416" w:rsidRDefault="00BB5F20" w:rsidP="00D9585F">
      <w:pPr>
        <w:tabs>
          <w:tab w:val="left" w:pos="4253"/>
          <w:tab w:val="left" w:leader="dot" w:pos="8222"/>
        </w:tabs>
        <w:jc w:val="right"/>
        <w:rPr>
          <w:color w:val="000000" w:themeColor="text1"/>
        </w:rPr>
      </w:pPr>
      <w:r w:rsidRPr="00BB5F20">
        <w:rPr>
          <w:color w:val="000000" w:themeColor="text1"/>
        </w:rPr>
        <w:t>7</w:t>
      </w:r>
      <w:r w:rsidR="00D9585F" w:rsidRPr="00BB5F20">
        <w:rPr>
          <w:color w:val="000000" w:themeColor="text1"/>
        </w:rPr>
        <w:t xml:space="preserve"> </w:t>
      </w:r>
      <w:r w:rsidR="00D33817" w:rsidRPr="00BB5F20">
        <w:rPr>
          <w:color w:val="000000" w:themeColor="text1"/>
        </w:rPr>
        <w:t>May</w:t>
      </w:r>
      <w:r w:rsidR="00D9585F" w:rsidRPr="00BB5F20">
        <w:rPr>
          <w:color w:val="000000" w:themeColor="text1"/>
        </w:rPr>
        <w:t xml:space="preserve"> 202</w:t>
      </w:r>
      <w:r w:rsidR="002514B4" w:rsidRPr="00BB5F20">
        <w:rPr>
          <w:color w:val="000000" w:themeColor="text1"/>
        </w:rPr>
        <w:t>6</w:t>
      </w:r>
    </w:p>
    <w:p w14:paraId="43D13AD5" w14:textId="77777777" w:rsidR="00D9585F" w:rsidRPr="003B1A08" w:rsidRDefault="00D9585F" w:rsidP="00FB665E">
      <w:pPr>
        <w:spacing w:before="120"/>
        <w:rPr>
          <w:rFonts w:cs="Arial"/>
        </w:rPr>
        <w:sectPr w:rsidR="00D9585F" w:rsidRPr="003B1A08" w:rsidSect="00FB665E">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491C7E52" w14:textId="77777777" w:rsidR="003F542F" w:rsidRDefault="003F542F" w:rsidP="003F542F">
      <w:pPr>
        <w:pStyle w:val="Header"/>
        <w:tabs>
          <w:tab w:val="clear" w:pos="2880"/>
          <w:tab w:val="clear" w:pos="4153"/>
          <w:tab w:val="clear" w:pos="8306"/>
          <w:tab w:val="left" w:pos="1848"/>
        </w:tabs>
      </w:pPr>
      <w:r>
        <w:rPr>
          <w:noProof/>
        </w:rPr>
        <w:drawing>
          <wp:anchor distT="0" distB="0" distL="114300" distR="114300" simplePos="0" relativeHeight="251665408" behindDoc="1" locked="0" layoutInCell="1" allowOverlap="1" wp14:anchorId="2389B862" wp14:editId="75734B42">
            <wp:simplePos x="0" y="0"/>
            <wp:positionH relativeFrom="column">
              <wp:posOffset>5171</wp:posOffset>
            </wp:positionH>
            <wp:positionV relativeFrom="page">
              <wp:posOffset>810986</wp:posOffset>
            </wp:positionV>
            <wp:extent cx="864870" cy="856615"/>
            <wp:effectExtent l="0" t="0" r="0" b="635"/>
            <wp:wrapSquare wrapText="bothSides"/>
            <wp:docPr id="1866367135" name="Picture 1" descr="A black circle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12299" name="Picture 1" descr="A black circle with a white and black logo&#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r="48573"/>
                    <a:stretch>
                      <a:fillRect/>
                    </a:stretch>
                  </pic:blipFill>
                  <pic:spPr bwMode="auto">
                    <a:xfrm>
                      <a:off x="0" y="0"/>
                      <a:ext cx="864870" cy="856615"/>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6526FB76" w14:textId="77777777" w:rsidR="003F542F" w:rsidRDefault="003F542F" w:rsidP="003F542F">
      <w:pPr>
        <w:pStyle w:val="Header"/>
        <w:tabs>
          <w:tab w:val="clear" w:pos="2880"/>
          <w:tab w:val="clear" w:pos="4153"/>
          <w:tab w:val="clear" w:pos="8306"/>
          <w:tab w:val="left" w:pos="1848"/>
        </w:tabs>
        <w:rPr>
          <w:rFonts w:cs="Arial"/>
          <w:sz w:val="32"/>
          <w:szCs w:val="32"/>
        </w:rPr>
      </w:pPr>
      <w:r w:rsidRPr="00A63274">
        <w:rPr>
          <w:rFonts w:cs="Arial"/>
          <w:sz w:val="32"/>
          <w:szCs w:val="32"/>
        </w:rPr>
        <w:t>Australian Capital Territory Remuneration Tribunal</w:t>
      </w:r>
    </w:p>
    <w:p w14:paraId="19D638D4" w14:textId="77777777" w:rsidR="00FB665E" w:rsidRDefault="00FB665E" w:rsidP="00AD5E24">
      <w:pPr>
        <w:pStyle w:val="Heading1"/>
        <w:keepLines/>
        <w:pageBreakBefore w:val="0"/>
        <w:pBdr>
          <w:bottom w:val="none" w:sz="0" w:space="0" w:color="auto"/>
        </w:pBdr>
        <w:spacing w:before="240"/>
        <w:rPr>
          <w:color w:val="000000" w:themeColor="text1"/>
        </w:rPr>
      </w:pPr>
    </w:p>
    <w:p w14:paraId="0E6B6C9C" w14:textId="4FED61A2" w:rsidR="00AD5E24" w:rsidRPr="00AB5D83" w:rsidRDefault="00AD5E24" w:rsidP="00AD5E24">
      <w:pPr>
        <w:pStyle w:val="Heading1"/>
        <w:keepLines/>
        <w:pageBreakBefore w:val="0"/>
        <w:pBdr>
          <w:bottom w:val="none" w:sz="0" w:space="0" w:color="auto"/>
        </w:pBdr>
        <w:spacing w:before="240"/>
        <w:rPr>
          <w:color w:val="000000" w:themeColor="text1"/>
        </w:rPr>
      </w:pPr>
      <w:r w:rsidRPr="00AB5D83">
        <w:rPr>
          <w:color w:val="000000" w:themeColor="text1"/>
        </w:rPr>
        <w:t xml:space="preserve">Determination </w:t>
      </w:r>
      <w:r w:rsidR="003F5B7F">
        <w:rPr>
          <w:color w:val="000000" w:themeColor="text1"/>
        </w:rPr>
        <w:t>2</w:t>
      </w:r>
      <w:r w:rsidRPr="00AB5D83">
        <w:rPr>
          <w:color w:val="000000" w:themeColor="text1"/>
        </w:rPr>
        <w:t xml:space="preserve"> of 20</w:t>
      </w:r>
      <w:r w:rsidR="00A04923" w:rsidRPr="00AB5D83">
        <w:rPr>
          <w:color w:val="000000" w:themeColor="text1"/>
        </w:rPr>
        <w:t>2</w:t>
      </w:r>
      <w:r w:rsidR="007C7062">
        <w:rPr>
          <w:color w:val="000000" w:themeColor="text1"/>
        </w:rPr>
        <w:t>6</w:t>
      </w:r>
    </w:p>
    <w:p w14:paraId="4A325C49" w14:textId="0F6A8B00" w:rsidR="00AD5E24" w:rsidRPr="002E55A6" w:rsidRDefault="00AD5E24" w:rsidP="00AD5E24">
      <w:pPr>
        <w:pStyle w:val="Heading1"/>
        <w:keepLines/>
        <w:pageBreakBefore w:val="0"/>
        <w:pBdr>
          <w:bottom w:val="none" w:sz="0" w:space="0" w:color="auto"/>
        </w:pBdr>
        <w:spacing w:before="240"/>
      </w:pPr>
      <w:r w:rsidRPr="002E55A6">
        <w:t>Full-Time Statutory Office Holders</w:t>
      </w:r>
    </w:p>
    <w:p w14:paraId="29E6F638" w14:textId="77777777" w:rsidR="00FB665E" w:rsidRPr="003B1A08" w:rsidRDefault="00FB665E" w:rsidP="00FB665E">
      <w:pPr>
        <w:pStyle w:val="madeunder"/>
        <w:spacing w:before="120" w:after="120"/>
      </w:pPr>
      <w:r w:rsidRPr="003B1A08">
        <w:t xml:space="preserve">made under the </w:t>
      </w:r>
    </w:p>
    <w:p w14:paraId="1C809D02" w14:textId="77777777" w:rsidR="00FB665E" w:rsidRPr="003B1A08" w:rsidRDefault="00FB665E" w:rsidP="00FB665E">
      <w:pPr>
        <w:pStyle w:val="CoverActName"/>
        <w:spacing w:after="120"/>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0D142754" w14:textId="77777777" w:rsidR="00FB665E" w:rsidRPr="003B469E" w:rsidRDefault="00FB665E" w:rsidP="00FB665E">
      <w:pPr>
        <w:pStyle w:val="N-line3"/>
        <w:pBdr>
          <w:top w:val="single" w:sz="12" w:space="1" w:color="auto"/>
          <w:bottom w:val="none" w:sz="0" w:space="0" w:color="auto"/>
        </w:pBdr>
        <w:rPr>
          <w:sz w:val="12"/>
          <w:szCs w:val="12"/>
        </w:rPr>
      </w:pPr>
    </w:p>
    <w:p w14:paraId="59356D92" w14:textId="77777777" w:rsidR="00FB665E" w:rsidRPr="00366D86" w:rsidRDefault="00FB665E" w:rsidP="00FB665E">
      <w:pPr>
        <w:pStyle w:val="Heading3"/>
        <w:tabs>
          <w:tab w:val="clear" w:pos="720"/>
        </w:tabs>
        <w:spacing w:before="120"/>
        <w:ind w:left="709" w:hanging="709"/>
        <w:rPr>
          <w:rFonts w:cs="Arial"/>
          <w:color w:val="000000" w:themeColor="text1"/>
          <w:szCs w:val="24"/>
        </w:rPr>
      </w:pPr>
      <w:r w:rsidRPr="00366D86">
        <w:rPr>
          <w:color w:val="000000" w:themeColor="text1"/>
          <w:szCs w:val="24"/>
        </w:rPr>
        <w:t>Commencement</w:t>
      </w:r>
      <w:r w:rsidRPr="00366D86">
        <w:rPr>
          <w:rFonts w:cs="Arial"/>
          <w:color w:val="000000" w:themeColor="text1"/>
          <w:szCs w:val="24"/>
        </w:rPr>
        <w:t xml:space="preserve"> </w:t>
      </w:r>
    </w:p>
    <w:p w14:paraId="71B972BF" w14:textId="5E7B7D47" w:rsidR="00FB665E" w:rsidRPr="006E7416" w:rsidRDefault="00FB665E" w:rsidP="00FB665E">
      <w:pPr>
        <w:numPr>
          <w:ilvl w:val="1"/>
          <w:numId w:val="4"/>
        </w:numPr>
        <w:tabs>
          <w:tab w:val="clear" w:pos="720"/>
        </w:tabs>
        <w:spacing w:before="80" w:after="60"/>
        <w:ind w:left="709" w:hanging="709"/>
        <w:rPr>
          <w:color w:val="000000" w:themeColor="text1"/>
          <w:szCs w:val="24"/>
        </w:rPr>
      </w:pPr>
      <w:r w:rsidRPr="00366D86">
        <w:rPr>
          <w:color w:val="000000" w:themeColor="text1"/>
          <w:szCs w:val="24"/>
        </w:rPr>
        <w:t xml:space="preserve">This </w:t>
      </w:r>
      <w:r w:rsidRPr="006E7416">
        <w:rPr>
          <w:color w:val="000000" w:themeColor="text1"/>
          <w:szCs w:val="24"/>
        </w:rPr>
        <w:t xml:space="preserve">instrument is taken to have commenced on </w:t>
      </w:r>
      <w:r>
        <w:rPr>
          <w:color w:val="000000" w:themeColor="text1"/>
        </w:rPr>
        <w:t>1 July 202</w:t>
      </w:r>
      <w:r w:rsidR="007C7062">
        <w:rPr>
          <w:color w:val="000000" w:themeColor="text1"/>
        </w:rPr>
        <w:t>6</w:t>
      </w:r>
      <w:r w:rsidRPr="006E7416">
        <w:rPr>
          <w:color w:val="000000" w:themeColor="text1"/>
          <w:szCs w:val="24"/>
        </w:rPr>
        <w:t>.</w:t>
      </w:r>
    </w:p>
    <w:p w14:paraId="68E198C4" w14:textId="77777777" w:rsidR="00DC6C6D" w:rsidRPr="002E55A6" w:rsidRDefault="00DC6C6D" w:rsidP="00675113">
      <w:pPr>
        <w:pStyle w:val="Heading3"/>
        <w:keepLines w:val="0"/>
        <w:tabs>
          <w:tab w:val="clear" w:pos="720"/>
        </w:tabs>
        <w:rPr>
          <w:rFonts w:cs="Arial"/>
          <w:szCs w:val="26"/>
        </w:rPr>
      </w:pPr>
      <w:r w:rsidRPr="002E55A6">
        <w:rPr>
          <w:rFonts w:cs="Arial"/>
          <w:szCs w:val="26"/>
        </w:rPr>
        <w:t>Remuneration</w:t>
      </w:r>
    </w:p>
    <w:p w14:paraId="3D701038" w14:textId="7F9B83F4" w:rsidR="0039634A" w:rsidRDefault="00DC6C6D" w:rsidP="0039634A">
      <w:pPr>
        <w:numPr>
          <w:ilvl w:val="1"/>
          <w:numId w:val="4"/>
        </w:numPr>
        <w:tabs>
          <w:tab w:val="clear" w:pos="720"/>
        </w:tabs>
        <w:spacing w:before="80" w:after="60"/>
        <w:ind w:left="709" w:hanging="709"/>
        <w:rPr>
          <w:color w:val="000000" w:themeColor="text1"/>
        </w:rPr>
      </w:pPr>
      <w:r w:rsidRPr="002E55A6">
        <w:t xml:space="preserve">A person appointed to an office listed in column 1 of </w:t>
      </w:r>
      <w:r w:rsidR="00FB06AE" w:rsidRPr="002E55A6">
        <w:t>the table below</w:t>
      </w:r>
      <w:r w:rsidRPr="002E55A6">
        <w:t xml:space="preserve"> is entitled to the</w:t>
      </w:r>
      <w:r w:rsidR="0039634A" w:rsidRPr="0039634A">
        <w:rPr>
          <w:color w:val="000000" w:themeColor="text1"/>
        </w:rPr>
        <w:t xml:space="preserve"> following remuneration per annum: </w:t>
      </w:r>
    </w:p>
    <w:p w14:paraId="2BBCC19E" w14:textId="18ABA713" w:rsidR="00FB06AE" w:rsidRPr="002E55A6" w:rsidRDefault="00671C75" w:rsidP="0018623B">
      <w:pPr>
        <w:pStyle w:val="Heading3"/>
        <w:numPr>
          <w:ilvl w:val="0"/>
          <w:numId w:val="0"/>
        </w:numPr>
        <w:ind w:left="720" w:hanging="720"/>
      </w:pPr>
      <w:r w:rsidRPr="002E55A6">
        <w:t>TABLE 2.1</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998"/>
        <w:gridCol w:w="2552"/>
        <w:gridCol w:w="2409"/>
      </w:tblGrid>
      <w:tr w:rsidR="00CF018A" w:rsidRPr="002E55A6" w14:paraId="6DDBE1BA" w14:textId="77777777" w:rsidTr="00C051B8">
        <w:trPr>
          <w:trHeight w:val="794"/>
        </w:trPr>
        <w:tc>
          <w:tcPr>
            <w:tcW w:w="3998" w:type="dxa"/>
            <w:tcBorders>
              <w:bottom w:val="single" w:sz="4" w:space="0" w:color="auto"/>
            </w:tcBorders>
          </w:tcPr>
          <w:p w14:paraId="65667516" w14:textId="77777777" w:rsidR="00CF018A" w:rsidRPr="00F16CF8" w:rsidRDefault="00CF018A" w:rsidP="00C03752">
            <w:pPr>
              <w:rPr>
                <w:rFonts w:asciiTheme="majorHAnsi" w:hAnsiTheme="majorHAnsi" w:cstheme="majorHAnsi"/>
                <w:szCs w:val="24"/>
              </w:rPr>
            </w:pPr>
            <w:bookmarkStart w:id="5" w:name="_Hlk136535366"/>
            <w:r w:rsidRPr="00F16CF8">
              <w:rPr>
                <w:rFonts w:asciiTheme="majorHAnsi" w:hAnsiTheme="majorHAnsi" w:cstheme="majorHAnsi"/>
                <w:szCs w:val="24"/>
              </w:rPr>
              <w:t>Column 1</w:t>
            </w:r>
          </w:p>
          <w:p w14:paraId="16BEB1F7" w14:textId="77777777" w:rsidR="00CF018A" w:rsidRPr="00F16CF8" w:rsidRDefault="00CF018A" w:rsidP="00C03752">
            <w:pPr>
              <w:rPr>
                <w:rFonts w:asciiTheme="majorHAnsi" w:hAnsiTheme="majorHAnsi" w:cstheme="majorHAnsi"/>
                <w:b/>
                <w:szCs w:val="24"/>
              </w:rPr>
            </w:pPr>
            <w:r w:rsidRPr="00F16CF8">
              <w:rPr>
                <w:rFonts w:asciiTheme="majorHAnsi" w:hAnsiTheme="majorHAnsi" w:cstheme="majorHAnsi"/>
                <w:b/>
                <w:szCs w:val="24"/>
              </w:rPr>
              <w:t>Office</w:t>
            </w:r>
          </w:p>
          <w:p w14:paraId="26A6B49F" w14:textId="77777777" w:rsidR="00C03752" w:rsidRPr="00F16CF8" w:rsidRDefault="00C03752" w:rsidP="00C03752">
            <w:pPr>
              <w:rPr>
                <w:rFonts w:asciiTheme="majorHAnsi" w:hAnsiTheme="majorHAnsi" w:cstheme="majorHAnsi"/>
                <w:b/>
                <w:szCs w:val="24"/>
              </w:rPr>
            </w:pPr>
          </w:p>
        </w:tc>
        <w:tc>
          <w:tcPr>
            <w:tcW w:w="2552" w:type="dxa"/>
            <w:tcBorders>
              <w:bottom w:val="single" w:sz="4" w:space="0" w:color="auto"/>
            </w:tcBorders>
          </w:tcPr>
          <w:p w14:paraId="148DB6A9" w14:textId="09640267" w:rsidR="003F542F" w:rsidRPr="00F16CF8" w:rsidRDefault="003F542F" w:rsidP="00C03752">
            <w:pPr>
              <w:rPr>
                <w:rFonts w:asciiTheme="majorHAnsi" w:hAnsiTheme="majorHAnsi" w:cstheme="majorHAnsi"/>
                <w:szCs w:val="24"/>
              </w:rPr>
            </w:pPr>
            <w:r w:rsidRPr="00F16CF8">
              <w:rPr>
                <w:rFonts w:asciiTheme="majorHAnsi" w:hAnsiTheme="majorHAnsi" w:cstheme="majorHAnsi"/>
                <w:szCs w:val="24"/>
              </w:rPr>
              <w:t>Column 2</w:t>
            </w:r>
          </w:p>
          <w:p w14:paraId="262D8B12" w14:textId="76E01049" w:rsidR="00CF018A" w:rsidRPr="00F16CF8" w:rsidRDefault="003F542F" w:rsidP="00C03752">
            <w:pPr>
              <w:rPr>
                <w:rFonts w:asciiTheme="majorHAnsi" w:hAnsiTheme="majorHAnsi" w:cstheme="majorHAnsi"/>
                <w:bCs/>
                <w:szCs w:val="24"/>
              </w:rPr>
            </w:pPr>
            <w:r w:rsidRPr="00F16CF8">
              <w:rPr>
                <w:rFonts w:asciiTheme="majorHAnsi" w:hAnsiTheme="majorHAnsi" w:cstheme="majorHAnsi"/>
                <w:b/>
                <w:szCs w:val="24"/>
              </w:rPr>
              <w:t>Base Remuneration</w:t>
            </w:r>
          </w:p>
        </w:tc>
        <w:tc>
          <w:tcPr>
            <w:tcW w:w="2409" w:type="dxa"/>
            <w:tcBorders>
              <w:bottom w:val="single" w:sz="4" w:space="0" w:color="auto"/>
            </w:tcBorders>
          </w:tcPr>
          <w:p w14:paraId="3C3D017D" w14:textId="0DCC96D5" w:rsidR="00CF018A" w:rsidRPr="00F16CF8" w:rsidRDefault="00CF018A" w:rsidP="00C03752">
            <w:pPr>
              <w:rPr>
                <w:rFonts w:asciiTheme="majorHAnsi" w:hAnsiTheme="majorHAnsi" w:cstheme="majorHAnsi"/>
                <w:bCs/>
                <w:szCs w:val="24"/>
                <w:vertAlign w:val="superscript"/>
              </w:rPr>
            </w:pPr>
            <w:r w:rsidRPr="00F16CF8">
              <w:rPr>
                <w:rFonts w:asciiTheme="majorHAnsi" w:hAnsiTheme="majorHAnsi" w:cstheme="majorHAnsi"/>
                <w:bCs/>
                <w:szCs w:val="24"/>
              </w:rPr>
              <w:t xml:space="preserve">Column </w:t>
            </w:r>
            <w:r w:rsidR="00F16CF8">
              <w:rPr>
                <w:rFonts w:asciiTheme="majorHAnsi" w:hAnsiTheme="majorHAnsi" w:cstheme="majorHAnsi"/>
                <w:bCs/>
                <w:szCs w:val="24"/>
              </w:rPr>
              <w:t>3</w:t>
            </w:r>
            <w:r w:rsidR="00F16CF8" w:rsidRPr="00F60EEA">
              <w:rPr>
                <w:rStyle w:val="FootnoteReference"/>
                <w:rFonts w:asciiTheme="majorHAnsi" w:hAnsiTheme="majorHAnsi" w:cstheme="majorHAnsi"/>
                <w:bCs/>
              </w:rPr>
              <w:footnoteReference w:id="3"/>
            </w:r>
          </w:p>
          <w:p w14:paraId="39397F78" w14:textId="4AC746D2" w:rsidR="00CF018A" w:rsidRPr="00F16CF8" w:rsidRDefault="00CF018A" w:rsidP="00C03752">
            <w:pPr>
              <w:rPr>
                <w:rFonts w:asciiTheme="majorHAnsi" w:hAnsiTheme="majorHAnsi" w:cstheme="majorHAnsi"/>
                <w:b/>
                <w:bCs/>
                <w:szCs w:val="24"/>
              </w:rPr>
            </w:pPr>
            <w:r w:rsidRPr="00F16CF8">
              <w:rPr>
                <w:rFonts w:asciiTheme="majorHAnsi" w:hAnsiTheme="majorHAnsi" w:cstheme="majorHAnsi"/>
                <w:b/>
                <w:bCs/>
                <w:szCs w:val="24"/>
              </w:rPr>
              <w:t>Total Remuneration</w:t>
            </w:r>
          </w:p>
        </w:tc>
      </w:tr>
      <w:tr w:rsidR="00C051B8" w:rsidRPr="002E55A6" w14:paraId="5C8560FF" w14:textId="77777777" w:rsidTr="00931F7A">
        <w:tc>
          <w:tcPr>
            <w:tcW w:w="3998" w:type="dxa"/>
            <w:tcBorders>
              <w:top w:val="single" w:sz="4" w:space="0" w:color="auto"/>
              <w:bottom w:val="single" w:sz="4" w:space="0" w:color="auto"/>
              <w:right w:val="single" w:sz="4" w:space="0" w:color="auto"/>
            </w:tcBorders>
          </w:tcPr>
          <w:p w14:paraId="556C4777" w14:textId="13F5E840" w:rsidR="00C051B8" w:rsidRPr="00F16CF8" w:rsidRDefault="00C051B8" w:rsidP="00931F7A">
            <w:pPr>
              <w:spacing w:before="60" w:after="60"/>
              <w:rPr>
                <w:rFonts w:asciiTheme="majorHAnsi" w:hAnsiTheme="majorHAnsi" w:cstheme="majorHAnsi"/>
                <w:szCs w:val="24"/>
              </w:rPr>
            </w:pPr>
            <w:r w:rsidRPr="00F16CF8">
              <w:rPr>
                <w:rFonts w:asciiTheme="majorHAnsi" w:hAnsiTheme="majorHAnsi" w:cstheme="majorHAnsi"/>
                <w:szCs w:val="24"/>
              </w:rPr>
              <w:t>Aboriginal and Torres Strait Islander Children and Young People Commissioner</w:t>
            </w:r>
          </w:p>
        </w:tc>
        <w:tc>
          <w:tcPr>
            <w:tcW w:w="2552" w:type="dxa"/>
            <w:tcBorders>
              <w:top w:val="single" w:sz="4" w:space="0" w:color="auto"/>
              <w:left w:val="single" w:sz="4" w:space="0" w:color="auto"/>
              <w:bottom w:val="single" w:sz="4" w:space="0" w:color="auto"/>
              <w:right w:val="single" w:sz="4" w:space="0" w:color="auto"/>
            </w:tcBorders>
          </w:tcPr>
          <w:p w14:paraId="35FE87C8" w14:textId="28FFDB67" w:rsidR="00C051B8" w:rsidRPr="00C051B8" w:rsidRDefault="00C051B8" w:rsidP="00931F7A">
            <w:pPr>
              <w:rPr>
                <w:rFonts w:asciiTheme="majorHAnsi" w:hAnsiTheme="majorHAnsi" w:cstheme="majorHAnsi"/>
                <w:color w:val="000000"/>
                <w:szCs w:val="24"/>
              </w:rPr>
            </w:pPr>
            <w:r w:rsidRPr="00C051B8">
              <w:rPr>
                <w:rFonts w:asciiTheme="majorHAnsi" w:hAnsiTheme="majorHAnsi" w:cstheme="majorHAnsi"/>
                <w:color w:val="000000"/>
                <w:szCs w:val="24"/>
              </w:rPr>
              <w:t>$267,416</w:t>
            </w:r>
          </w:p>
        </w:tc>
        <w:tc>
          <w:tcPr>
            <w:tcW w:w="2409" w:type="dxa"/>
            <w:tcBorders>
              <w:top w:val="single" w:sz="4" w:space="0" w:color="auto"/>
              <w:left w:val="single" w:sz="4" w:space="0" w:color="auto"/>
              <w:bottom w:val="single" w:sz="4" w:space="0" w:color="auto"/>
            </w:tcBorders>
          </w:tcPr>
          <w:p w14:paraId="00ABDE8C" w14:textId="4FC59EB6" w:rsidR="00C051B8" w:rsidRPr="00C051B8"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$299,416</w:t>
            </w:r>
          </w:p>
        </w:tc>
      </w:tr>
      <w:tr w:rsidR="00C051B8" w:rsidRPr="002E55A6" w14:paraId="15264B8F" w14:textId="77777777" w:rsidTr="00931F7A">
        <w:tc>
          <w:tcPr>
            <w:tcW w:w="3998" w:type="dxa"/>
            <w:tcBorders>
              <w:top w:val="single" w:sz="4" w:space="0" w:color="auto"/>
              <w:bottom w:val="single" w:sz="4" w:space="0" w:color="auto"/>
              <w:right w:val="single" w:sz="4" w:space="0" w:color="auto"/>
            </w:tcBorders>
          </w:tcPr>
          <w:p w14:paraId="276F932F" w14:textId="77777777" w:rsidR="00C051B8" w:rsidRPr="00F16CF8" w:rsidRDefault="00C051B8" w:rsidP="00931F7A">
            <w:pPr>
              <w:spacing w:before="60" w:after="60"/>
              <w:rPr>
                <w:rFonts w:asciiTheme="majorHAnsi" w:hAnsiTheme="majorHAnsi" w:cstheme="majorHAnsi"/>
                <w:szCs w:val="24"/>
              </w:rPr>
            </w:pPr>
            <w:bookmarkStart w:id="6" w:name="_Hlk193453711"/>
            <w:r w:rsidRPr="00F16CF8">
              <w:rPr>
                <w:rFonts w:asciiTheme="majorHAnsi" w:hAnsiTheme="majorHAnsi" w:cstheme="majorHAnsi"/>
                <w:szCs w:val="24"/>
              </w:rPr>
              <w:t>Assistant Executive Officer (DCEO), Legal Aid Commission (ACT)</w:t>
            </w:r>
          </w:p>
        </w:tc>
        <w:tc>
          <w:tcPr>
            <w:tcW w:w="2552" w:type="dxa"/>
            <w:tcBorders>
              <w:top w:val="single" w:sz="4" w:space="0" w:color="auto"/>
              <w:left w:val="single" w:sz="4" w:space="0" w:color="auto"/>
              <w:bottom w:val="single" w:sz="4" w:space="0" w:color="auto"/>
              <w:right w:val="single" w:sz="4" w:space="0" w:color="auto"/>
            </w:tcBorders>
          </w:tcPr>
          <w:p w14:paraId="7E6E3A3A" w14:textId="1F66A8F0" w:rsidR="00C051B8" w:rsidRPr="00C051B8" w:rsidRDefault="00C051B8" w:rsidP="00931F7A">
            <w:pPr>
              <w:rPr>
                <w:rFonts w:asciiTheme="majorHAnsi" w:hAnsiTheme="majorHAnsi" w:cstheme="majorHAnsi"/>
                <w:bCs/>
                <w:color w:val="000000" w:themeColor="text1"/>
                <w:szCs w:val="24"/>
              </w:rPr>
            </w:pPr>
            <w:r w:rsidRPr="00C051B8">
              <w:rPr>
                <w:rFonts w:asciiTheme="majorHAnsi" w:hAnsiTheme="majorHAnsi" w:cstheme="majorHAnsi"/>
                <w:color w:val="000000"/>
                <w:szCs w:val="24"/>
              </w:rPr>
              <w:t>$267,416</w:t>
            </w:r>
          </w:p>
        </w:tc>
        <w:tc>
          <w:tcPr>
            <w:tcW w:w="2409" w:type="dxa"/>
            <w:tcBorders>
              <w:top w:val="single" w:sz="4" w:space="0" w:color="auto"/>
              <w:left w:val="single" w:sz="4" w:space="0" w:color="auto"/>
              <w:bottom w:val="single" w:sz="4" w:space="0" w:color="auto"/>
            </w:tcBorders>
          </w:tcPr>
          <w:p w14:paraId="65BCC033" w14:textId="58EB65A1" w:rsidR="00C051B8" w:rsidRPr="00C051B8" w:rsidDel="00543791"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$299,416</w:t>
            </w:r>
          </w:p>
        </w:tc>
      </w:tr>
      <w:tr w:rsidR="00C051B8" w:rsidRPr="002E55A6" w14:paraId="7BCE831F" w14:textId="77777777" w:rsidTr="00931F7A">
        <w:tc>
          <w:tcPr>
            <w:tcW w:w="3998" w:type="dxa"/>
            <w:tcBorders>
              <w:top w:val="single" w:sz="4" w:space="0" w:color="auto"/>
              <w:bottom w:val="single" w:sz="4" w:space="0" w:color="auto"/>
              <w:right w:val="single" w:sz="4" w:space="0" w:color="auto"/>
            </w:tcBorders>
          </w:tcPr>
          <w:p w14:paraId="5E75A8FD" w14:textId="445A3611" w:rsidR="00C051B8" w:rsidRPr="00F16CF8" w:rsidRDefault="00C051B8" w:rsidP="00931F7A">
            <w:pPr>
              <w:spacing w:before="60" w:after="60"/>
              <w:rPr>
                <w:rFonts w:asciiTheme="majorHAnsi" w:hAnsiTheme="majorHAnsi" w:cstheme="majorHAnsi"/>
                <w:szCs w:val="24"/>
              </w:rPr>
            </w:pPr>
            <w:r w:rsidRPr="00F16CF8">
              <w:rPr>
                <w:rFonts w:asciiTheme="majorHAnsi" w:hAnsiTheme="majorHAnsi" w:cstheme="majorHAnsi"/>
                <w:szCs w:val="24"/>
              </w:rPr>
              <w:t>Chair, Therapeutic Support Panel</w:t>
            </w:r>
          </w:p>
        </w:tc>
        <w:tc>
          <w:tcPr>
            <w:tcW w:w="2552" w:type="dxa"/>
            <w:tcBorders>
              <w:top w:val="single" w:sz="4" w:space="0" w:color="auto"/>
              <w:left w:val="single" w:sz="4" w:space="0" w:color="auto"/>
              <w:bottom w:val="single" w:sz="4" w:space="0" w:color="auto"/>
              <w:right w:val="single" w:sz="4" w:space="0" w:color="auto"/>
            </w:tcBorders>
          </w:tcPr>
          <w:p w14:paraId="62E0CE25" w14:textId="0277C9FB" w:rsidR="00C051B8" w:rsidRPr="00C051B8" w:rsidRDefault="00C051B8" w:rsidP="00931F7A">
            <w:pPr>
              <w:rPr>
                <w:rFonts w:asciiTheme="majorHAnsi" w:hAnsiTheme="majorHAnsi" w:cstheme="majorHAnsi"/>
                <w:color w:val="000000"/>
                <w:szCs w:val="24"/>
              </w:rPr>
            </w:pPr>
            <w:r w:rsidRPr="00C051B8">
              <w:rPr>
                <w:rFonts w:asciiTheme="majorHAnsi" w:hAnsiTheme="majorHAnsi" w:cstheme="majorHAnsi"/>
                <w:color w:val="000000"/>
                <w:szCs w:val="24"/>
              </w:rPr>
              <w:t>$261,082</w:t>
            </w:r>
          </w:p>
        </w:tc>
        <w:tc>
          <w:tcPr>
            <w:tcW w:w="2409" w:type="dxa"/>
            <w:tcBorders>
              <w:top w:val="single" w:sz="4" w:space="0" w:color="auto"/>
              <w:left w:val="single" w:sz="4" w:space="0" w:color="auto"/>
              <w:bottom w:val="single" w:sz="4" w:space="0" w:color="auto"/>
            </w:tcBorders>
          </w:tcPr>
          <w:p w14:paraId="65515248" w14:textId="6BFBB0AF" w:rsidR="00C051B8" w:rsidRPr="00C051B8"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$293,082</w:t>
            </w:r>
          </w:p>
        </w:tc>
      </w:tr>
      <w:tr w:rsidR="00C051B8" w:rsidRPr="002E55A6" w14:paraId="20FBFC42" w14:textId="77777777" w:rsidTr="00931F7A">
        <w:tc>
          <w:tcPr>
            <w:tcW w:w="3998" w:type="dxa"/>
            <w:tcBorders>
              <w:top w:val="single" w:sz="4" w:space="0" w:color="auto"/>
              <w:bottom w:val="single" w:sz="4" w:space="0" w:color="auto"/>
              <w:right w:val="single" w:sz="4" w:space="0" w:color="auto"/>
            </w:tcBorders>
          </w:tcPr>
          <w:p w14:paraId="792D570E" w14:textId="77777777" w:rsidR="00C051B8" w:rsidRPr="00F16CF8" w:rsidRDefault="00C051B8" w:rsidP="00931F7A">
            <w:pPr>
              <w:pStyle w:val="Header"/>
              <w:tabs>
                <w:tab w:val="clear" w:pos="4153"/>
                <w:tab w:val="clear" w:pos="8306"/>
              </w:tabs>
              <w:spacing w:before="60" w:after="60"/>
              <w:rPr>
                <w:rFonts w:asciiTheme="majorHAnsi" w:hAnsiTheme="majorHAnsi" w:cstheme="majorHAnsi"/>
                <w:szCs w:val="24"/>
                <w:lang w:val="en-AU"/>
              </w:rPr>
            </w:pPr>
            <w:r w:rsidRPr="00F16CF8">
              <w:rPr>
                <w:rFonts w:asciiTheme="majorHAnsi" w:hAnsiTheme="majorHAnsi" w:cstheme="majorHAnsi"/>
                <w:szCs w:val="24"/>
              </w:rPr>
              <w:t>Chief Executive Officer, Canberra Institute of Technology</w:t>
            </w:r>
          </w:p>
        </w:tc>
        <w:tc>
          <w:tcPr>
            <w:tcW w:w="2552" w:type="dxa"/>
            <w:tcBorders>
              <w:top w:val="single" w:sz="4" w:space="0" w:color="auto"/>
              <w:left w:val="single" w:sz="4" w:space="0" w:color="auto"/>
              <w:bottom w:val="single" w:sz="4" w:space="0" w:color="auto"/>
              <w:right w:val="single" w:sz="4" w:space="0" w:color="auto"/>
            </w:tcBorders>
          </w:tcPr>
          <w:p w14:paraId="5B71B76F" w14:textId="4A23CD0D" w:rsidR="00C051B8" w:rsidRPr="00C051B8" w:rsidRDefault="00C051B8" w:rsidP="00931F7A">
            <w:pPr>
              <w:rPr>
                <w:rFonts w:asciiTheme="majorHAnsi" w:hAnsiTheme="majorHAnsi" w:cstheme="majorHAnsi"/>
                <w:bCs/>
                <w:color w:val="000000" w:themeColor="text1"/>
                <w:szCs w:val="24"/>
              </w:rPr>
            </w:pPr>
            <w:r w:rsidRPr="00C051B8">
              <w:rPr>
                <w:rFonts w:asciiTheme="majorHAnsi" w:hAnsiTheme="majorHAnsi" w:cstheme="majorHAnsi"/>
                <w:color w:val="000000"/>
                <w:szCs w:val="24"/>
              </w:rPr>
              <w:t>$368,528</w:t>
            </w:r>
          </w:p>
        </w:tc>
        <w:tc>
          <w:tcPr>
            <w:tcW w:w="2409" w:type="dxa"/>
            <w:tcBorders>
              <w:top w:val="single" w:sz="4" w:space="0" w:color="auto"/>
              <w:left w:val="single" w:sz="4" w:space="0" w:color="auto"/>
              <w:bottom w:val="single" w:sz="4" w:space="0" w:color="auto"/>
            </w:tcBorders>
          </w:tcPr>
          <w:p w14:paraId="34970733" w14:textId="3062B799" w:rsidR="00C051B8" w:rsidRPr="00C051B8" w:rsidDel="00543791"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$401,028</w:t>
            </w:r>
          </w:p>
        </w:tc>
      </w:tr>
      <w:tr w:rsidR="00C051B8" w:rsidRPr="002E55A6" w14:paraId="18AF4C9C" w14:textId="77777777" w:rsidTr="00931F7A">
        <w:tc>
          <w:tcPr>
            <w:tcW w:w="3998" w:type="dxa"/>
            <w:tcBorders>
              <w:top w:val="single" w:sz="4" w:space="0" w:color="auto"/>
              <w:bottom w:val="single" w:sz="4" w:space="0" w:color="auto"/>
              <w:right w:val="single" w:sz="4" w:space="0" w:color="auto"/>
            </w:tcBorders>
          </w:tcPr>
          <w:p w14:paraId="7E092373" w14:textId="67850930" w:rsidR="00C051B8" w:rsidRPr="00F16CF8" w:rsidRDefault="00C051B8" w:rsidP="00931F7A">
            <w:pPr>
              <w:spacing w:before="60" w:after="60"/>
              <w:rPr>
                <w:rFonts w:asciiTheme="majorHAnsi" w:hAnsiTheme="majorHAnsi" w:cstheme="majorHAnsi"/>
                <w:szCs w:val="24"/>
              </w:rPr>
            </w:pPr>
            <w:r w:rsidRPr="00F16CF8">
              <w:rPr>
                <w:rFonts w:asciiTheme="majorHAnsi" w:hAnsiTheme="majorHAnsi" w:cstheme="majorHAnsi"/>
                <w:color w:val="000000" w:themeColor="text1"/>
                <w:szCs w:val="24"/>
              </w:rPr>
              <w:t>Chief Executive Officer, City Renewal Authority</w:t>
            </w:r>
          </w:p>
        </w:tc>
        <w:tc>
          <w:tcPr>
            <w:tcW w:w="2552" w:type="dxa"/>
            <w:tcBorders>
              <w:top w:val="single" w:sz="4" w:space="0" w:color="auto"/>
              <w:left w:val="single" w:sz="4" w:space="0" w:color="auto"/>
              <w:bottom w:val="single" w:sz="4" w:space="0" w:color="auto"/>
              <w:right w:val="single" w:sz="4" w:space="0" w:color="auto"/>
            </w:tcBorders>
          </w:tcPr>
          <w:p w14:paraId="3FA1EAD0" w14:textId="3B7B7D40" w:rsidR="00C051B8" w:rsidRPr="00C051B8" w:rsidRDefault="00C051B8" w:rsidP="00931F7A">
            <w:pPr>
              <w:rPr>
                <w:rFonts w:asciiTheme="majorHAnsi" w:hAnsiTheme="majorHAnsi" w:cstheme="majorHAnsi"/>
                <w:bCs/>
                <w:color w:val="000000" w:themeColor="text1"/>
                <w:szCs w:val="24"/>
              </w:rPr>
            </w:pPr>
            <w:r w:rsidRPr="00C051B8">
              <w:rPr>
                <w:rFonts w:asciiTheme="majorHAnsi" w:hAnsiTheme="majorHAnsi" w:cstheme="majorHAnsi"/>
                <w:color w:val="000000"/>
                <w:szCs w:val="24"/>
              </w:rPr>
              <w:t>$397,708</w:t>
            </w:r>
          </w:p>
        </w:tc>
        <w:tc>
          <w:tcPr>
            <w:tcW w:w="2409" w:type="dxa"/>
            <w:tcBorders>
              <w:top w:val="single" w:sz="4" w:space="0" w:color="auto"/>
              <w:left w:val="single" w:sz="4" w:space="0" w:color="auto"/>
              <w:bottom w:val="single" w:sz="4" w:space="0" w:color="auto"/>
            </w:tcBorders>
          </w:tcPr>
          <w:p w14:paraId="41BA071A" w14:textId="2D5A2562" w:rsidR="00C051B8" w:rsidRPr="00C051B8" w:rsidDel="00543791"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$430,708</w:t>
            </w:r>
          </w:p>
        </w:tc>
      </w:tr>
      <w:tr w:rsidR="00C051B8" w:rsidRPr="002E55A6" w14:paraId="616D67BC" w14:textId="77777777" w:rsidTr="00931F7A">
        <w:tc>
          <w:tcPr>
            <w:tcW w:w="3998" w:type="dxa"/>
            <w:tcBorders>
              <w:top w:val="single" w:sz="4" w:space="0" w:color="auto"/>
              <w:bottom w:val="single" w:sz="4" w:space="0" w:color="auto"/>
              <w:right w:val="single" w:sz="4" w:space="0" w:color="auto"/>
            </w:tcBorders>
          </w:tcPr>
          <w:p w14:paraId="181AC02F" w14:textId="5C94DDDC" w:rsidR="00C051B8" w:rsidRPr="00F16CF8" w:rsidRDefault="00C051B8" w:rsidP="00931F7A">
            <w:pPr>
              <w:spacing w:before="60" w:after="60"/>
              <w:rPr>
                <w:rFonts w:asciiTheme="majorHAnsi" w:hAnsiTheme="majorHAnsi" w:cstheme="majorHAnsi"/>
                <w:szCs w:val="24"/>
              </w:rPr>
            </w:pPr>
            <w:r w:rsidRPr="00F16CF8">
              <w:rPr>
                <w:rFonts w:asciiTheme="majorHAnsi" w:hAnsiTheme="majorHAnsi" w:cstheme="majorHAnsi"/>
                <w:color w:val="000000" w:themeColor="text1"/>
                <w:szCs w:val="24"/>
              </w:rPr>
              <w:t>Chief Executive Officer, Suburban Land Agency</w:t>
            </w:r>
          </w:p>
        </w:tc>
        <w:tc>
          <w:tcPr>
            <w:tcW w:w="2552" w:type="dxa"/>
            <w:tcBorders>
              <w:top w:val="single" w:sz="4" w:space="0" w:color="auto"/>
              <w:left w:val="single" w:sz="4" w:space="0" w:color="auto"/>
              <w:bottom w:val="single" w:sz="4" w:space="0" w:color="auto"/>
              <w:right w:val="single" w:sz="4" w:space="0" w:color="auto"/>
            </w:tcBorders>
          </w:tcPr>
          <w:p w14:paraId="554B97CD" w14:textId="66FF6FC3" w:rsidR="00C051B8" w:rsidRPr="00C051B8"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$397,708</w:t>
            </w:r>
          </w:p>
        </w:tc>
        <w:tc>
          <w:tcPr>
            <w:tcW w:w="2409" w:type="dxa"/>
            <w:tcBorders>
              <w:top w:val="single" w:sz="4" w:space="0" w:color="auto"/>
              <w:left w:val="single" w:sz="4" w:space="0" w:color="auto"/>
              <w:bottom w:val="single" w:sz="4" w:space="0" w:color="auto"/>
            </w:tcBorders>
          </w:tcPr>
          <w:p w14:paraId="500B6D50" w14:textId="4CC38749" w:rsidR="00C051B8" w:rsidRPr="00C051B8" w:rsidDel="00543791"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$430,708</w:t>
            </w:r>
          </w:p>
        </w:tc>
      </w:tr>
      <w:tr w:rsidR="00C051B8" w:rsidRPr="002E55A6" w14:paraId="3E812C6D" w14:textId="77777777" w:rsidTr="00931F7A">
        <w:tc>
          <w:tcPr>
            <w:tcW w:w="3998" w:type="dxa"/>
            <w:tcBorders>
              <w:top w:val="single" w:sz="4" w:space="0" w:color="auto"/>
              <w:bottom w:val="single" w:sz="4" w:space="0" w:color="auto"/>
              <w:right w:val="single" w:sz="4" w:space="0" w:color="auto"/>
            </w:tcBorders>
          </w:tcPr>
          <w:p w14:paraId="6B11F149" w14:textId="23AFBEC0" w:rsidR="00C051B8" w:rsidRPr="00F16CF8" w:rsidRDefault="00C051B8" w:rsidP="00931F7A">
            <w:pPr>
              <w:rPr>
                <w:rFonts w:asciiTheme="majorHAnsi" w:hAnsiTheme="majorHAnsi" w:cstheme="majorHAnsi"/>
                <w:color w:val="000000"/>
                <w:szCs w:val="24"/>
              </w:rPr>
            </w:pPr>
            <w:r w:rsidRPr="00F16CF8">
              <w:rPr>
                <w:rFonts w:asciiTheme="majorHAnsi" w:hAnsiTheme="majorHAnsi" w:cstheme="majorHAnsi"/>
                <w:color w:val="000000"/>
                <w:szCs w:val="24"/>
              </w:rPr>
              <w:t>Chief Executive Officer, Legal Aid Commission (ACT)</w:t>
            </w:r>
          </w:p>
        </w:tc>
        <w:tc>
          <w:tcPr>
            <w:tcW w:w="2552" w:type="dxa"/>
            <w:tcBorders>
              <w:top w:val="single" w:sz="4" w:space="0" w:color="auto"/>
              <w:left w:val="single" w:sz="4" w:space="0" w:color="auto"/>
              <w:bottom w:val="single" w:sz="4" w:space="0" w:color="auto"/>
              <w:right w:val="single" w:sz="4" w:space="0" w:color="auto"/>
            </w:tcBorders>
          </w:tcPr>
          <w:p w14:paraId="2A626A3E" w14:textId="7EB61DB2" w:rsidR="00C051B8" w:rsidRPr="00C051B8" w:rsidRDefault="00C051B8" w:rsidP="00931F7A">
            <w:pPr>
              <w:rPr>
                <w:rFonts w:asciiTheme="majorHAnsi" w:hAnsiTheme="majorHAnsi" w:cstheme="majorHAnsi"/>
                <w:szCs w:val="24"/>
              </w:rPr>
            </w:pPr>
            <w:r w:rsidRPr="00C051B8">
              <w:rPr>
                <w:rFonts w:asciiTheme="majorHAnsi" w:hAnsiTheme="majorHAnsi" w:cstheme="majorHAnsi"/>
                <w:color w:val="000000"/>
                <w:szCs w:val="24"/>
              </w:rPr>
              <w:t>$345,875</w:t>
            </w:r>
          </w:p>
        </w:tc>
        <w:tc>
          <w:tcPr>
            <w:tcW w:w="2409" w:type="dxa"/>
            <w:tcBorders>
              <w:top w:val="single" w:sz="4" w:space="0" w:color="auto"/>
              <w:left w:val="single" w:sz="4" w:space="0" w:color="auto"/>
              <w:bottom w:val="single" w:sz="4" w:space="0" w:color="auto"/>
            </w:tcBorders>
          </w:tcPr>
          <w:p w14:paraId="1C929595" w14:textId="0429D80F" w:rsidR="00C051B8" w:rsidRPr="00C051B8"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$378,375</w:t>
            </w:r>
          </w:p>
        </w:tc>
      </w:tr>
      <w:tr w:rsidR="00C051B8" w:rsidRPr="002E55A6" w14:paraId="6994CC36" w14:textId="77777777" w:rsidTr="00931F7A">
        <w:tc>
          <w:tcPr>
            <w:tcW w:w="3998" w:type="dxa"/>
            <w:tcBorders>
              <w:top w:val="single" w:sz="4" w:space="0" w:color="auto"/>
              <w:bottom w:val="single" w:sz="4" w:space="0" w:color="auto"/>
              <w:right w:val="single" w:sz="4" w:space="0" w:color="auto"/>
            </w:tcBorders>
          </w:tcPr>
          <w:p w14:paraId="736FE80C" w14:textId="30109D14" w:rsidR="00C051B8" w:rsidRPr="00F16CF8" w:rsidRDefault="00C051B8" w:rsidP="00931F7A">
            <w:pPr>
              <w:rPr>
                <w:rFonts w:asciiTheme="majorHAnsi" w:hAnsiTheme="majorHAnsi" w:cstheme="majorHAnsi"/>
                <w:color w:val="000000"/>
                <w:szCs w:val="24"/>
              </w:rPr>
            </w:pPr>
            <w:r w:rsidRPr="00F16CF8">
              <w:rPr>
                <w:rFonts w:asciiTheme="majorHAnsi" w:hAnsiTheme="majorHAnsi" w:cstheme="majorHAnsi"/>
                <w:color w:val="000000"/>
                <w:szCs w:val="24"/>
              </w:rPr>
              <w:t>Commissioner for Sustainability and the Environment</w:t>
            </w:r>
          </w:p>
        </w:tc>
        <w:tc>
          <w:tcPr>
            <w:tcW w:w="2552" w:type="dxa"/>
            <w:tcBorders>
              <w:top w:val="single" w:sz="4" w:space="0" w:color="auto"/>
              <w:left w:val="single" w:sz="4" w:space="0" w:color="auto"/>
              <w:bottom w:val="single" w:sz="4" w:space="0" w:color="auto"/>
              <w:right w:val="single" w:sz="4" w:space="0" w:color="auto"/>
            </w:tcBorders>
          </w:tcPr>
          <w:p w14:paraId="27260102" w14:textId="6EF59DDC" w:rsidR="00C051B8" w:rsidRPr="00C051B8" w:rsidRDefault="00C051B8" w:rsidP="00931F7A">
            <w:pPr>
              <w:rPr>
                <w:rFonts w:asciiTheme="majorHAnsi" w:hAnsiTheme="majorHAnsi" w:cstheme="majorHAnsi"/>
                <w:szCs w:val="24"/>
              </w:rPr>
            </w:pPr>
            <w:r w:rsidRPr="00C051B8">
              <w:rPr>
                <w:rFonts w:asciiTheme="majorHAnsi" w:hAnsiTheme="majorHAnsi" w:cstheme="majorHAnsi"/>
                <w:color w:val="000000"/>
                <w:szCs w:val="24"/>
              </w:rPr>
              <w:t>$289,056</w:t>
            </w:r>
          </w:p>
        </w:tc>
        <w:tc>
          <w:tcPr>
            <w:tcW w:w="2409" w:type="dxa"/>
            <w:tcBorders>
              <w:top w:val="single" w:sz="4" w:space="0" w:color="auto"/>
              <w:left w:val="single" w:sz="4" w:space="0" w:color="auto"/>
              <w:bottom w:val="single" w:sz="4" w:space="0" w:color="auto"/>
            </w:tcBorders>
          </w:tcPr>
          <w:p w14:paraId="78016BE3" w14:textId="54527770" w:rsidR="00C051B8" w:rsidRPr="00C051B8"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$321,056</w:t>
            </w:r>
          </w:p>
        </w:tc>
      </w:tr>
      <w:tr w:rsidR="00C051B8" w:rsidRPr="002E55A6" w14:paraId="7896E810" w14:textId="77777777" w:rsidTr="00931F7A">
        <w:tc>
          <w:tcPr>
            <w:tcW w:w="3998" w:type="dxa"/>
            <w:tcBorders>
              <w:top w:val="single" w:sz="4" w:space="0" w:color="auto"/>
              <w:bottom w:val="single" w:sz="4" w:space="0" w:color="auto"/>
              <w:right w:val="single" w:sz="4" w:space="0" w:color="auto"/>
            </w:tcBorders>
          </w:tcPr>
          <w:p w14:paraId="3D3170B0" w14:textId="258759A9" w:rsidR="00C051B8" w:rsidRPr="00F16CF8" w:rsidRDefault="00C051B8" w:rsidP="00931F7A">
            <w:pPr>
              <w:spacing w:before="60" w:after="60"/>
              <w:rPr>
                <w:rFonts w:asciiTheme="majorHAnsi" w:hAnsiTheme="majorHAnsi" w:cstheme="majorHAnsi"/>
                <w:szCs w:val="24"/>
              </w:rPr>
            </w:pPr>
            <w:r w:rsidRPr="00F16CF8">
              <w:rPr>
                <w:rFonts w:asciiTheme="majorHAnsi" w:hAnsiTheme="majorHAnsi" w:cstheme="majorHAnsi"/>
                <w:szCs w:val="24"/>
              </w:rPr>
              <w:t>Discrimination, Health Services and Disability and Community Services Commissioner, ACT Human Rights Commission</w:t>
            </w:r>
          </w:p>
        </w:tc>
        <w:tc>
          <w:tcPr>
            <w:tcW w:w="2552" w:type="dxa"/>
            <w:tcBorders>
              <w:top w:val="single" w:sz="4" w:space="0" w:color="auto"/>
              <w:left w:val="single" w:sz="4" w:space="0" w:color="auto"/>
              <w:bottom w:val="single" w:sz="4" w:space="0" w:color="auto"/>
              <w:right w:val="single" w:sz="4" w:space="0" w:color="auto"/>
            </w:tcBorders>
          </w:tcPr>
          <w:p w14:paraId="2CBCDE2A" w14:textId="5FB5EF84" w:rsidR="00C051B8" w:rsidRPr="00C051B8" w:rsidRDefault="00C051B8" w:rsidP="00931F7A">
            <w:pPr>
              <w:rPr>
                <w:rFonts w:asciiTheme="majorHAnsi" w:hAnsiTheme="majorHAnsi" w:cstheme="majorHAnsi"/>
                <w:bCs/>
                <w:color w:val="000000" w:themeColor="text1"/>
                <w:szCs w:val="24"/>
              </w:rPr>
            </w:pPr>
            <w:r w:rsidRPr="00C051B8">
              <w:rPr>
                <w:rFonts w:asciiTheme="majorHAnsi" w:hAnsiTheme="majorHAnsi" w:cstheme="majorHAnsi"/>
                <w:color w:val="000000"/>
                <w:szCs w:val="24"/>
              </w:rPr>
              <w:t>$267,416</w:t>
            </w:r>
          </w:p>
        </w:tc>
        <w:tc>
          <w:tcPr>
            <w:tcW w:w="2409" w:type="dxa"/>
            <w:tcBorders>
              <w:top w:val="single" w:sz="4" w:space="0" w:color="auto"/>
              <w:left w:val="single" w:sz="4" w:space="0" w:color="auto"/>
            </w:tcBorders>
          </w:tcPr>
          <w:p w14:paraId="64A3BD02" w14:textId="3B3D8DB2" w:rsidR="00C051B8" w:rsidRPr="00C051B8" w:rsidDel="00543791"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$299,416</w:t>
            </w:r>
          </w:p>
        </w:tc>
      </w:tr>
      <w:tr w:rsidR="00C051B8" w:rsidRPr="002E55A6" w14:paraId="79509EA0" w14:textId="77777777" w:rsidTr="00931F7A">
        <w:tc>
          <w:tcPr>
            <w:tcW w:w="3998" w:type="dxa"/>
            <w:tcBorders>
              <w:top w:val="single" w:sz="4" w:space="0" w:color="auto"/>
              <w:bottom w:val="single" w:sz="4" w:space="0" w:color="auto"/>
              <w:right w:val="single" w:sz="4" w:space="0" w:color="auto"/>
            </w:tcBorders>
          </w:tcPr>
          <w:p w14:paraId="5051B50F" w14:textId="77777777" w:rsidR="00C051B8" w:rsidRPr="00F16CF8" w:rsidRDefault="00C051B8" w:rsidP="00931F7A">
            <w:pPr>
              <w:pStyle w:val="Header"/>
              <w:tabs>
                <w:tab w:val="clear" w:pos="4153"/>
                <w:tab w:val="clear" w:pos="8306"/>
              </w:tabs>
              <w:spacing w:before="60" w:after="60"/>
              <w:rPr>
                <w:rFonts w:asciiTheme="majorHAnsi" w:hAnsiTheme="majorHAnsi" w:cstheme="majorHAnsi"/>
                <w:szCs w:val="24"/>
                <w:lang w:val="en-AU"/>
              </w:rPr>
            </w:pPr>
            <w:r w:rsidRPr="00F16CF8">
              <w:rPr>
                <w:rFonts w:asciiTheme="majorHAnsi" w:hAnsiTheme="majorHAnsi" w:cstheme="majorHAnsi"/>
                <w:szCs w:val="24"/>
              </w:rPr>
              <w:t>President and Human Rights Commissioner, ACT Human Rights Commission</w:t>
            </w:r>
          </w:p>
        </w:tc>
        <w:tc>
          <w:tcPr>
            <w:tcW w:w="2552" w:type="dxa"/>
            <w:tcBorders>
              <w:top w:val="single" w:sz="4" w:space="0" w:color="auto"/>
              <w:left w:val="single" w:sz="4" w:space="0" w:color="auto"/>
              <w:bottom w:val="single" w:sz="4" w:space="0" w:color="auto"/>
              <w:right w:val="single" w:sz="4" w:space="0" w:color="auto"/>
            </w:tcBorders>
          </w:tcPr>
          <w:p w14:paraId="699BD50B" w14:textId="61B278B0" w:rsidR="00C051B8" w:rsidRPr="00C051B8" w:rsidRDefault="00C051B8" w:rsidP="00931F7A">
            <w:pPr>
              <w:rPr>
                <w:rFonts w:asciiTheme="majorHAnsi" w:hAnsiTheme="majorHAnsi" w:cstheme="majorHAnsi"/>
                <w:bCs/>
                <w:color w:val="000000" w:themeColor="text1"/>
                <w:szCs w:val="24"/>
              </w:rPr>
            </w:pPr>
            <w:r w:rsidRPr="00C051B8">
              <w:rPr>
                <w:rFonts w:asciiTheme="majorHAnsi" w:hAnsiTheme="majorHAnsi" w:cstheme="majorHAnsi"/>
                <w:color w:val="000000"/>
                <w:szCs w:val="24"/>
              </w:rPr>
              <w:t>$345,875</w:t>
            </w:r>
          </w:p>
        </w:tc>
        <w:tc>
          <w:tcPr>
            <w:tcW w:w="2409" w:type="dxa"/>
            <w:tcBorders>
              <w:left w:val="single" w:sz="4" w:space="0" w:color="auto"/>
              <w:bottom w:val="single" w:sz="4" w:space="0" w:color="auto"/>
            </w:tcBorders>
          </w:tcPr>
          <w:p w14:paraId="1A48E39C" w14:textId="7FAF73CE" w:rsidR="00C051B8" w:rsidRPr="00C051B8" w:rsidDel="00543791"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$378,375</w:t>
            </w:r>
          </w:p>
        </w:tc>
      </w:tr>
      <w:tr w:rsidR="00C051B8" w:rsidRPr="002E55A6" w14:paraId="32B9C271" w14:textId="77777777" w:rsidTr="00931F7A">
        <w:tc>
          <w:tcPr>
            <w:tcW w:w="3998" w:type="dxa"/>
            <w:tcBorders>
              <w:top w:val="single" w:sz="4" w:space="0" w:color="auto"/>
              <w:bottom w:val="single" w:sz="4" w:space="0" w:color="auto"/>
              <w:right w:val="single" w:sz="4" w:space="0" w:color="auto"/>
            </w:tcBorders>
          </w:tcPr>
          <w:p w14:paraId="24E260DB" w14:textId="77777777" w:rsidR="00C051B8" w:rsidRPr="00F16CF8" w:rsidRDefault="00C051B8" w:rsidP="00931F7A">
            <w:pPr>
              <w:spacing w:before="60" w:after="60"/>
              <w:rPr>
                <w:rFonts w:asciiTheme="majorHAnsi" w:hAnsiTheme="majorHAnsi" w:cstheme="majorHAnsi"/>
                <w:szCs w:val="24"/>
              </w:rPr>
            </w:pPr>
            <w:r w:rsidRPr="00F16CF8">
              <w:rPr>
                <w:rFonts w:asciiTheme="majorHAnsi" w:hAnsiTheme="majorHAnsi" w:cstheme="majorHAnsi"/>
                <w:szCs w:val="24"/>
              </w:rPr>
              <w:t>Public Advocate and Children and Young People Commissioner, ACT Human Rights Commission</w:t>
            </w:r>
          </w:p>
        </w:tc>
        <w:tc>
          <w:tcPr>
            <w:tcW w:w="2552" w:type="dxa"/>
            <w:tcBorders>
              <w:top w:val="single" w:sz="4" w:space="0" w:color="auto"/>
              <w:left w:val="single" w:sz="4" w:space="0" w:color="auto"/>
              <w:bottom w:val="single" w:sz="4" w:space="0" w:color="auto"/>
              <w:right w:val="single" w:sz="4" w:space="0" w:color="auto"/>
            </w:tcBorders>
          </w:tcPr>
          <w:p w14:paraId="1BAA676F" w14:textId="16CCDAB2" w:rsidR="00C051B8" w:rsidRPr="00C051B8" w:rsidRDefault="00C051B8" w:rsidP="00931F7A">
            <w:pPr>
              <w:rPr>
                <w:rFonts w:asciiTheme="majorHAnsi" w:hAnsiTheme="majorHAnsi" w:cstheme="majorHAnsi"/>
                <w:bCs/>
                <w:color w:val="000000" w:themeColor="text1"/>
                <w:szCs w:val="24"/>
              </w:rPr>
            </w:pPr>
            <w:r w:rsidRPr="00C051B8">
              <w:rPr>
                <w:rFonts w:asciiTheme="majorHAnsi" w:hAnsiTheme="majorHAnsi" w:cstheme="majorHAnsi"/>
                <w:color w:val="000000"/>
                <w:szCs w:val="24"/>
              </w:rPr>
              <w:t>$267,416</w:t>
            </w:r>
          </w:p>
        </w:tc>
        <w:tc>
          <w:tcPr>
            <w:tcW w:w="2409" w:type="dxa"/>
            <w:tcBorders>
              <w:top w:val="single" w:sz="4" w:space="0" w:color="auto"/>
              <w:left w:val="single" w:sz="4" w:space="0" w:color="auto"/>
              <w:bottom w:val="single" w:sz="4" w:space="0" w:color="auto"/>
            </w:tcBorders>
          </w:tcPr>
          <w:p w14:paraId="734ED7CD" w14:textId="126A6343" w:rsidR="00C051B8" w:rsidRPr="00C051B8" w:rsidDel="00543791"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$299,416</w:t>
            </w:r>
          </w:p>
        </w:tc>
      </w:tr>
      <w:tr w:rsidR="00C051B8" w:rsidRPr="002E55A6" w14:paraId="611F8B45" w14:textId="77777777" w:rsidTr="00931F7A">
        <w:tc>
          <w:tcPr>
            <w:tcW w:w="3998" w:type="dxa"/>
            <w:tcBorders>
              <w:top w:val="single" w:sz="4" w:space="0" w:color="auto"/>
              <w:bottom w:val="single" w:sz="4" w:space="0" w:color="auto"/>
              <w:right w:val="single" w:sz="4" w:space="0" w:color="auto"/>
            </w:tcBorders>
          </w:tcPr>
          <w:p w14:paraId="1B654358" w14:textId="77777777" w:rsidR="00C051B8" w:rsidRPr="00F16CF8" w:rsidRDefault="00C051B8" w:rsidP="00931F7A">
            <w:pPr>
              <w:spacing w:before="60" w:after="60"/>
              <w:rPr>
                <w:rFonts w:asciiTheme="majorHAnsi" w:hAnsiTheme="majorHAnsi" w:cstheme="majorHAnsi"/>
                <w:szCs w:val="24"/>
              </w:rPr>
            </w:pPr>
            <w:r w:rsidRPr="00F16CF8">
              <w:rPr>
                <w:rFonts w:asciiTheme="majorHAnsi" w:hAnsiTheme="majorHAnsi" w:cstheme="majorHAnsi"/>
                <w:szCs w:val="24"/>
              </w:rPr>
              <w:t>Victims of Crime Commissioner, ACT Human Rights Commission</w:t>
            </w:r>
          </w:p>
        </w:tc>
        <w:tc>
          <w:tcPr>
            <w:tcW w:w="2552" w:type="dxa"/>
            <w:tcBorders>
              <w:top w:val="single" w:sz="4" w:space="0" w:color="auto"/>
              <w:left w:val="single" w:sz="4" w:space="0" w:color="auto"/>
              <w:bottom w:val="single" w:sz="4" w:space="0" w:color="auto"/>
              <w:right w:val="single" w:sz="4" w:space="0" w:color="auto"/>
            </w:tcBorders>
          </w:tcPr>
          <w:p w14:paraId="16D535BA" w14:textId="4BEEA193" w:rsidR="00C051B8" w:rsidRPr="00C051B8" w:rsidRDefault="00C051B8" w:rsidP="00931F7A">
            <w:pPr>
              <w:rPr>
                <w:rFonts w:asciiTheme="majorHAnsi" w:hAnsiTheme="majorHAnsi" w:cstheme="majorHAnsi"/>
                <w:bCs/>
                <w:color w:val="000000" w:themeColor="text1"/>
                <w:szCs w:val="24"/>
              </w:rPr>
            </w:pPr>
            <w:r w:rsidRPr="00C051B8">
              <w:rPr>
                <w:rFonts w:asciiTheme="majorHAnsi" w:hAnsiTheme="majorHAnsi" w:cstheme="majorHAnsi"/>
                <w:color w:val="000000"/>
                <w:szCs w:val="24"/>
              </w:rPr>
              <w:t>$267,416</w:t>
            </w:r>
          </w:p>
        </w:tc>
        <w:tc>
          <w:tcPr>
            <w:tcW w:w="2409" w:type="dxa"/>
            <w:tcBorders>
              <w:top w:val="single" w:sz="4" w:space="0" w:color="auto"/>
              <w:left w:val="single" w:sz="4" w:space="0" w:color="auto"/>
              <w:bottom w:val="single" w:sz="4" w:space="0" w:color="auto"/>
            </w:tcBorders>
          </w:tcPr>
          <w:p w14:paraId="0C7AE13D" w14:textId="325D4D9B" w:rsidR="00C051B8" w:rsidRPr="00C051B8" w:rsidDel="00543791"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$299,416</w:t>
            </w:r>
          </w:p>
        </w:tc>
      </w:tr>
      <w:tr w:rsidR="00C051B8" w:rsidRPr="002E55A6" w14:paraId="114113A7" w14:textId="77777777" w:rsidTr="00931F7A">
        <w:tc>
          <w:tcPr>
            <w:tcW w:w="3998" w:type="dxa"/>
            <w:tcBorders>
              <w:top w:val="single" w:sz="4" w:space="0" w:color="auto"/>
              <w:bottom w:val="single" w:sz="4" w:space="0" w:color="auto"/>
              <w:right w:val="single" w:sz="4" w:space="0" w:color="auto"/>
            </w:tcBorders>
          </w:tcPr>
          <w:p w14:paraId="122EB30E" w14:textId="77777777" w:rsidR="00C051B8" w:rsidRPr="00F16CF8" w:rsidRDefault="00C051B8" w:rsidP="00931F7A">
            <w:pPr>
              <w:spacing w:before="60" w:after="60"/>
              <w:rPr>
                <w:rFonts w:asciiTheme="majorHAnsi" w:hAnsiTheme="majorHAnsi" w:cstheme="majorHAnsi"/>
                <w:szCs w:val="24"/>
              </w:rPr>
            </w:pPr>
            <w:r w:rsidRPr="00F16CF8">
              <w:rPr>
                <w:rFonts w:asciiTheme="majorHAnsi" w:hAnsiTheme="majorHAnsi" w:cstheme="majorHAnsi"/>
                <w:szCs w:val="24"/>
              </w:rPr>
              <w:t>Work Health and Safety Commissioner</w:t>
            </w:r>
          </w:p>
        </w:tc>
        <w:tc>
          <w:tcPr>
            <w:tcW w:w="2552" w:type="dxa"/>
            <w:tcBorders>
              <w:top w:val="single" w:sz="4" w:space="0" w:color="auto"/>
              <w:left w:val="single" w:sz="4" w:space="0" w:color="auto"/>
              <w:bottom w:val="single" w:sz="4" w:space="0" w:color="auto"/>
              <w:right w:val="single" w:sz="4" w:space="0" w:color="auto"/>
            </w:tcBorders>
          </w:tcPr>
          <w:p w14:paraId="2497E386" w14:textId="1CB9661C" w:rsidR="00C051B8" w:rsidRPr="00C051B8" w:rsidRDefault="00C051B8" w:rsidP="00931F7A">
            <w:pPr>
              <w:rPr>
                <w:rFonts w:asciiTheme="majorHAnsi" w:hAnsiTheme="majorHAnsi" w:cstheme="majorHAnsi"/>
                <w:bCs/>
                <w:color w:val="000000" w:themeColor="text1"/>
                <w:szCs w:val="24"/>
              </w:rPr>
            </w:pPr>
            <w:r w:rsidRPr="00C051B8">
              <w:rPr>
                <w:rFonts w:asciiTheme="majorHAnsi" w:hAnsiTheme="majorHAnsi" w:cstheme="majorHAnsi"/>
                <w:color w:val="000000"/>
                <w:szCs w:val="24"/>
              </w:rPr>
              <w:t>$310,789</w:t>
            </w:r>
          </w:p>
        </w:tc>
        <w:tc>
          <w:tcPr>
            <w:tcW w:w="2409" w:type="dxa"/>
            <w:tcBorders>
              <w:top w:val="single" w:sz="4" w:space="0" w:color="auto"/>
              <w:left w:val="single" w:sz="4" w:space="0" w:color="auto"/>
              <w:bottom w:val="single" w:sz="4" w:space="0" w:color="auto"/>
            </w:tcBorders>
          </w:tcPr>
          <w:p w14:paraId="7200516F" w14:textId="2EC80471" w:rsidR="00C051B8" w:rsidRPr="00C051B8" w:rsidDel="00543791" w:rsidRDefault="00C051B8" w:rsidP="00931F7A">
            <w:pPr>
              <w:rPr>
                <w:rFonts w:asciiTheme="majorHAnsi" w:hAnsiTheme="majorHAnsi" w:cstheme="majorHAnsi"/>
                <w:color w:val="000000" w:themeColor="text1"/>
                <w:szCs w:val="24"/>
              </w:rPr>
            </w:pPr>
            <w:r w:rsidRPr="00C051B8">
              <w:rPr>
                <w:rFonts w:asciiTheme="majorHAnsi" w:hAnsiTheme="majorHAnsi" w:cstheme="majorHAnsi"/>
                <w:color w:val="000000"/>
                <w:szCs w:val="24"/>
              </w:rPr>
              <w:t>$342,789</w:t>
            </w:r>
          </w:p>
        </w:tc>
      </w:tr>
      <w:bookmarkEnd w:id="6"/>
    </w:tbl>
    <w:p w14:paraId="3C459F06" w14:textId="77777777" w:rsidR="002514B4" w:rsidRDefault="002514B4" w:rsidP="002514B4">
      <w:pPr>
        <w:spacing w:before="80" w:after="60"/>
        <w:ind w:left="90"/>
      </w:pPr>
    </w:p>
    <w:p w14:paraId="2715A9E7" w14:textId="0784DBD9" w:rsidR="00F23E72" w:rsidRPr="007A5A88" w:rsidRDefault="00F23E72" w:rsidP="007A5A88">
      <w:pPr>
        <w:numPr>
          <w:ilvl w:val="1"/>
          <w:numId w:val="4"/>
        </w:numPr>
        <w:tabs>
          <w:tab w:val="clear" w:pos="720"/>
          <w:tab w:val="num" w:pos="0"/>
        </w:tabs>
        <w:spacing w:before="80" w:after="60"/>
        <w:ind w:left="709" w:hanging="709"/>
      </w:pPr>
      <w:r>
        <w:t>Where a person appointed to an office listed above has an employer-provided vehicle, column 2 of Table 2.1 is the total remuneration payable.</w:t>
      </w:r>
      <w:bookmarkStart w:id="7" w:name="_Hlk136597205"/>
    </w:p>
    <w:bookmarkEnd w:id="5"/>
    <w:bookmarkEnd w:id="7"/>
    <w:p w14:paraId="762628C4" w14:textId="1E58BD2D" w:rsidR="00DC6C6D" w:rsidRPr="002E55A6" w:rsidRDefault="00DC6C6D" w:rsidP="00AE2CF2">
      <w:pPr>
        <w:numPr>
          <w:ilvl w:val="1"/>
          <w:numId w:val="4"/>
        </w:numPr>
        <w:tabs>
          <w:tab w:val="clear" w:pos="720"/>
          <w:tab w:val="num" w:pos="0"/>
        </w:tabs>
        <w:spacing w:before="140" w:after="60"/>
        <w:ind w:left="709" w:hanging="709"/>
      </w:pPr>
      <w:r w:rsidRPr="002E55A6">
        <w:t xml:space="preserve">A person appointed to an office listed in column 1 of Table 2.1 must not receive the salary mentioned </w:t>
      </w:r>
      <w:r w:rsidR="00F23E72">
        <w:t>above</w:t>
      </w:r>
      <w:r w:rsidRPr="002E55A6">
        <w:t xml:space="preserve"> if the person is paid a higher salary for that office from another source.</w:t>
      </w:r>
    </w:p>
    <w:p w14:paraId="30F6EE86" w14:textId="2BAE5E81" w:rsidR="00DC6C6D" w:rsidRPr="002E55A6" w:rsidRDefault="00DC6C6D" w:rsidP="00AE2CF2">
      <w:pPr>
        <w:numPr>
          <w:ilvl w:val="1"/>
          <w:numId w:val="4"/>
        </w:numPr>
        <w:tabs>
          <w:tab w:val="clear" w:pos="720"/>
          <w:tab w:val="num" w:pos="0"/>
        </w:tabs>
        <w:spacing w:before="80" w:after="60"/>
        <w:ind w:left="709" w:hanging="709"/>
      </w:pPr>
      <w:r w:rsidRPr="002E55A6">
        <w:t>If a person appointed to an office listed in column 1 of Table 2.1</w:t>
      </w:r>
      <w:r w:rsidR="00CA0D6A" w:rsidRPr="002E55A6">
        <w:t xml:space="preserve"> </w:t>
      </w:r>
      <w:r w:rsidRPr="002E55A6">
        <w:t>is also appointed to another office</w:t>
      </w:r>
      <w:r w:rsidR="00852752" w:rsidRPr="002E55A6">
        <w:t xml:space="preserve"> under ACT legislation</w:t>
      </w:r>
      <w:r w:rsidRPr="002E55A6">
        <w:t>, the person must only receive salary for the office that has the highest remuneration.</w:t>
      </w:r>
    </w:p>
    <w:p w14:paraId="0C296652" w14:textId="77777777" w:rsidR="0069220A" w:rsidRPr="002E55A6" w:rsidRDefault="0069220A" w:rsidP="00031CFC">
      <w:pPr>
        <w:pStyle w:val="Heading3"/>
        <w:keepLines w:val="0"/>
        <w:ind w:left="709" w:hanging="709"/>
        <w:rPr>
          <w:rFonts w:cs="Arial"/>
          <w:szCs w:val="26"/>
        </w:rPr>
      </w:pPr>
      <w:r w:rsidRPr="002E55A6">
        <w:rPr>
          <w:rFonts w:cs="Arial"/>
          <w:szCs w:val="26"/>
        </w:rPr>
        <w:t>Salary packaging</w:t>
      </w:r>
    </w:p>
    <w:p w14:paraId="2B4710E3" w14:textId="70A6357C" w:rsidR="0069220A" w:rsidRPr="002E55A6" w:rsidRDefault="0069220A" w:rsidP="0069220A">
      <w:pPr>
        <w:numPr>
          <w:ilvl w:val="1"/>
          <w:numId w:val="4"/>
        </w:numPr>
        <w:tabs>
          <w:tab w:val="clear" w:pos="720"/>
          <w:tab w:val="num" w:pos="0"/>
        </w:tabs>
        <w:spacing w:before="80" w:after="60"/>
        <w:ind w:left="709" w:hanging="709"/>
      </w:pPr>
      <w:r w:rsidRPr="002E55A6">
        <w:t>A person appointed to an office listed in column 1 of Table 2.1</w:t>
      </w:r>
      <w:r w:rsidR="00CA0D6A" w:rsidRPr="002E55A6">
        <w:t xml:space="preserve"> </w:t>
      </w:r>
      <w:r w:rsidRPr="002E55A6">
        <w:t>may elect to take the remuneration mentioned in column 2 of Table 2.1</w:t>
      </w:r>
      <w:r w:rsidR="000E19B1" w:rsidRPr="002E55A6">
        <w:t xml:space="preserve"> </w:t>
      </w:r>
      <w:r w:rsidRPr="002E55A6">
        <w:t>as:</w:t>
      </w:r>
    </w:p>
    <w:p w14:paraId="605F97AD" w14:textId="77777777" w:rsidR="0069220A" w:rsidRPr="002E55A6" w:rsidRDefault="0069220A" w:rsidP="0069220A">
      <w:pPr>
        <w:numPr>
          <w:ilvl w:val="2"/>
          <w:numId w:val="4"/>
        </w:numPr>
        <w:tabs>
          <w:tab w:val="clear" w:pos="720"/>
        </w:tabs>
        <w:spacing w:after="60"/>
        <w:ind w:left="1134" w:hanging="436"/>
      </w:pPr>
      <w:r w:rsidRPr="002E55A6">
        <w:t xml:space="preserve">salary; or </w:t>
      </w:r>
    </w:p>
    <w:p w14:paraId="4E4A9F10" w14:textId="77777777" w:rsidR="0069220A" w:rsidRPr="002E55A6" w:rsidRDefault="0069220A" w:rsidP="0069220A">
      <w:pPr>
        <w:numPr>
          <w:ilvl w:val="2"/>
          <w:numId w:val="4"/>
        </w:numPr>
        <w:tabs>
          <w:tab w:val="clear" w:pos="720"/>
        </w:tabs>
        <w:spacing w:after="60"/>
        <w:ind w:left="1134" w:hanging="436"/>
      </w:pPr>
      <w:r w:rsidRPr="002E55A6">
        <w:t xml:space="preserve">a combination of salary and other benefits (a </w:t>
      </w:r>
      <w:r w:rsidRPr="002E55A6">
        <w:rPr>
          <w:b/>
          <w:i/>
        </w:rPr>
        <w:t>salary package</w:t>
      </w:r>
      <w:r w:rsidRPr="002E55A6">
        <w:t>).</w:t>
      </w:r>
    </w:p>
    <w:p w14:paraId="1FC51323" w14:textId="77777777" w:rsidR="0069220A" w:rsidRPr="002E55A6" w:rsidRDefault="0069220A" w:rsidP="0069220A">
      <w:pPr>
        <w:keepNext/>
        <w:keepLines/>
        <w:numPr>
          <w:ilvl w:val="1"/>
          <w:numId w:val="4"/>
        </w:numPr>
        <w:tabs>
          <w:tab w:val="clear" w:pos="720"/>
          <w:tab w:val="num" w:pos="0"/>
        </w:tabs>
        <w:spacing w:before="80" w:after="60"/>
        <w:ind w:left="709" w:hanging="709"/>
      </w:pPr>
      <w:r w:rsidRPr="002E55A6">
        <w:t>Salary packaging must be consistent with:</w:t>
      </w:r>
    </w:p>
    <w:p w14:paraId="667BF5E3" w14:textId="77777777" w:rsidR="0069220A" w:rsidRPr="002E55A6" w:rsidRDefault="0069220A" w:rsidP="0069220A">
      <w:pPr>
        <w:numPr>
          <w:ilvl w:val="2"/>
          <w:numId w:val="4"/>
        </w:numPr>
        <w:tabs>
          <w:tab w:val="clear" w:pos="720"/>
        </w:tabs>
        <w:spacing w:after="60"/>
        <w:ind w:left="1134" w:hanging="436"/>
      </w:pPr>
      <w:r w:rsidRPr="002E55A6">
        <w:t>taxation laws and guidelines issued by the Australian Taxation Office; and</w:t>
      </w:r>
    </w:p>
    <w:p w14:paraId="3C94ECF1" w14:textId="77777777" w:rsidR="0069220A" w:rsidRPr="002E55A6" w:rsidRDefault="0069220A" w:rsidP="0069220A">
      <w:pPr>
        <w:numPr>
          <w:ilvl w:val="2"/>
          <w:numId w:val="4"/>
        </w:numPr>
        <w:tabs>
          <w:tab w:val="clear" w:pos="720"/>
        </w:tabs>
        <w:spacing w:after="60"/>
        <w:ind w:left="1134" w:hanging="436"/>
      </w:pPr>
      <w:r w:rsidRPr="002E55A6">
        <w:t xml:space="preserve">any salary packaging policy and/or procedures issued for the ACT Public Service, with up to 100% of the remuneration able to be taken as benefits and related costs such as fringe benefits tax. </w:t>
      </w:r>
    </w:p>
    <w:p w14:paraId="3852AD79" w14:textId="77777777" w:rsidR="0069220A" w:rsidRPr="002E55A6" w:rsidRDefault="0069220A" w:rsidP="0069220A">
      <w:pPr>
        <w:numPr>
          <w:ilvl w:val="1"/>
          <w:numId w:val="4"/>
        </w:numPr>
        <w:tabs>
          <w:tab w:val="clear" w:pos="720"/>
          <w:tab w:val="num" w:pos="0"/>
        </w:tabs>
        <w:spacing w:before="80" w:after="60"/>
        <w:ind w:left="709" w:hanging="709"/>
      </w:pPr>
      <w:r w:rsidRPr="002E55A6">
        <w:t>Salary packaging must be administered without additional cost to the employer and any fringe benefits tax associated with the provision of a benefit must be included in the salary package.</w:t>
      </w:r>
    </w:p>
    <w:p w14:paraId="56D5BF37" w14:textId="77777777" w:rsidR="0069220A" w:rsidRPr="002E55A6" w:rsidRDefault="0069220A" w:rsidP="0069220A">
      <w:pPr>
        <w:numPr>
          <w:ilvl w:val="1"/>
          <w:numId w:val="4"/>
        </w:numPr>
        <w:tabs>
          <w:tab w:val="clear" w:pos="720"/>
          <w:tab w:val="num" w:pos="0"/>
        </w:tabs>
        <w:spacing w:before="80" w:after="60"/>
        <w:ind w:left="709" w:hanging="709"/>
      </w:pPr>
      <w:r w:rsidRPr="002E55A6">
        <w:t>Salary for superannuation purposes is not affected by salary packaging.</w:t>
      </w:r>
    </w:p>
    <w:p w14:paraId="1FFB5F03" w14:textId="77777777" w:rsidR="00F23E72" w:rsidRDefault="00F23E72" w:rsidP="00F23E72">
      <w:pPr>
        <w:pStyle w:val="Heading3"/>
      </w:pPr>
      <w:bookmarkStart w:id="8" w:name="_Hlk136540226"/>
      <w:r w:rsidRPr="006E7416">
        <w:t>Vehicle</w:t>
      </w:r>
    </w:p>
    <w:p w14:paraId="0978A838" w14:textId="77777777" w:rsidR="00F23E72" w:rsidRPr="001325F0" w:rsidRDefault="00F23E72" w:rsidP="00F23E72">
      <w:pPr>
        <w:numPr>
          <w:ilvl w:val="1"/>
          <w:numId w:val="4"/>
        </w:numPr>
        <w:spacing w:before="80" w:after="60"/>
        <w:rPr>
          <w:color w:val="000000" w:themeColor="text1"/>
        </w:rPr>
      </w:pPr>
      <w:r w:rsidRPr="006E7416">
        <w:rPr>
          <w:color w:val="000000" w:themeColor="text1"/>
        </w:rPr>
        <w:t>If a</w:t>
      </w:r>
      <w:r>
        <w:rPr>
          <w:color w:val="000000" w:themeColor="text1"/>
        </w:rPr>
        <w:t xml:space="preserve"> person appointed to an office listed above h</w:t>
      </w:r>
      <w:r w:rsidRPr="006E7416">
        <w:rPr>
          <w:color w:val="000000" w:themeColor="text1"/>
        </w:rPr>
        <w:t>as an employer-provided vehicle,</w:t>
      </w:r>
      <w:r>
        <w:rPr>
          <w:color w:val="000000" w:themeColor="text1"/>
        </w:rPr>
        <w:t xml:space="preserve"> the conditions are consistent with Part 13 – Transitional Public Sector Management Amendment Standards 2021 (No 1) of the </w:t>
      </w:r>
      <w:r w:rsidRPr="00364F10">
        <w:rPr>
          <w:i/>
          <w:iCs/>
          <w:color w:val="000000" w:themeColor="text1"/>
        </w:rPr>
        <w:t>Public Sector Management Standards 2016</w:t>
      </w:r>
      <w:r>
        <w:rPr>
          <w:color w:val="000000" w:themeColor="text1"/>
        </w:rPr>
        <w:t>.</w:t>
      </w:r>
      <w:r w:rsidRPr="006E7416">
        <w:rPr>
          <w:color w:val="000000" w:themeColor="text1"/>
        </w:rPr>
        <w:t xml:space="preserve"> </w:t>
      </w:r>
    </w:p>
    <w:bookmarkEnd w:id="8"/>
    <w:p w14:paraId="61158D06" w14:textId="77777777" w:rsidR="0069220A" w:rsidRPr="002E55A6" w:rsidRDefault="0069220A" w:rsidP="00031CFC">
      <w:pPr>
        <w:pStyle w:val="Heading3"/>
        <w:keepLines w:val="0"/>
        <w:ind w:left="709" w:hanging="709"/>
        <w:rPr>
          <w:rFonts w:cs="Arial"/>
          <w:szCs w:val="26"/>
        </w:rPr>
      </w:pPr>
      <w:r w:rsidRPr="002E55A6">
        <w:rPr>
          <w:rFonts w:cs="Arial"/>
          <w:szCs w:val="26"/>
        </w:rPr>
        <w:t>Employer provided benefits</w:t>
      </w:r>
    </w:p>
    <w:p w14:paraId="12D01C8A" w14:textId="520EF0CA" w:rsidR="00C616D7" w:rsidRDefault="00EE2454" w:rsidP="00D2178F">
      <w:pPr>
        <w:numPr>
          <w:ilvl w:val="1"/>
          <w:numId w:val="4"/>
        </w:numPr>
        <w:tabs>
          <w:tab w:val="clear" w:pos="720"/>
          <w:tab w:val="num" w:pos="0"/>
        </w:tabs>
        <w:spacing w:before="80" w:after="60"/>
        <w:ind w:left="709" w:hanging="709"/>
      </w:pPr>
      <w:r w:rsidRPr="002E55A6">
        <w:t xml:space="preserve">A </w:t>
      </w:r>
      <w:r w:rsidR="007E0063" w:rsidRPr="002E55A6">
        <w:t>person appointed to an office</w:t>
      </w:r>
      <w:r w:rsidR="00FB06AE" w:rsidRPr="002E55A6">
        <w:t xml:space="preserve"> listed</w:t>
      </w:r>
      <w:r w:rsidR="007E0063" w:rsidRPr="002E55A6">
        <w:t xml:space="preserve"> in clause 2.1 of this Determination </w:t>
      </w:r>
      <w:r w:rsidR="0069220A" w:rsidRPr="002E55A6">
        <w:t xml:space="preserve">is entitled to either the employer provided benefits mentioned </w:t>
      </w:r>
      <w:r w:rsidR="007E0063" w:rsidRPr="002E55A6">
        <w:t>below</w:t>
      </w:r>
      <w:r w:rsidR="0069220A" w:rsidRPr="002E55A6">
        <w:t xml:space="preserve"> or the relevant cash payment in lieu of the benefit mentioned </w:t>
      </w:r>
      <w:r w:rsidR="007E0063" w:rsidRPr="002E55A6">
        <w:t>below</w:t>
      </w:r>
      <w:r w:rsidR="0069220A" w:rsidRPr="002E55A6">
        <w:t>.</w:t>
      </w:r>
    </w:p>
    <w:p w14:paraId="2F6A4054" w14:textId="4A9070CD" w:rsidR="00A8018D" w:rsidRPr="003D404C"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t>An employer-provided benefit, or cash payment in lieu of an employer-provided benefit, is in addition to the remuneration specified in clause 2.1 of this determination and does not affect salary for superannuation purposes.</w:t>
      </w:r>
    </w:p>
    <w:p w14:paraId="7F88642D" w14:textId="2BF097D9" w:rsidR="00A8018D"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7DD21A58" w14:textId="77777777" w:rsidR="00752AFC" w:rsidRPr="007F5CF1" w:rsidRDefault="00752AFC" w:rsidP="00752AFC">
      <w:pPr>
        <w:pStyle w:val="Heading3"/>
        <w:keepLines w:val="0"/>
        <w:ind w:left="709" w:hanging="709"/>
        <w:rPr>
          <w:rFonts w:cs="Arial"/>
          <w:szCs w:val="26"/>
        </w:rPr>
      </w:pPr>
      <w:r w:rsidRPr="007F5CF1">
        <w:rPr>
          <w:rFonts w:cs="Arial"/>
          <w:szCs w:val="26"/>
        </w:rPr>
        <w:t>Vehicle parking space</w:t>
      </w:r>
    </w:p>
    <w:p w14:paraId="3FE0A9BF" w14:textId="77777777" w:rsidR="00F23E72" w:rsidRPr="009E65ED" w:rsidRDefault="00F23E72" w:rsidP="00F23E72">
      <w:pPr>
        <w:pStyle w:val="ListParagraph"/>
        <w:numPr>
          <w:ilvl w:val="1"/>
          <w:numId w:val="4"/>
        </w:numPr>
        <w:spacing w:before="80" w:after="60" w:line="240" w:lineRule="auto"/>
        <w:contextualSpacing w:val="0"/>
        <w:rPr>
          <w:rFonts w:eastAsia="Times New Roman"/>
          <w:sz w:val="24"/>
          <w:szCs w:val="20"/>
        </w:rPr>
      </w:pPr>
      <w:bookmarkStart w:id="9" w:name="_Hlk136540260"/>
      <w:r w:rsidRPr="007F5CF1">
        <w:rPr>
          <w:rFonts w:eastAsia="Times New Roman"/>
          <w:sz w:val="24"/>
          <w:szCs w:val="20"/>
        </w:rPr>
        <w:t>A</w:t>
      </w:r>
      <w:r>
        <w:rPr>
          <w:rFonts w:eastAsia="Times New Roman"/>
          <w:sz w:val="24"/>
          <w:szCs w:val="20"/>
        </w:rPr>
        <w:t xml:space="preserve"> person appointed to an office listed above</w:t>
      </w:r>
      <w:r w:rsidRPr="007F5CF1">
        <w:rPr>
          <w:rFonts w:eastAsia="Times New Roman"/>
          <w:sz w:val="24"/>
          <w:szCs w:val="20"/>
        </w:rPr>
        <w:t xml:space="preserve"> is entitled to a parking space </w:t>
      </w:r>
      <w:r>
        <w:rPr>
          <w:rFonts w:eastAsia="Times New Roman"/>
          <w:sz w:val="24"/>
          <w:szCs w:val="20"/>
        </w:rPr>
        <w:t xml:space="preserve">or an allowance in lieu of a parking space, consistent with that provided to executives </w:t>
      </w:r>
      <w:r w:rsidRPr="007F5CF1">
        <w:rPr>
          <w:rFonts w:eastAsia="Times New Roman"/>
          <w:sz w:val="24"/>
          <w:szCs w:val="20"/>
        </w:rPr>
        <w:t xml:space="preserve">in </w:t>
      </w:r>
      <w:r>
        <w:rPr>
          <w:rFonts w:eastAsia="Times New Roman"/>
          <w:sz w:val="24"/>
          <w:szCs w:val="20"/>
        </w:rPr>
        <w:t xml:space="preserve">section 52A of </w:t>
      </w:r>
      <w:r w:rsidRPr="007F5CF1">
        <w:rPr>
          <w:rFonts w:eastAsia="Times New Roman"/>
          <w:sz w:val="24"/>
          <w:szCs w:val="20"/>
        </w:rPr>
        <w:t xml:space="preserve">the </w:t>
      </w:r>
      <w:r w:rsidRPr="006C45D5">
        <w:rPr>
          <w:rFonts w:eastAsia="Times New Roman"/>
          <w:i/>
          <w:iCs/>
          <w:sz w:val="24"/>
          <w:szCs w:val="20"/>
        </w:rPr>
        <w:t>Public Sector Management Standards 2016</w:t>
      </w:r>
      <w:r>
        <w:rPr>
          <w:rFonts w:eastAsia="Times New Roman"/>
          <w:sz w:val="24"/>
          <w:szCs w:val="20"/>
        </w:rPr>
        <w:t>.</w:t>
      </w:r>
    </w:p>
    <w:bookmarkEnd w:id="9"/>
    <w:p w14:paraId="7610DE60" w14:textId="77777777" w:rsidR="0069220A" w:rsidRPr="002E55A6" w:rsidRDefault="0069220A" w:rsidP="00031CFC">
      <w:pPr>
        <w:pStyle w:val="Heading3"/>
        <w:keepLines w:val="0"/>
        <w:ind w:left="709" w:hanging="709"/>
        <w:rPr>
          <w:rFonts w:cs="Arial"/>
          <w:szCs w:val="26"/>
        </w:rPr>
      </w:pPr>
      <w:r w:rsidRPr="002E55A6">
        <w:rPr>
          <w:rFonts w:cs="Arial"/>
          <w:szCs w:val="26"/>
        </w:rPr>
        <w:t>Employer’s superannuation contribution</w:t>
      </w:r>
    </w:p>
    <w:p w14:paraId="002FF90C" w14:textId="715D87A6" w:rsidR="0069220A" w:rsidRDefault="0069220A" w:rsidP="0069220A">
      <w:pPr>
        <w:numPr>
          <w:ilvl w:val="1"/>
          <w:numId w:val="4"/>
        </w:numPr>
        <w:tabs>
          <w:tab w:val="clear" w:pos="720"/>
        </w:tabs>
        <w:spacing w:before="80" w:after="60"/>
        <w:ind w:left="709" w:hanging="709"/>
        <w:rPr>
          <w:szCs w:val="24"/>
          <w:lang w:val="en-US"/>
        </w:rPr>
      </w:pPr>
      <w:r w:rsidRPr="002E55A6">
        <w:rPr>
          <w:szCs w:val="24"/>
        </w:rPr>
        <w:t xml:space="preserve">A </w:t>
      </w:r>
      <w:r w:rsidR="00042DBD" w:rsidRPr="002E55A6">
        <w:rPr>
          <w:szCs w:val="24"/>
        </w:rPr>
        <w:t xml:space="preserve">person, appointed to an office in clause 2.1 of this Determination, </w:t>
      </w:r>
      <w:r w:rsidRPr="002E55A6">
        <w:rPr>
          <w:szCs w:val="24"/>
        </w:rPr>
        <w:t xml:space="preserve">is only eligible for the employer’s superannuation contribution </w:t>
      </w:r>
      <w:r w:rsidRPr="002E55A6">
        <w:rPr>
          <w:szCs w:val="24"/>
          <w:lang w:val="en-US"/>
        </w:rPr>
        <w:t xml:space="preserve">if their </w:t>
      </w:r>
      <w:r w:rsidRPr="002E55A6">
        <w:rPr>
          <w:szCs w:val="24"/>
        </w:rPr>
        <w:t>superannuation</w:t>
      </w:r>
      <w:r w:rsidRPr="002E55A6">
        <w:rPr>
          <w:szCs w:val="24"/>
          <w:lang w:val="en-US"/>
        </w:rPr>
        <w:t xml:space="preserve"> entitlements are not provided elsewhere.  </w:t>
      </w:r>
    </w:p>
    <w:p w14:paraId="37D579BD" w14:textId="77777777" w:rsidR="00F23E72" w:rsidRPr="00BA31FA" w:rsidRDefault="00F23E72" w:rsidP="00F23E72">
      <w:pPr>
        <w:numPr>
          <w:ilvl w:val="1"/>
          <w:numId w:val="4"/>
        </w:numPr>
        <w:tabs>
          <w:tab w:val="clear" w:pos="720"/>
        </w:tabs>
        <w:spacing w:before="80" w:after="60"/>
        <w:ind w:left="709" w:hanging="709"/>
        <w:rPr>
          <w:szCs w:val="24"/>
          <w:lang w:val="en-US"/>
        </w:rPr>
      </w:pPr>
      <w:bookmarkStart w:id="10" w:name="_Hlk136540300"/>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 xml:space="preserve">ACT Public Sector Administrative and Related Classifications Enterprise Agreement 2021-2022 </w:t>
      </w:r>
      <w:r w:rsidRPr="00BA31FA">
        <w:rPr>
          <w:iCs/>
          <w:color w:val="000000" w:themeColor="text1"/>
        </w:rPr>
        <w:t xml:space="preserve">or its replacement. </w:t>
      </w:r>
      <w:r>
        <w:rPr>
          <w:iCs/>
          <w:color w:val="000000" w:themeColor="text1"/>
        </w:rPr>
        <w:t xml:space="preserve"> </w:t>
      </w:r>
    </w:p>
    <w:bookmarkEnd w:id="10"/>
    <w:p w14:paraId="1AED50C2" w14:textId="086AAE00" w:rsidR="0069220A" w:rsidRPr="002E55A6" w:rsidRDefault="0069220A" w:rsidP="0069220A">
      <w:pPr>
        <w:numPr>
          <w:ilvl w:val="1"/>
          <w:numId w:val="4"/>
        </w:numPr>
        <w:tabs>
          <w:tab w:val="clear" w:pos="720"/>
          <w:tab w:val="num" w:pos="0"/>
        </w:tabs>
        <w:spacing w:before="80" w:after="60"/>
        <w:ind w:left="709" w:hanging="709"/>
      </w:pPr>
      <w:r w:rsidRPr="002E55A6">
        <w:t>The</w:t>
      </w:r>
      <w:r w:rsidRPr="002E55A6">
        <w:rPr>
          <w:lang w:val="en-US"/>
        </w:rPr>
        <w:t xml:space="preserve"> </w:t>
      </w:r>
      <w:r w:rsidRPr="002E55A6">
        <w:t xml:space="preserve">value of the employer’s superannuation contribution must not be paid in cash to a </w:t>
      </w:r>
      <w:r w:rsidR="001B199D" w:rsidRPr="002E55A6">
        <w:t>person appointed to an office</w:t>
      </w:r>
      <w:r w:rsidR="009F7359" w:rsidRPr="002E55A6">
        <w:t xml:space="preserve"> listed</w:t>
      </w:r>
      <w:r w:rsidR="001B199D" w:rsidRPr="002E55A6">
        <w:t xml:space="preserve"> in clause 2.1 of this Determination</w:t>
      </w:r>
      <w:r w:rsidRPr="002E55A6">
        <w:t>.</w:t>
      </w:r>
    </w:p>
    <w:p w14:paraId="0B4F6899" w14:textId="6D0D1FFF" w:rsidR="0069220A" w:rsidRPr="002E55A6" w:rsidRDefault="0069220A" w:rsidP="00031CFC">
      <w:pPr>
        <w:pStyle w:val="Heading3"/>
        <w:keepLines w:val="0"/>
        <w:ind w:left="709" w:hanging="709"/>
        <w:rPr>
          <w:rFonts w:cs="Arial"/>
          <w:szCs w:val="26"/>
        </w:rPr>
      </w:pPr>
      <w:r w:rsidRPr="002E55A6">
        <w:rPr>
          <w:rFonts w:cs="Arial"/>
          <w:szCs w:val="26"/>
        </w:rPr>
        <w:t>Relocation allowance</w:t>
      </w:r>
      <w:r w:rsidR="008B31E7" w:rsidRPr="002E55A6">
        <w:rPr>
          <w:rFonts w:cs="Arial"/>
          <w:szCs w:val="26"/>
        </w:rPr>
        <w:t xml:space="preserve"> </w:t>
      </w:r>
    </w:p>
    <w:p w14:paraId="229EABF2" w14:textId="77777777" w:rsidR="0018623B" w:rsidRPr="002E55A6" w:rsidRDefault="0018623B" w:rsidP="0018623B">
      <w:pPr>
        <w:keepNext/>
        <w:keepLines/>
        <w:numPr>
          <w:ilvl w:val="1"/>
          <w:numId w:val="4"/>
        </w:numPr>
        <w:tabs>
          <w:tab w:val="clear" w:pos="720"/>
          <w:tab w:val="num" w:pos="0"/>
        </w:tabs>
        <w:spacing w:before="80" w:after="60"/>
        <w:ind w:left="709" w:hanging="709"/>
        <w:jc w:val="both"/>
        <w:rPr>
          <w:szCs w:val="24"/>
        </w:rPr>
      </w:pPr>
      <w:r w:rsidRPr="002E55A6">
        <w:rPr>
          <w:szCs w:val="24"/>
        </w:rPr>
        <w:t xml:space="preserve">In this clause, </w:t>
      </w:r>
      <w:r w:rsidRPr="002E55A6">
        <w:rPr>
          <w:b/>
          <w:i/>
          <w:szCs w:val="24"/>
        </w:rPr>
        <w:t>ACT</w:t>
      </w:r>
      <w:r w:rsidRPr="002E55A6">
        <w:rPr>
          <w:szCs w:val="24"/>
        </w:rPr>
        <w:t xml:space="preserve"> means the Australian Capital Territory and its surrounding district, including Queanbeyan.</w:t>
      </w:r>
    </w:p>
    <w:p w14:paraId="3C371DBC" w14:textId="5ADE71D2"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 xml:space="preserve">Relocation allowance is provided to assist an individual with the costs to relocate from their home location to the ACT </w:t>
      </w:r>
      <w:proofErr w:type="gramStart"/>
      <w:r w:rsidRPr="002E55A6">
        <w:rPr>
          <w:szCs w:val="24"/>
        </w:rPr>
        <w:t>in order to</w:t>
      </w:r>
      <w:proofErr w:type="gramEnd"/>
      <w:r w:rsidRPr="002E55A6">
        <w:rPr>
          <w:szCs w:val="24"/>
        </w:rPr>
        <w:t xml:space="preserve"> take up </w:t>
      </w:r>
      <w:r w:rsidR="002E55A6">
        <w:rPr>
          <w:szCs w:val="24"/>
        </w:rPr>
        <w:t>an</w:t>
      </w:r>
      <w:r w:rsidR="002E55A6" w:rsidRPr="002E55A6">
        <w:rPr>
          <w:szCs w:val="24"/>
        </w:rPr>
        <w:t xml:space="preserve"> </w:t>
      </w:r>
      <w:r w:rsidR="002E55A6">
        <w:rPr>
          <w:szCs w:val="24"/>
        </w:rPr>
        <w:t>appointment as a statutory officer holder</w:t>
      </w:r>
      <w:r w:rsidRPr="002E55A6">
        <w:rPr>
          <w:szCs w:val="24"/>
        </w:rPr>
        <w:t xml:space="preserve">.  </w:t>
      </w:r>
    </w:p>
    <w:p w14:paraId="297C7F54" w14:textId="3C639764"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person appointed to an office</w:t>
      </w:r>
      <w:r w:rsidR="00FE1DDA" w:rsidRPr="002E55A6">
        <w:rPr>
          <w:szCs w:val="24"/>
        </w:rPr>
        <w:t xml:space="preserve"> listed</w:t>
      </w:r>
      <w:r w:rsidRPr="002E55A6">
        <w:rPr>
          <w:szCs w:val="24"/>
        </w:rPr>
        <w:t xml:space="preserve"> in clause 2.1 may be reimbursed an amount of up to $55,000, for receipted, reasonable costs of the following:</w:t>
      </w:r>
    </w:p>
    <w:p w14:paraId="282D7EA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packing personal effects and furniture belonging to the person and their </w:t>
      </w:r>
      <w:proofErr w:type="gramStart"/>
      <w:r w:rsidRPr="002E55A6">
        <w:rPr>
          <w:szCs w:val="24"/>
        </w:rPr>
        <w:t>family;</w:t>
      </w:r>
      <w:proofErr w:type="gramEnd"/>
    </w:p>
    <w:p w14:paraId="74617F6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necessary storage of personal effects and </w:t>
      </w:r>
      <w:proofErr w:type="gramStart"/>
      <w:r w:rsidRPr="002E55A6">
        <w:rPr>
          <w:szCs w:val="24"/>
        </w:rPr>
        <w:t>furniture;</w:t>
      </w:r>
      <w:proofErr w:type="gramEnd"/>
    </w:p>
    <w:p w14:paraId="5B624480"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removal costs and associated insurance of personal effects and </w:t>
      </w:r>
      <w:proofErr w:type="gramStart"/>
      <w:r w:rsidRPr="002E55A6">
        <w:rPr>
          <w:szCs w:val="24"/>
        </w:rPr>
        <w:t>furniture;</w:t>
      </w:r>
      <w:proofErr w:type="gramEnd"/>
    </w:p>
    <w:p w14:paraId="63EABC7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unpacking of personal effects and </w:t>
      </w:r>
      <w:proofErr w:type="gramStart"/>
      <w:r w:rsidRPr="002E55A6">
        <w:rPr>
          <w:szCs w:val="24"/>
        </w:rPr>
        <w:t>furniture;</w:t>
      </w:r>
      <w:proofErr w:type="gramEnd"/>
    </w:p>
    <w:p w14:paraId="3F4DE70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costs of travel, accommodation and meals between the former location and the </w:t>
      </w:r>
      <w:proofErr w:type="gramStart"/>
      <w:r w:rsidRPr="002E55A6">
        <w:rPr>
          <w:szCs w:val="24"/>
        </w:rPr>
        <w:t>ACT;</w:t>
      </w:r>
      <w:proofErr w:type="gramEnd"/>
    </w:p>
    <w:p w14:paraId="2AA47BF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temporary accommodation costs at the former location and in the ACT up to a maximum aggregate period of six months, or, in exceptional circumstances, nine months with the approval of the ACT Remuneration Tribunal (Tribunal</w:t>
      </w:r>
      <w:proofErr w:type="gramStart"/>
      <w:r w:rsidRPr="002E55A6">
        <w:rPr>
          <w:szCs w:val="24"/>
        </w:rPr>
        <w:t>);</w:t>
      </w:r>
      <w:proofErr w:type="gramEnd"/>
    </w:p>
    <w:p w14:paraId="033481B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costs of disconnection and reconnection of </w:t>
      </w:r>
      <w:proofErr w:type="gramStart"/>
      <w:r w:rsidRPr="002E55A6">
        <w:rPr>
          <w:szCs w:val="24"/>
        </w:rPr>
        <w:t>utilities;</w:t>
      </w:r>
      <w:proofErr w:type="gramEnd"/>
    </w:p>
    <w:p w14:paraId="1060C17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cost of stamp duty and legal and professional services associated with the sale of the residence at the former location and/or the purchase of a residence or lease on a block of land in the </w:t>
      </w:r>
      <w:proofErr w:type="gramStart"/>
      <w:r w:rsidRPr="002E55A6">
        <w:rPr>
          <w:szCs w:val="24"/>
        </w:rPr>
        <w:t>ACT;</w:t>
      </w:r>
      <w:proofErr w:type="gramEnd"/>
      <w:r w:rsidRPr="002E55A6">
        <w:rPr>
          <w:szCs w:val="24"/>
        </w:rPr>
        <w:t xml:space="preserve"> </w:t>
      </w:r>
    </w:p>
    <w:p w14:paraId="6AEABB5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subject to the specific approval of the Tribunal, any other reasonable expenses necessarily incurred in relocating to the ACT.</w:t>
      </w:r>
    </w:p>
    <w:p w14:paraId="4A22B40E" w14:textId="77777777"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Tribunal may decide to reimburse a higher amount of allowance if the Tribunal agrees</w:t>
      </w:r>
      <w:r w:rsidRPr="002E55A6">
        <w:rPr>
          <w:rFonts w:eastAsia="Calibri"/>
          <w:szCs w:val="24"/>
        </w:rPr>
        <w:t>—</w:t>
      </w:r>
    </w:p>
    <w:p w14:paraId="30624BD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there are unusual or exceptional circumstances; and</w:t>
      </w:r>
    </w:p>
    <w:p w14:paraId="460426E9"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unusual or exceptional circumstances were unforeseen or unable to be dealt with without exceeding $55,000.</w:t>
      </w:r>
    </w:p>
    <w:p w14:paraId="28558E24" w14:textId="5799024D"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a person appointed to an office</w:t>
      </w:r>
      <w:r w:rsidR="009F7359" w:rsidRPr="002E55A6">
        <w:rPr>
          <w:szCs w:val="24"/>
        </w:rPr>
        <w:t xml:space="preserve"> listed</w:t>
      </w:r>
      <w:r w:rsidRPr="002E55A6">
        <w:rPr>
          <w:szCs w:val="24"/>
        </w:rPr>
        <w:t xml:space="preserve"> in clause 2.1 thinks that unusual and exceptional circumstances exist, they may ask the Tribunal to consider the matter and determine whether the maximum relocation allowance can be exceeded.  A request must be in writing and must include</w:t>
      </w:r>
      <w:r w:rsidRPr="002E55A6">
        <w:rPr>
          <w:rFonts w:eastAsia="Calibri"/>
          <w:szCs w:val="24"/>
        </w:rPr>
        <w:t>—</w:t>
      </w:r>
    </w:p>
    <w:p w14:paraId="753AB83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unusual or exceptional circumstances; and</w:t>
      </w:r>
    </w:p>
    <w:p w14:paraId="68BA1E93"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relocation; and</w:t>
      </w:r>
    </w:p>
    <w:p w14:paraId="4733CC5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expenses incurred by the executive; and</w:t>
      </w:r>
    </w:p>
    <w:p w14:paraId="2932DE6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expected total relocation expenses of the executive; and</w:t>
      </w:r>
    </w:p>
    <w:p w14:paraId="1F8AE31F"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level of assistance the executive considers should be provided; and</w:t>
      </w:r>
    </w:p>
    <w:p w14:paraId="2E37DD9A"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any other relevant information.</w:t>
      </w:r>
    </w:p>
    <w:p w14:paraId="303D1F68" w14:textId="025C7C6B"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the person appointed to an office</w:t>
      </w:r>
      <w:r w:rsidR="009F7359" w:rsidRPr="002E55A6">
        <w:rPr>
          <w:szCs w:val="24"/>
        </w:rPr>
        <w:t xml:space="preserve"> listed</w:t>
      </w:r>
      <w:r w:rsidRPr="002E55A6">
        <w:rPr>
          <w:szCs w:val="24"/>
        </w:rPr>
        <w:t xml:space="preserve"> in clause 2.1 terminates their employment with the Territory within twelve months of the date of their engagement, the person </w:t>
      </w:r>
      <w:r w:rsidR="00A53B73" w:rsidRPr="002E55A6">
        <w:rPr>
          <w:szCs w:val="24"/>
        </w:rPr>
        <w:t>may</w:t>
      </w:r>
      <w:r w:rsidRPr="002E55A6">
        <w:rPr>
          <w:szCs w:val="24"/>
        </w:rPr>
        <w:t xml:space="preserve"> be required to repay the following amount:</w:t>
      </w:r>
    </w:p>
    <w:p w14:paraId="33EAB70B" w14:textId="5B2CCF0F"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within six months from the date of their appointment—100% of the amount reimbursed under section </w:t>
      </w:r>
      <w:r w:rsidR="009F7359" w:rsidRPr="002E55A6">
        <w:rPr>
          <w:szCs w:val="24"/>
        </w:rPr>
        <w:t>8</w:t>
      </w:r>
      <w:r w:rsidRPr="002E55A6">
        <w:rPr>
          <w:szCs w:val="24"/>
        </w:rPr>
        <w:t>.3</w:t>
      </w:r>
      <w:r w:rsidR="00F23E72">
        <w:rPr>
          <w:szCs w:val="24"/>
        </w:rPr>
        <w:t xml:space="preserve"> and section </w:t>
      </w:r>
      <w:proofErr w:type="gramStart"/>
      <w:r w:rsidR="00F23E72">
        <w:rPr>
          <w:szCs w:val="24"/>
        </w:rPr>
        <w:t>8.4</w:t>
      </w:r>
      <w:r w:rsidRPr="002E55A6">
        <w:rPr>
          <w:szCs w:val="24"/>
        </w:rPr>
        <w:t>;</w:t>
      </w:r>
      <w:proofErr w:type="gramEnd"/>
      <w:r w:rsidRPr="002E55A6">
        <w:rPr>
          <w:szCs w:val="24"/>
        </w:rPr>
        <w:t xml:space="preserve"> </w:t>
      </w:r>
    </w:p>
    <w:p w14:paraId="4E7CE7CE" w14:textId="7A91F0F0"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more than six months and less than twelve months from the date of their appointment—50% of the amount reimbursed under section </w:t>
      </w:r>
      <w:r w:rsidR="009F7359" w:rsidRPr="002E55A6">
        <w:rPr>
          <w:szCs w:val="24"/>
        </w:rPr>
        <w:t>8</w:t>
      </w:r>
      <w:r w:rsidRPr="002E55A6">
        <w:rPr>
          <w:szCs w:val="24"/>
        </w:rPr>
        <w:t>.3</w:t>
      </w:r>
      <w:r w:rsidR="00F23E72">
        <w:rPr>
          <w:szCs w:val="24"/>
        </w:rPr>
        <w:t xml:space="preserve"> and section 8.4</w:t>
      </w:r>
      <w:r w:rsidRPr="002E55A6">
        <w:rPr>
          <w:szCs w:val="24"/>
        </w:rPr>
        <w:t>.</w:t>
      </w:r>
    </w:p>
    <w:p w14:paraId="77654E42" w14:textId="1EEDC9F7" w:rsidR="009458C6" w:rsidRPr="002E55A6" w:rsidRDefault="0018623B" w:rsidP="0018623B">
      <w:pPr>
        <w:spacing w:before="80" w:after="60"/>
        <w:ind w:left="709"/>
        <w:rPr>
          <w:szCs w:val="24"/>
        </w:rPr>
      </w:pPr>
      <w:r w:rsidRPr="002E55A6">
        <w:rPr>
          <w:szCs w:val="24"/>
        </w:rPr>
        <w:t>Note: Relocation allowance does not apply to any expenses incurred at the conclusion of employment with the Territory.</w:t>
      </w:r>
    </w:p>
    <w:p w14:paraId="2A4D3012" w14:textId="77777777" w:rsidR="001B199D" w:rsidRPr="002E55A6" w:rsidRDefault="001B199D" w:rsidP="001B199D">
      <w:pPr>
        <w:pStyle w:val="Heading3"/>
        <w:keepLines w:val="0"/>
        <w:ind w:left="709" w:hanging="709"/>
        <w:rPr>
          <w:rFonts w:cs="Arial"/>
          <w:szCs w:val="26"/>
        </w:rPr>
      </w:pPr>
      <w:r w:rsidRPr="002E55A6">
        <w:rPr>
          <w:rFonts w:cs="Arial"/>
          <w:szCs w:val="26"/>
        </w:rPr>
        <w:t>Other entitlements</w:t>
      </w:r>
    </w:p>
    <w:p w14:paraId="6E39EAB1" w14:textId="01902E9D" w:rsidR="001B199D" w:rsidRPr="002E55A6" w:rsidRDefault="001B199D" w:rsidP="001B199D">
      <w:pPr>
        <w:numPr>
          <w:ilvl w:val="1"/>
          <w:numId w:val="4"/>
        </w:numPr>
        <w:tabs>
          <w:tab w:val="clear" w:pos="720"/>
        </w:tabs>
        <w:spacing w:before="80" w:after="60"/>
        <w:ind w:left="709" w:hanging="709"/>
        <w:rPr>
          <w:szCs w:val="24"/>
          <w:lang w:val="en-US"/>
        </w:rPr>
      </w:pPr>
      <w:r w:rsidRPr="002E55A6">
        <w:rPr>
          <w:szCs w:val="24"/>
        </w:rPr>
        <w:t xml:space="preserve">For the avoidance of doubt, under section 115 of the </w:t>
      </w:r>
      <w:r w:rsidRPr="002E55A6">
        <w:rPr>
          <w:i/>
          <w:szCs w:val="24"/>
        </w:rPr>
        <w:t>Public Sector Management Standards 2016</w:t>
      </w:r>
      <w:r w:rsidRPr="002E55A6">
        <w:rPr>
          <w:szCs w:val="24"/>
        </w:rPr>
        <w:t xml:space="preserve">, the following provisions of the </w:t>
      </w:r>
      <w:r w:rsidRPr="002E55A6">
        <w:rPr>
          <w:i/>
          <w:szCs w:val="24"/>
        </w:rPr>
        <w:t>Public Sector Management Standards 2006 (repealed)</w:t>
      </w:r>
      <w:r w:rsidRPr="002E55A6">
        <w:rPr>
          <w:szCs w:val="24"/>
        </w:rPr>
        <w:t xml:space="preserve"> continue to apply in relation to a person appointed to an </w:t>
      </w:r>
      <w:r w:rsidR="009F7359" w:rsidRPr="002E55A6">
        <w:rPr>
          <w:szCs w:val="24"/>
        </w:rPr>
        <w:t xml:space="preserve">office listed </w:t>
      </w:r>
      <w:r w:rsidRPr="002E55A6">
        <w:rPr>
          <w:szCs w:val="24"/>
        </w:rPr>
        <w:t>in clause 2.1 of this Determination:</w:t>
      </w:r>
    </w:p>
    <w:p w14:paraId="3EED856E" w14:textId="77777777" w:rsidR="001B199D" w:rsidRPr="002E55A6" w:rsidRDefault="001B199D" w:rsidP="001B199D">
      <w:pPr>
        <w:numPr>
          <w:ilvl w:val="2"/>
          <w:numId w:val="4"/>
        </w:numPr>
        <w:tabs>
          <w:tab w:val="clear" w:pos="720"/>
        </w:tabs>
        <w:spacing w:after="60"/>
        <w:ind w:left="1134" w:hanging="436"/>
      </w:pPr>
      <w:r w:rsidRPr="002E55A6">
        <w:t>part 3.6 (recognition of prior service on appointment or engagement</w:t>
      </w:r>
      <w:proofErr w:type="gramStart"/>
      <w:r w:rsidRPr="002E55A6">
        <w:t>);</w:t>
      </w:r>
      <w:proofErr w:type="gramEnd"/>
    </w:p>
    <w:p w14:paraId="3924B3FD" w14:textId="77777777" w:rsidR="001B199D" w:rsidRPr="002E55A6" w:rsidRDefault="001B199D" w:rsidP="001B199D">
      <w:pPr>
        <w:numPr>
          <w:ilvl w:val="2"/>
          <w:numId w:val="4"/>
        </w:numPr>
        <w:tabs>
          <w:tab w:val="clear" w:pos="720"/>
        </w:tabs>
        <w:spacing w:after="60"/>
        <w:ind w:left="1134" w:hanging="436"/>
      </w:pPr>
      <w:r w:rsidRPr="002E55A6">
        <w:t>part 4.1 (continuity of service</w:t>
      </w:r>
      <w:proofErr w:type="gramStart"/>
      <w:r w:rsidRPr="002E55A6">
        <w:t>);</w:t>
      </w:r>
      <w:proofErr w:type="gramEnd"/>
    </w:p>
    <w:p w14:paraId="5019C162" w14:textId="77777777" w:rsidR="001B199D" w:rsidRPr="002E55A6" w:rsidRDefault="001B199D" w:rsidP="001B199D">
      <w:pPr>
        <w:numPr>
          <w:ilvl w:val="2"/>
          <w:numId w:val="4"/>
        </w:numPr>
        <w:tabs>
          <w:tab w:val="clear" w:pos="720"/>
        </w:tabs>
        <w:spacing w:after="60"/>
        <w:ind w:left="1134" w:hanging="436"/>
      </w:pPr>
      <w:r w:rsidRPr="002E55A6">
        <w:t>part 5.5 (payment in lieu of entitlements on cessation of employment or death</w:t>
      </w:r>
      <w:proofErr w:type="gramStart"/>
      <w:r w:rsidRPr="002E55A6">
        <w:t>);</w:t>
      </w:r>
      <w:proofErr w:type="gramEnd"/>
    </w:p>
    <w:p w14:paraId="71A2C94A" w14:textId="039E6FBD" w:rsidR="001B199D" w:rsidRPr="002E55A6" w:rsidRDefault="001B199D" w:rsidP="001B199D">
      <w:pPr>
        <w:numPr>
          <w:ilvl w:val="2"/>
          <w:numId w:val="4"/>
        </w:numPr>
        <w:tabs>
          <w:tab w:val="clear" w:pos="720"/>
        </w:tabs>
        <w:spacing w:after="60"/>
        <w:ind w:left="1134" w:hanging="436"/>
      </w:pPr>
      <w:r w:rsidRPr="002E55A6">
        <w:t>part 9.4 (statutory office-holder financial entitlements); and</w:t>
      </w:r>
    </w:p>
    <w:p w14:paraId="0D110802" w14:textId="77777777" w:rsidR="001B199D" w:rsidRPr="002E55A6" w:rsidRDefault="001B199D" w:rsidP="001B199D">
      <w:pPr>
        <w:numPr>
          <w:ilvl w:val="2"/>
          <w:numId w:val="4"/>
        </w:numPr>
        <w:tabs>
          <w:tab w:val="clear" w:pos="720"/>
        </w:tabs>
        <w:spacing w:after="60"/>
        <w:ind w:left="1134" w:hanging="436"/>
      </w:pPr>
      <w:r w:rsidRPr="002E55A6">
        <w:t xml:space="preserve">part 9.6 (executive employee and statutory </w:t>
      </w:r>
      <w:proofErr w:type="gramStart"/>
      <w:r w:rsidRPr="002E55A6">
        <w:t>office-holder</w:t>
      </w:r>
      <w:proofErr w:type="gramEnd"/>
      <w:r w:rsidRPr="002E55A6">
        <w:t xml:space="preserve"> leave and other entitlements).</w:t>
      </w:r>
    </w:p>
    <w:p w14:paraId="26493EC9" w14:textId="5AAA10FC" w:rsidR="00202CC1" w:rsidRPr="002E55A6" w:rsidRDefault="00867F9A" w:rsidP="00752AFC">
      <w:pPr>
        <w:numPr>
          <w:ilvl w:val="1"/>
          <w:numId w:val="4"/>
        </w:numPr>
        <w:tabs>
          <w:tab w:val="clear" w:pos="720"/>
        </w:tabs>
        <w:spacing w:before="80" w:after="60"/>
        <w:ind w:left="709" w:hanging="709"/>
      </w:pPr>
      <w:r w:rsidRPr="002E55A6">
        <w:t xml:space="preserve">Leave entitlements, salary sacrifice arrangements and vacation childcare subsidy are provided to executives under Division 5.6 of the </w:t>
      </w:r>
      <w:r w:rsidRPr="00896D1B">
        <w:rPr>
          <w:i/>
          <w:iCs/>
        </w:rPr>
        <w:t>Public Sector Management Standards 2016</w:t>
      </w:r>
      <w:r w:rsidRPr="002E55A6">
        <w:t>, as amended from time to time.</w:t>
      </w:r>
    </w:p>
    <w:p w14:paraId="2AB5DD52" w14:textId="703150F7" w:rsidR="0069220A" w:rsidRPr="002E55A6" w:rsidRDefault="0069220A" w:rsidP="00031CFC">
      <w:pPr>
        <w:pStyle w:val="Heading3"/>
        <w:keepLines w:val="0"/>
        <w:ind w:left="709" w:hanging="709"/>
        <w:rPr>
          <w:rFonts w:cs="Arial"/>
          <w:szCs w:val="26"/>
        </w:rPr>
      </w:pPr>
      <w:r w:rsidRPr="002E55A6">
        <w:rPr>
          <w:rFonts w:cs="Arial"/>
          <w:szCs w:val="26"/>
        </w:rPr>
        <w:t xml:space="preserve">Travelling </w:t>
      </w:r>
      <w:r w:rsidR="00DB27EE" w:rsidRPr="002E55A6">
        <w:rPr>
          <w:rFonts w:cs="Arial"/>
          <w:szCs w:val="26"/>
        </w:rPr>
        <w:t>arrangements</w:t>
      </w:r>
    </w:p>
    <w:p w14:paraId="1DF86B95" w14:textId="77777777" w:rsidR="0069220A" w:rsidRPr="002E55A6" w:rsidRDefault="0069220A" w:rsidP="0069220A">
      <w:pPr>
        <w:numPr>
          <w:ilvl w:val="1"/>
          <w:numId w:val="4"/>
        </w:numPr>
        <w:tabs>
          <w:tab w:val="clear" w:pos="720"/>
          <w:tab w:val="num" w:pos="0"/>
        </w:tabs>
        <w:spacing w:before="80" w:after="60"/>
        <w:ind w:left="709" w:hanging="709"/>
      </w:pPr>
      <w:r w:rsidRPr="002E55A6">
        <w:t>In this clause:</w:t>
      </w:r>
    </w:p>
    <w:p w14:paraId="7377BE00" w14:textId="77777777" w:rsidR="00B4120B" w:rsidRPr="002E55A6" w:rsidRDefault="00B4120B" w:rsidP="009F419B">
      <w:pPr>
        <w:pStyle w:val="Heading3"/>
        <w:numPr>
          <w:ilvl w:val="0"/>
          <w:numId w:val="0"/>
        </w:numPr>
        <w:ind w:left="720"/>
      </w:pPr>
      <w:r w:rsidRPr="002E55A6">
        <w:rPr>
          <w:i/>
        </w:rPr>
        <w:t>home base</w:t>
      </w:r>
      <w:r w:rsidRPr="002E55A6">
        <w:t xml:space="preserve"> </w:t>
      </w:r>
      <w:r w:rsidRPr="002E55A6">
        <w:rPr>
          <w:b w:val="0"/>
        </w:rPr>
        <w:t>means the town or city in which the traveller’s principal place of residence is located.</w:t>
      </w:r>
    </w:p>
    <w:p w14:paraId="5E43EFF8" w14:textId="77777777" w:rsidR="0069220A" w:rsidRPr="002E55A6" w:rsidRDefault="0069220A" w:rsidP="009F419B">
      <w:pPr>
        <w:spacing w:before="80"/>
        <w:ind w:left="709"/>
      </w:pPr>
      <w:r w:rsidRPr="002E55A6">
        <w:rPr>
          <w:b/>
          <w:i/>
        </w:rPr>
        <w:t>domestic travel</w:t>
      </w:r>
      <w:r w:rsidRPr="002E55A6">
        <w:t xml:space="preserve"> means official travel to a destination within Australia.</w:t>
      </w:r>
    </w:p>
    <w:p w14:paraId="6F59E9D0" w14:textId="77777777" w:rsidR="0069220A" w:rsidRPr="002E55A6" w:rsidRDefault="0069220A" w:rsidP="009F419B">
      <w:pPr>
        <w:spacing w:before="80"/>
        <w:ind w:left="709"/>
      </w:pPr>
      <w:r w:rsidRPr="002E55A6">
        <w:rPr>
          <w:b/>
          <w:i/>
        </w:rPr>
        <w:t>international travel</w:t>
      </w:r>
      <w:r w:rsidRPr="002E55A6">
        <w:t xml:space="preserve"> means official travel to a destination outside Australia.</w:t>
      </w:r>
    </w:p>
    <w:p w14:paraId="676BBFE7" w14:textId="77777777" w:rsidR="0069220A" w:rsidRPr="002E55A6" w:rsidRDefault="0069220A" w:rsidP="009F419B">
      <w:pPr>
        <w:spacing w:before="80" w:after="60"/>
        <w:ind w:left="709"/>
      </w:pPr>
      <w:r w:rsidRPr="002E55A6">
        <w:rPr>
          <w:b/>
          <w:i/>
        </w:rPr>
        <w:t xml:space="preserve">reasonable expenses </w:t>
      </w:r>
      <w:proofErr w:type="gramStart"/>
      <w:r w:rsidRPr="002E55A6">
        <w:t>means</w:t>
      </w:r>
      <w:proofErr w:type="gramEnd"/>
      <w:r w:rsidRPr="002E55A6">
        <w:t xml:space="preserve"> legitimate work-related expenses incurred while conducting official business efficiently and effectively.</w:t>
      </w:r>
    </w:p>
    <w:p w14:paraId="2BADFE20" w14:textId="4A590F1D" w:rsidR="00DB27EE" w:rsidRPr="002E55A6" w:rsidRDefault="00DB27EE" w:rsidP="009F419B">
      <w:pPr>
        <w:spacing w:before="80" w:after="60"/>
        <w:ind w:left="709"/>
      </w:pPr>
      <w:r w:rsidRPr="002E55A6">
        <w:rPr>
          <w:b/>
          <w:i/>
        </w:rPr>
        <w:t xml:space="preserve">traveller </w:t>
      </w:r>
      <w:r w:rsidRPr="002E55A6">
        <w:t xml:space="preserve">means a person, appointed </w:t>
      </w:r>
      <w:r w:rsidR="009F7359" w:rsidRPr="002E55A6">
        <w:t>to an office listed in</w:t>
      </w:r>
      <w:r w:rsidRPr="002E55A6">
        <w:t xml:space="preserve"> clause 2.1 of this Determination, who is travelling away from their normal place of work for official purposes.</w:t>
      </w:r>
    </w:p>
    <w:p w14:paraId="33604030" w14:textId="77777777" w:rsidR="00B4120B" w:rsidRPr="002E55A6" w:rsidRDefault="00B4120B" w:rsidP="00B4120B">
      <w:pPr>
        <w:numPr>
          <w:ilvl w:val="1"/>
          <w:numId w:val="4"/>
        </w:numPr>
        <w:tabs>
          <w:tab w:val="clear" w:pos="720"/>
          <w:tab w:val="num" w:pos="0"/>
        </w:tabs>
        <w:spacing w:before="80" w:after="60"/>
        <w:ind w:left="709" w:hanging="709"/>
      </w:pPr>
      <w:r w:rsidRPr="002E55A6">
        <w:t>If a traveller is required to travel for official purposes, the employer must pay the cost of the transport and accommodation expenses outlined below. The reasonable amounts set out in the relevant Australian Taxation Office Determination</w:t>
      </w:r>
      <w:r w:rsidRPr="00E94B98">
        <w:rPr>
          <w:rStyle w:val="FootnoteReference"/>
          <w:rFonts w:ascii="Calibri" w:hAnsi="Calibri" w:cs="Calibri"/>
        </w:rPr>
        <w:footnoteReference w:id="4"/>
      </w:r>
      <w:r w:rsidRPr="002E55A6">
        <w:rPr>
          <w:rFonts w:asciiTheme="minorHAnsi" w:hAnsiTheme="minorHAnsi"/>
        </w:rPr>
        <w:t xml:space="preserve"> </w:t>
      </w:r>
      <w:r w:rsidRPr="002E55A6">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1DAADB47" w:rsidR="0069220A" w:rsidRPr="002E55A6" w:rsidRDefault="00DB27EE" w:rsidP="00835A36">
      <w:pPr>
        <w:numPr>
          <w:ilvl w:val="1"/>
          <w:numId w:val="4"/>
        </w:numPr>
        <w:tabs>
          <w:tab w:val="clear" w:pos="720"/>
          <w:tab w:val="num" w:pos="0"/>
        </w:tabs>
        <w:spacing w:before="80" w:after="60"/>
        <w:ind w:left="709" w:hanging="709"/>
      </w:pPr>
      <w:r w:rsidRPr="002E55A6">
        <w:t>All reasonable expenses incurred by a traveller can be reimbursed. It is the intention of these travel arrangements</w:t>
      </w:r>
      <w:r w:rsidRPr="002E55A6">
        <w:rPr>
          <w:rFonts w:eastAsia="Calibri"/>
          <w:szCs w:val="24"/>
        </w:rPr>
        <w:t xml:space="preserve"> that no traveller who travels for official purposes should be out of pocket, however they must be reasonable expenses. </w:t>
      </w:r>
    </w:p>
    <w:p w14:paraId="10FB0937" w14:textId="77777777" w:rsidR="0069220A" w:rsidRPr="002E55A6" w:rsidRDefault="0069220A" w:rsidP="00031CFC">
      <w:pPr>
        <w:pStyle w:val="Heading3"/>
        <w:keepLines w:val="0"/>
        <w:ind w:left="709" w:hanging="709"/>
        <w:rPr>
          <w:rFonts w:cs="Arial"/>
          <w:szCs w:val="26"/>
        </w:rPr>
      </w:pPr>
      <w:r w:rsidRPr="002E55A6">
        <w:rPr>
          <w:rFonts w:cs="Arial"/>
          <w:szCs w:val="26"/>
        </w:rPr>
        <w:t>Travel</w:t>
      </w:r>
    </w:p>
    <w:p w14:paraId="099D2D2B" w14:textId="77777777" w:rsidR="00DB27EE" w:rsidRPr="002E55A6" w:rsidRDefault="00DB27EE" w:rsidP="00DB27EE">
      <w:pPr>
        <w:numPr>
          <w:ilvl w:val="1"/>
          <w:numId w:val="4"/>
        </w:numPr>
        <w:tabs>
          <w:tab w:val="clear" w:pos="720"/>
          <w:tab w:val="num" w:pos="0"/>
        </w:tabs>
        <w:spacing w:before="80" w:after="60"/>
        <w:ind w:left="709" w:hanging="709"/>
      </w:pPr>
      <w:r w:rsidRPr="002E55A6">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Pr="002E55A6" w:rsidRDefault="0069220A" w:rsidP="0069220A">
      <w:pPr>
        <w:numPr>
          <w:ilvl w:val="1"/>
          <w:numId w:val="4"/>
        </w:numPr>
        <w:tabs>
          <w:tab w:val="clear" w:pos="720"/>
          <w:tab w:val="num" w:pos="0"/>
        </w:tabs>
        <w:spacing w:before="80" w:after="60"/>
        <w:ind w:left="709" w:hanging="709"/>
      </w:pPr>
      <w:r w:rsidRPr="002E55A6">
        <w:t xml:space="preserve">A </w:t>
      </w:r>
      <w:r w:rsidR="00DB27EE" w:rsidRPr="002E55A6">
        <w:t>traveller</w:t>
      </w:r>
      <w:r w:rsidRPr="002E55A6">
        <w:t xml:space="preserve"> may travel by one or more of the following:</w:t>
      </w:r>
    </w:p>
    <w:p w14:paraId="73A8654B" w14:textId="77777777" w:rsidR="0069220A" w:rsidRPr="002E55A6" w:rsidRDefault="0069220A" w:rsidP="0069220A">
      <w:pPr>
        <w:numPr>
          <w:ilvl w:val="2"/>
          <w:numId w:val="4"/>
        </w:numPr>
        <w:tabs>
          <w:tab w:val="clear" w:pos="720"/>
        </w:tabs>
        <w:spacing w:after="60"/>
        <w:ind w:left="1134" w:hanging="436"/>
      </w:pPr>
      <w:r w:rsidRPr="002E55A6">
        <w:t xml:space="preserve">commercially provided road or rail </w:t>
      </w:r>
      <w:proofErr w:type="gramStart"/>
      <w:r w:rsidRPr="002E55A6">
        <w:t>transport;</w:t>
      </w:r>
      <w:proofErr w:type="gramEnd"/>
      <w:r w:rsidRPr="002E55A6">
        <w:t xml:space="preserve"> </w:t>
      </w:r>
    </w:p>
    <w:p w14:paraId="1E42DAD2" w14:textId="77777777" w:rsidR="0069220A" w:rsidRPr="002E55A6" w:rsidRDefault="0069220A" w:rsidP="0069220A">
      <w:pPr>
        <w:numPr>
          <w:ilvl w:val="2"/>
          <w:numId w:val="4"/>
        </w:numPr>
        <w:tabs>
          <w:tab w:val="clear" w:pos="720"/>
        </w:tabs>
        <w:spacing w:after="60"/>
        <w:ind w:left="1134" w:hanging="436"/>
      </w:pPr>
      <w:r w:rsidRPr="002E55A6">
        <w:t xml:space="preserve">commercially provided </w:t>
      </w:r>
      <w:proofErr w:type="gramStart"/>
      <w:r w:rsidRPr="002E55A6">
        <w:t>flights;</w:t>
      </w:r>
      <w:proofErr w:type="gramEnd"/>
    </w:p>
    <w:p w14:paraId="05D16569" w14:textId="77777777" w:rsidR="0069220A" w:rsidRPr="002E55A6" w:rsidRDefault="0069220A" w:rsidP="0069220A">
      <w:pPr>
        <w:numPr>
          <w:ilvl w:val="2"/>
          <w:numId w:val="4"/>
        </w:numPr>
        <w:tabs>
          <w:tab w:val="clear" w:pos="720"/>
        </w:tabs>
        <w:spacing w:after="60"/>
        <w:ind w:left="1134" w:hanging="436"/>
      </w:pPr>
      <w:r w:rsidRPr="002E55A6">
        <w:t>private motor vehicle.</w:t>
      </w:r>
    </w:p>
    <w:p w14:paraId="4D2C2CAF" w14:textId="77777777" w:rsidR="0069220A" w:rsidRPr="002E55A6" w:rsidRDefault="0069220A" w:rsidP="0069220A">
      <w:pPr>
        <w:numPr>
          <w:ilvl w:val="1"/>
          <w:numId w:val="4"/>
        </w:numPr>
        <w:tabs>
          <w:tab w:val="clear" w:pos="720"/>
          <w:tab w:val="num" w:pos="0"/>
        </w:tabs>
        <w:spacing w:before="80" w:after="60"/>
        <w:ind w:left="709" w:hanging="709"/>
      </w:pPr>
      <w:r w:rsidRPr="002E55A6">
        <w:t xml:space="preserve">Commercially provided travel should be selected </w:t>
      </w:r>
      <w:proofErr w:type="gramStart"/>
      <w:r w:rsidRPr="002E55A6">
        <w:t>on the basis of</w:t>
      </w:r>
      <w:proofErr w:type="gramEnd"/>
      <w:r w:rsidRPr="002E55A6">
        <w:rPr>
          <w:rFonts w:eastAsia="Calibri"/>
          <w:szCs w:val="24"/>
        </w:rPr>
        <w:t>—</w:t>
      </w:r>
    </w:p>
    <w:p w14:paraId="32BB109D" w14:textId="3CC0FD34" w:rsidR="0069220A" w:rsidRPr="002E55A6" w:rsidRDefault="0069220A" w:rsidP="0069220A">
      <w:pPr>
        <w:numPr>
          <w:ilvl w:val="2"/>
          <w:numId w:val="4"/>
        </w:numPr>
        <w:tabs>
          <w:tab w:val="clear" w:pos="720"/>
        </w:tabs>
        <w:spacing w:after="60"/>
        <w:ind w:left="1134" w:hanging="436"/>
      </w:pPr>
      <w:r w:rsidRPr="002E55A6">
        <w:t xml:space="preserve">what is most convenient to the </w:t>
      </w:r>
      <w:r w:rsidR="00DB27EE" w:rsidRPr="002E55A6">
        <w:t>person</w:t>
      </w:r>
      <w:r w:rsidRPr="002E55A6">
        <w:t>; and</w:t>
      </w:r>
    </w:p>
    <w:p w14:paraId="4D79251C" w14:textId="77777777" w:rsidR="0069220A" w:rsidRPr="002E55A6" w:rsidRDefault="0069220A" w:rsidP="0069220A">
      <w:pPr>
        <w:numPr>
          <w:ilvl w:val="2"/>
          <w:numId w:val="4"/>
        </w:numPr>
        <w:tabs>
          <w:tab w:val="clear" w:pos="720"/>
        </w:tabs>
        <w:spacing w:after="60"/>
        <w:ind w:left="1134" w:hanging="436"/>
      </w:pPr>
      <w:r w:rsidRPr="002E55A6">
        <w:t>seeking the most reasonable costs.</w:t>
      </w:r>
    </w:p>
    <w:p w14:paraId="3B91875A" w14:textId="52BE9B84"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travels on commercially provided road or rail transport the employer will pay the fares for that travel.</w:t>
      </w:r>
    </w:p>
    <w:p w14:paraId="59025BEA" w14:textId="7560F8CE" w:rsidR="00DB27EE" w:rsidRPr="002E55A6" w:rsidRDefault="00DB27EE" w:rsidP="00DB27EE">
      <w:pPr>
        <w:numPr>
          <w:ilvl w:val="1"/>
          <w:numId w:val="4"/>
        </w:numPr>
        <w:tabs>
          <w:tab w:val="clear" w:pos="720"/>
          <w:tab w:val="num" w:pos="0"/>
        </w:tabs>
        <w:spacing w:before="80" w:after="60"/>
        <w:ind w:left="709" w:hanging="709"/>
      </w:pPr>
      <w:r w:rsidRPr="002E55A6">
        <w:t>A traveller must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Pr="002E55A6" w:rsidRDefault="0069220A" w:rsidP="0069220A">
      <w:pPr>
        <w:keepNext/>
        <w:keepLines/>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travels on commercially provided flights the employer will pay the fares to the following standard:</w:t>
      </w:r>
    </w:p>
    <w:p w14:paraId="47FBAC11"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less than 4 hours</w:t>
      </w:r>
      <w:r w:rsidRPr="002E55A6">
        <w:rPr>
          <w:rFonts w:eastAsia="Calibri"/>
          <w:szCs w:val="24"/>
        </w:rPr>
        <w:t xml:space="preserve">—economy </w:t>
      </w:r>
      <w:proofErr w:type="gramStart"/>
      <w:r w:rsidRPr="002E55A6">
        <w:rPr>
          <w:rFonts w:eastAsia="Calibri"/>
          <w:szCs w:val="24"/>
        </w:rPr>
        <w:t>class;</w:t>
      </w:r>
      <w:proofErr w:type="gramEnd"/>
    </w:p>
    <w:p w14:paraId="1D04F5E0"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of 4 hours or more</w:t>
      </w:r>
      <w:r w:rsidRPr="002E55A6">
        <w:rPr>
          <w:rFonts w:eastAsia="Calibri"/>
          <w:szCs w:val="24"/>
        </w:rPr>
        <w:t xml:space="preserve">—business </w:t>
      </w:r>
      <w:proofErr w:type="gramStart"/>
      <w:r w:rsidRPr="002E55A6">
        <w:rPr>
          <w:rFonts w:eastAsia="Calibri"/>
          <w:szCs w:val="24"/>
        </w:rPr>
        <w:t>class;</w:t>
      </w:r>
      <w:proofErr w:type="gramEnd"/>
    </w:p>
    <w:p w14:paraId="625942DA" w14:textId="77777777" w:rsidR="0069220A" w:rsidRPr="002E55A6" w:rsidRDefault="0069220A" w:rsidP="0069220A">
      <w:pPr>
        <w:keepNext/>
        <w:keepLines/>
        <w:numPr>
          <w:ilvl w:val="2"/>
          <w:numId w:val="4"/>
        </w:numPr>
        <w:tabs>
          <w:tab w:val="clear" w:pos="720"/>
        </w:tabs>
        <w:spacing w:after="60"/>
        <w:ind w:left="1134" w:hanging="436"/>
      </w:pPr>
      <w:r w:rsidRPr="002E55A6">
        <w:rPr>
          <w:rFonts w:eastAsia="Calibri"/>
          <w:szCs w:val="24"/>
        </w:rPr>
        <w:t>for international flights—business class.</w:t>
      </w:r>
    </w:p>
    <w:p w14:paraId="1566930B" w14:textId="7562F174"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has approval to travel by private motor vehicle, the employer will pay the owner of the vehicle an allowance calculated in accordance with the Motor Vehicle Allowance set out in the </w:t>
      </w:r>
      <w:bookmarkStart w:id="11" w:name="_Hlk23240194"/>
      <w:r w:rsidR="009F7359" w:rsidRPr="002E55A6">
        <w:rPr>
          <w:rFonts w:cs="Calibri"/>
          <w:bCs/>
          <w:i/>
        </w:rPr>
        <w:t>ACT Public Sector Administrative and Related Classifications Enterprise Agreement 20</w:t>
      </w:r>
      <w:r w:rsidR="0039634A">
        <w:rPr>
          <w:rFonts w:cs="Calibri"/>
          <w:bCs/>
          <w:i/>
        </w:rPr>
        <w:t>21</w:t>
      </w:r>
      <w:r w:rsidR="009F7359" w:rsidRPr="002E55A6">
        <w:rPr>
          <w:rFonts w:cs="Calibri"/>
          <w:bCs/>
          <w:i/>
        </w:rPr>
        <w:t xml:space="preserve"> – 202</w:t>
      </w:r>
      <w:bookmarkEnd w:id="11"/>
      <w:r w:rsidR="0039634A">
        <w:rPr>
          <w:rFonts w:cs="Calibri"/>
          <w:bCs/>
          <w:i/>
        </w:rPr>
        <w:t>2</w:t>
      </w:r>
      <w:r w:rsidR="00DB27EE" w:rsidRPr="002E55A6">
        <w:t>, or its replacement</w:t>
      </w:r>
      <w:r w:rsidRPr="002E55A6">
        <w:t>.</w:t>
      </w:r>
    </w:p>
    <w:p w14:paraId="1B23CB6A" w14:textId="77777777" w:rsidR="0069220A" w:rsidRPr="002E55A6" w:rsidRDefault="0069220A" w:rsidP="00031CFC">
      <w:pPr>
        <w:pStyle w:val="Heading3"/>
        <w:keepLines w:val="0"/>
        <w:ind w:left="709" w:hanging="709"/>
        <w:rPr>
          <w:rFonts w:cs="Arial"/>
          <w:szCs w:val="26"/>
        </w:rPr>
      </w:pPr>
      <w:r w:rsidRPr="002E55A6">
        <w:rPr>
          <w:rFonts w:cs="Arial"/>
          <w:szCs w:val="26"/>
        </w:rPr>
        <w:t>Accommodation</w:t>
      </w:r>
    </w:p>
    <w:p w14:paraId="473F60BF" w14:textId="2FBAFFCE" w:rsidR="0069220A" w:rsidRPr="002E55A6" w:rsidRDefault="00DB27EE" w:rsidP="0069220A">
      <w:pPr>
        <w:numPr>
          <w:ilvl w:val="1"/>
          <w:numId w:val="4"/>
        </w:numPr>
        <w:tabs>
          <w:tab w:val="clear" w:pos="720"/>
          <w:tab w:val="num" w:pos="0"/>
        </w:tabs>
        <w:spacing w:before="80" w:after="60"/>
        <w:ind w:left="709" w:hanging="709"/>
      </w:pPr>
      <w:r w:rsidRPr="002E55A6">
        <w:t xml:space="preserve">It is standard practice that where an executive traveller </w:t>
      </w:r>
      <w:r w:rsidR="0069220A" w:rsidRPr="002E55A6">
        <w:t>must stay overnight while on official travel, the employer will pay for commercial accommodation to the following standard:</w:t>
      </w:r>
    </w:p>
    <w:p w14:paraId="656F64EA" w14:textId="77777777" w:rsidR="0069220A" w:rsidRPr="002E55A6" w:rsidRDefault="0069220A" w:rsidP="0069220A">
      <w:pPr>
        <w:numPr>
          <w:ilvl w:val="2"/>
          <w:numId w:val="4"/>
        </w:numPr>
        <w:tabs>
          <w:tab w:val="clear" w:pos="720"/>
        </w:tabs>
        <w:spacing w:after="60"/>
        <w:ind w:left="1134" w:hanging="436"/>
      </w:pPr>
      <w:r w:rsidRPr="002E55A6">
        <w:t>for domestic accommodation</w:t>
      </w:r>
      <w:r w:rsidRPr="002E55A6">
        <w:rPr>
          <w:rFonts w:eastAsia="Calibri"/>
          <w:szCs w:val="24"/>
        </w:rPr>
        <w:t xml:space="preserve">—4.5 </w:t>
      </w:r>
      <w:proofErr w:type="gramStart"/>
      <w:r w:rsidRPr="002E55A6">
        <w:rPr>
          <w:rFonts w:eastAsia="Calibri"/>
          <w:szCs w:val="24"/>
        </w:rPr>
        <w:t>stars;</w:t>
      </w:r>
      <w:proofErr w:type="gramEnd"/>
    </w:p>
    <w:p w14:paraId="7D7F4390" w14:textId="0DD2C6EF" w:rsidR="0069220A" w:rsidRPr="002E55A6" w:rsidRDefault="0069220A" w:rsidP="0069220A">
      <w:pPr>
        <w:numPr>
          <w:ilvl w:val="2"/>
          <w:numId w:val="4"/>
        </w:numPr>
        <w:tabs>
          <w:tab w:val="clear" w:pos="720"/>
        </w:tabs>
        <w:spacing w:after="60"/>
        <w:ind w:left="1134" w:hanging="436"/>
      </w:pPr>
      <w:r w:rsidRPr="002E55A6">
        <w:t>for international accom</w:t>
      </w:r>
      <w:r w:rsidR="00A2357D" w:rsidRPr="002E55A6">
        <w:t>mo</w:t>
      </w:r>
      <w:r w:rsidRPr="002E55A6">
        <w:t>dation</w:t>
      </w:r>
      <w:r w:rsidRPr="002E55A6">
        <w:rPr>
          <w:rFonts w:eastAsia="Calibri"/>
          <w:szCs w:val="24"/>
        </w:rPr>
        <w:t>—4.5 stars.</w:t>
      </w:r>
    </w:p>
    <w:p w14:paraId="164FF45C" w14:textId="75A61CBC"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pay for a </w:t>
      </w:r>
      <w:r w:rsidR="00DB27EE" w:rsidRPr="002E55A6">
        <w:t>traveller</w:t>
      </w:r>
      <w:r w:rsidRPr="002E55A6">
        <w:t xml:space="preserve"> to stay in commercial accommodation above the </w:t>
      </w:r>
      <w:proofErr w:type="gramStart"/>
      <w:r w:rsidRPr="002E55A6">
        <w:t>4.5 star</w:t>
      </w:r>
      <w:proofErr w:type="gramEnd"/>
      <w:r w:rsidRPr="002E55A6">
        <w:t xml:space="preserve"> standard </w:t>
      </w:r>
      <w:r w:rsidR="00DB27EE" w:rsidRPr="002E55A6">
        <w:t>and the amounts set out in the relevant Australian Taxation Office Determinations,</w:t>
      </w:r>
      <w:r w:rsidR="00DB27EE" w:rsidRPr="002E55A6">
        <w:rPr>
          <w:rFonts w:eastAsia="Calibri"/>
          <w:szCs w:val="24"/>
        </w:rPr>
        <w:t xml:space="preserve"> </w:t>
      </w:r>
      <w:r w:rsidR="00DB27EE" w:rsidRPr="002E55A6">
        <w:t>if</w:t>
      </w:r>
      <w:r w:rsidR="00DB27EE" w:rsidRPr="002E55A6">
        <w:rPr>
          <w:rFonts w:eastAsia="Calibri"/>
          <w:szCs w:val="24"/>
        </w:rPr>
        <w:t xml:space="preserve"> </w:t>
      </w:r>
      <w:r w:rsidRPr="002E55A6">
        <w:rPr>
          <w:rFonts w:eastAsia="Calibri"/>
          <w:szCs w:val="24"/>
        </w:rPr>
        <w:t>—</w:t>
      </w:r>
    </w:p>
    <w:p w14:paraId="145E2971" w14:textId="77777777" w:rsidR="0069220A" w:rsidRPr="002E55A6" w:rsidRDefault="0069220A" w:rsidP="0069220A">
      <w:pPr>
        <w:numPr>
          <w:ilvl w:val="2"/>
          <w:numId w:val="4"/>
        </w:numPr>
        <w:tabs>
          <w:tab w:val="clear" w:pos="720"/>
        </w:tabs>
        <w:spacing w:after="60"/>
        <w:ind w:left="1134" w:hanging="436"/>
      </w:pPr>
      <w:r w:rsidRPr="002E55A6">
        <w:t>the cost is reasonable; and</w:t>
      </w:r>
    </w:p>
    <w:p w14:paraId="7B689A7B" w14:textId="77777777" w:rsidR="0069220A" w:rsidRPr="002E55A6" w:rsidRDefault="0069220A" w:rsidP="0069220A">
      <w:pPr>
        <w:numPr>
          <w:ilvl w:val="2"/>
          <w:numId w:val="4"/>
        </w:numPr>
        <w:tabs>
          <w:tab w:val="clear" w:pos="720"/>
        </w:tabs>
        <w:spacing w:after="60"/>
        <w:ind w:left="1134" w:hanging="436"/>
      </w:pPr>
      <w:r w:rsidRPr="002E55A6">
        <w:t>to do so would better enable business objectives to be met.</w:t>
      </w:r>
    </w:p>
    <w:p w14:paraId="76FB56FE" w14:textId="77777777" w:rsidR="0069220A" w:rsidRPr="00ED62BE" w:rsidRDefault="0069220A" w:rsidP="0069220A">
      <w:pPr>
        <w:keepNext/>
        <w:autoSpaceDE w:val="0"/>
        <w:autoSpaceDN w:val="0"/>
        <w:adjustRightInd w:val="0"/>
        <w:spacing w:before="80"/>
        <w:ind w:left="1276" w:hanging="567"/>
        <w:rPr>
          <w:i/>
          <w:iCs/>
          <w:szCs w:val="24"/>
          <w:lang w:val="en-US"/>
        </w:rPr>
      </w:pPr>
      <w:r w:rsidRPr="00ED62BE">
        <w:rPr>
          <w:i/>
          <w:iCs/>
          <w:szCs w:val="24"/>
          <w:lang w:val="en-US"/>
        </w:rPr>
        <w:t>Examples where business objectives may be better met:</w:t>
      </w:r>
    </w:p>
    <w:p w14:paraId="23454749" w14:textId="534F48F9" w:rsidR="0069220A" w:rsidRPr="00ED62BE" w:rsidRDefault="0069220A" w:rsidP="0069220A">
      <w:pPr>
        <w:pStyle w:val="ColorfulShading-Accent31"/>
        <w:keepNext/>
        <w:numPr>
          <w:ilvl w:val="0"/>
          <w:numId w:val="18"/>
        </w:numPr>
        <w:tabs>
          <w:tab w:val="num" w:pos="1134"/>
        </w:tabs>
        <w:autoSpaceDE w:val="0"/>
        <w:autoSpaceDN w:val="0"/>
        <w:adjustRightInd w:val="0"/>
        <w:spacing w:after="60"/>
        <w:rPr>
          <w:i/>
          <w:iCs/>
          <w:szCs w:val="24"/>
          <w:lang w:val="en-US"/>
        </w:rPr>
      </w:pPr>
      <w:r w:rsidRPr="00ED62BE">
        <w:rPr>
          <w:i/>
          <w:iCs/>
          <w:szCs w:val="24"/>
          <w:lang w:val="en-US"/>
        </w:rPr>
        <w:t xml:space="preserve">to allow a </w:t>
      </w:r>
      <w:proofErr w:type="spellStart"/>
      <w:r w:rsidR="00DB27EE" w:rsidRPr="00ED62BE">
        <w:rPr>
          <w:i/>
          <w:iCs/>
          <w:szCs w:val="24"/>
          <w:lang w:val="en-US"/>
        </w:rPr>
        <w:t>traveller</w:t>
      </w:r>
      <w:proofErr w:type="spellEnd"/>
      <w:r w:rsidRPr="00ED62BE">
        <w:rPr>
          <w:i/>
          <w:iCs/>
          <w:szCs w:val="24"/>
          <w:lang w:val="en-US"/>
        </w:rPr>
        <w:t xml:space="preserve"> to stay in the commercial accommodation where a meeting, </w:t>
      </w:r>
      <w:r w:rsidR="00420D6C" w:rsidRPr="00ED62BE">
        <w:rPr>
          <w:i/>
          <w:iCs/>
          <w:szCs w:val="24"/>
          <w:lang w:val="en-US"/>
        </w:rPr>
        <w:t>conference,</w:t>
      </w:r>
      <w:r w:rsidRPr="00ED62BE">
        <w:rPr>
          <w:i/>
          <w:iCs/>
          <w:szCs w:val="24"/>
          <w:lang w:val="en-US"/>
        </w:rPr>
        <w:t xml:space="preserve"> or seminar they are attending is being held</w:t>
      </w:r>
    </w:p>
    <w:p w14:paraId="33CC7C7C" w14:textId="4B34008B" w:rsidR="0069220A" w:rsidRPr="00ED62BE" w:rsidRDefault="0069220A" w:rsidP="0069220A">
      <w:pPr>
        <w:pStyle w:val="ColorfulShading-Accent31"/>
        <w:keepNext/>
        <w:numPr>
          <w:ilvl w:val="0"/>
          <w:numId w:val="18"/>
        </w:numPr>
        <w:tabs>
          <w:tab w:val="num" w:pos="1134"/>
        </w:tabs>
        <w:autoSpaceDE w:val="0"/>
        <w:autoSpaceDN w:val="0"/>
        <w:adjustRightInd w:val="0"/>
        <w:spacing w:before="80" w:after="60"/>
        <w:rPr>
          <w:i/>
          <w:iCs/>
          <w:szCs w:val="24"/>
          <w:lang w:val="en-US"/>
        </w:rPr>
      </w:pPr>
      <w:r w:rsidRPr="00ED62BE">
        <w:rPr>
          <w:i/>
          <w:iCs/>
          <w:szCs w:val="24"/>
          <w:lang w:val="en-US"/>
        </w:rPr>
        <w:t xml:space="preserve">to allow a </w:t>
      </w:r>
      <w:proofErr w:type="spellStart"/>
      <w:r w:rsidR="00DB27EE" w:rsidRPr="00ED62BE">
        <w:rPr>
          <w:i/>
          <w:iCs/>
          <w:szCs w:val="24"/>
          <w:lang w:val="en-US"/>
        </w:rPr>
        <w:t>traveller</w:t>
      </w:r>
      <w:proofErr w:type="spellEnd"/>
      <w:r w:rsidRPr="00ED62BE">
        <w:rPr>
          <w:i/>
          <w:iCs/>
          <w:szCs w:val="24"/>
          <w:lang w:val="en-US"/>
        </w:rPr>
        <w:t xml:space="preserve"> who is traveling with a Minister to stay in the same commercial accommodation as that Minister if they are entitled to a higher standard of accommodation.</w:t>
      </w:r>
    </w:p>
    <w:p w14:paraId="46D06708" w14:textId="77777777" w:rsidR="0069220A" w:rsidRPr="002E55A6" w:rsidRDefault="0069220A" w:rsidP="00031CFC">
      <w:pPr>
        <w:pStyle w:val="Heading3"/>
        <w:keepLines w:val="0"/>
        <w:ind w:left="709" w:hanging="709"/>
        <w:rPr>
          <w:rFonts w:cs="Arial"/>
          <w:szCs w:val="26"/>
        </w:rPr>
      </w:pPr>
      <w:r w:rsidRPr="002E55A6">
        <w:rPr>
          <w:rFonts w:cs="Arial"/>
          <w:szCs w:val="26"/>
        </w:rPr>
        <w:t>Meals</w:t>
      </w:r>
    </w:p>
    <w:p w14:paraId="440D6A68" w14:textId="44AB0F52"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is absent from </w:t>
      </w:r>
      <w:r w:rsidR="00B4120B" w:rsidRPr="002E55A6">
        <w:t xml:space="preserve">their home base </w:t>
      </w:r>
      <w:r w:rsidRPr="002E55A6">
        <w:t>for more than ten hours while on official travel, the employer will reimburse actual, reasonable expenses for meals</w:t>
      </w:r>
      <w:r w:rsidR="00DB27EE" w:rsidRPr="002E55A6">
        <w:t xml:space="preserve"> up to the amounts set out in the relevant Australian Taxation Office Determinations</w:t>
      </w:r>
      <w:r w:rsidRPr="002E55A6">
        <w:t>.</w:t>
      </w:r>
    </w:p>
    <w:p w14:paraId="51B80314" w14:textId="77777777" w:rsidR="0069220A" w:rsidRPr="002E55A6" w:rsidRDefault="0069220A" w:rsidP="00031CFC">
      <w:pPr>
        <w:pStyle w:val="Heading3"/>
        <w:keepLines w:val="0"/>
        <w:ind w:left="709" w:hanging="709"/>
        <w:rPr>
          <w:rFonts w:cs="Arial"/>
          <w:szCs w:val="26"/>
        </w:rPr>
      </w:pPr>
      <w:r w:rsidRPr="002E55A6">
        <w:rPr>
          <w:rFonts w:cs="Arial"/>
          <w:szCs w:val="26"/>
        </w:rPr>
        <w:t>Incidental expenses</w:t>
      </w:r>
    </w:p>
    <w:p w14:paraId="1B5AF44E" w14:textId="77777777"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reimburse reasonable </w:t>
      </w:r>
      <w:r w:rsidR="00DB27EE" w:rsidRPr="002E55A6">
        <w:t xml:space="preserve">and legitimate </w:t>
      </w:r>
      <w:r w:rsidRPr="002E55A6">
        <w:t>expenses directly related to official travel</w:t>
      </w:r>
      <w:r w:rsidR="00DB27EE" w:rsidRPr="002E55A6">
        <w:t xml:space="preserve"> up to the amounts set out in the relevant Australian Taxation Office Determinations</w:t>
      </w:r>
      <w:r w:rsidRPr="002E55A6">
        <w:t>, including</w:t>
      </w:r>
      <w:r w:rsidRPr="002E55A6">
        <w:rPr>
          <w:rFonts w:eastAsia="Calibri"/>
          <w:szCs w:val="24"/>
        </w:rPr>
        <w:t>—</w:t>
      </w:r>
    </w:p>
    <w:p w14:paraId="0B5B063E"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or bus fares to or from an airport; and</w:t>
      </w:r>
    </w:p>
    <w:p w14:paraId="3E0B2AF3"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and public transport costs at a temporary location; and </w:t>
      </w:r>
    </w:p>
    <w:p w14:paraId="4D7B8F7B" w14:textId="77777777" w:rsidR="0069220A" w:rsidRPr="002E55A6" w:rsidRDefault="0069220A" w:rsidP="0069220A">
      <w:pPr>
        <w:numPr>
          <w:ilvl w:val="2"/>
          <w:numId w:val="4"/>
        </w:numPr>
        <w:tabs>
          <w:tab w:val="clear" w:pos="720"/>
        </w:tabs>
        <w:spacing w:after="60"/>
        <w:ind w:left="1134" w:hanging="436"/>
      </w:pPr>
      <w:r w:rsidRPr="002E55A6">
        <w:t>airport taxes or charges.</w:t>
      </w:r>
    </w:p>
    <w:p w14:paraId="183C4E68" w14:textId="77777777" w:rsidR="0069220A" w:rsidRPr="002E55A6" w:rsidRDefault="0069220A" w:rsidP="00031CFC">
      <w:pPr>
        <w:pStyle w:val="Heading3"/>
        <w:keepLines w:val="0"/>
        <w:ind w:left="709" w:hanging="709"/>
        <w:rPr>
          <w:rFonts w:cs="Arial"/>
          <w:szCs w:val="26"/>
        </w:rPr>
      </w:pPr>
      <w:r w:rsidRPr="002E55A6">
        <w:rPr>
          <w:rFonts w:cs="Arial"/>
          <w:szCs w:val="26"/>
        </w:rPr>
        <w:t>Frequent Flyer Program</w:t>
      </w:r>
    </w:p>
    <w:p w14:paraId="5C98B4C3" w14:textId="15D45967" w:rsidR="00DB27EE" w:rsidRPr="002E55A6" w:rsidRDefault="00DB27EE" w:rsidP="00403576">
      <w:pPr>
        <w:numPr>
          <w:ilvl w:val="1"/>
          <w:numId w:val="4"/>
        </w:numPr>
        <w:tabs>
          <w:tab w:val="clear" w:pos="720"/>
          <w:tab w:val="num" w:pos="0"/>
        </w:tabs>
        <w:spacing w:before="80" w:after="60"/>
        <w:ind w:left="709" w:hanging="709"/>
        <w:rPr>
          <w:szCs w:val="24"/>
        </w:rPr>
      </w:pPr>
      <w:r w:rsidRPr="002E55A6">
        <w:rPr>
          <w:szCs w:val="24"/>
        </w:rPr>
        <w:t>Frequent flyer points can</w:t>
      </w:r>
      <w:r w:rsidR="00B4120B" w:rsidRPr="002E55A6">
        <w:rPr>
          <w:szCs w:val="24"/>
        </w:rPr>
        <w:t>not</w:t>
      </w:r>
      <w:r w:rsidRPr="002E55A6">
        <w:rPr>
          <w:szCs w:val="24"/>
        </w:rPr>
        <w:t xml:space="preserve"> be accrued or used by a traveller </w:t>
      </w:r>
      <w:proofErr w:type="gramStart"/>
      <w:r w:rsidRPr="002E55A6">
        <w:rPr>
          <w:szCs w:val="24"/>
        </w:rPr>
        <w:t>as a result of</w:t>
      </w:r>
      <w:proofErr w:type="gramEnd"/>
      <w:r w:rsidRPr="002E55A6">
        <w:rPr>
          <w:szCs w:val="24"/>
        </w:rPr>
        <w:t xml:space="preserve"> travel and accommodation paid for by the employer for official travel.  </w:t>
      </w:r>
    </w:p>
    <w:p w14:paraId="695B7388" w14:textId="77777777" w:rsidR="00DB27EE" w:rsidRPr="002E55A6" w:rsidRDefault="00DB27EE" w:rsidP="00DB27EE">
      <w:pPr>
        <w:pStyle w:val="Heading3"/>
        <w:keepLines w:val="0"/>
        <w:ind w:left="709" w:hanging="709"/>
        <w:rPr>
          <w:rFonts w:cs="Arial"/>
          <w:szCs w:val="26"/>
        </w:rPr>
      </w:pPr>
      <w:r w:rsidRPr="002E55A6">
        <w:rPr>
          <w:rFonts w:cs="Arial"/>
          <w:szCs w:val="26"/>
        </w:rPr>
        <w:t>Incidental travel in conjunction with official travel</w:t>
      </w:r>
    </w:p>
    <w:p w14:paraId="746C0850" w14:textId="42E1AF96" w:rsidR="00DB27EE" w:rsidRPr="002E55A6" w:rsidRDefault="00DB27EE" w:rsidP="00DB27EE">
      <w:pPr>
        <w:numPr>
          <w:ilvl w:val="1"/>
          <w:numId w:val="4"/>
        </w:numPr>
        <w:spacing w:before="80" w:after="60"/>
      </w:pPr>
      <w:r w:rsidRPr="002E55A6">
        <w:t>Authorised travellers wishing to take personal leave during, or at the conclusion of official travel should obtain the appropriate</w:t>
      </w:r>
      <w:r w:rsidR="00657808">
        <w:t xml:space="preserve"> prior</w:t>
      </w:r>
      <w:r w:rsidRPr="002E55A6">
        <w:t xml:space="preserve"> approval consistent with the agreed travel arrangements.</w:t>
      </w:r>
    </w:p>
    <w:p w14:paraId="6F87D215" w14:textId="77777777" w:rsidR="00DB27EE" w:rsidRPr="002E55A6" w:rsidRDefault="00DB27EE" w:rsidP="00DB27EE">
      <w:pPr>
        <w:numPr>
          <w:ilvl w:val="1"/>
          <w:numId w:val="4"/>
        </w:numPr>
        <w:spacing w:before="80" w:after="60"/>
      </w:pPr>
      <w:r w:rsidRPr="002E55A6">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1D6261B5" w:rsidR="00DB27EE" w:rsidRPr="002E55A6" w:rsidRDefault="00DB27EE" w:rsidP="00DB27EE">
      <w:pPr>
        <w:numPr>
          <w:ilvl w:val="1"/>
          <w:numId w:val="4"/>
        </w:numPr>
        <w:spacing w:before="80" w:after="60"/>
      </w:pPr>
      <w:r w:rsidRPr="002E55A6">
        <w:t>If insurance has been obtained for official travel</w:t>
      </w:r>
      <w:r w:rsidR="002E55A6">
        <w:t xml:space="preserve"> at official expense</w:t>
      </w:r>
      <w:r w:rsidRPr="002E55A6">
        <w:t xml:space="preserve">, </w:t>
      </w:r>
      <w:r w:rsidR="002E55A6">
        <w:t xml:space="preserve">such insurance must </w:t>
      </w:r>
      <w:r w:rsidRPr="002E55A6">
        <w:t>not cover the traveller for the duration of the personal leave.</w:t>
      </w:r>
    </w:p>
    <w:p w14:paraId="571FBF33" w14:textId="77777777" w:rsidR="00DB27EE" w:rsidRPr="002E55A6" w:rsidRDefault="00DB27EE" w:rsidP="00DB27EE">
      <w:pPr>
        <w:pStyle w:val="Heading3"/>
        <w:keepLines w:val="0"/>
        <w:ind w:left="709" w:hanging="709"/>
        <w:rPr>
          <w:rFonts w:cs="Arial"/>
          <w:szCs w:val="26"/>
        </w:rPr>
      </w:pPr>
      <w:r w:rsidRPr="002E55A6">
        <w:rPr>
          <w:rFonts w:cs="Arial"/>
          <w:szCs w:val="26"/>
        </w:rPr>
        <w:t>Travel insurance</w:t>
      </w:r>
    </w:p>
    <w:p w14:paraId="77F6EBC7" w14:textId="77777777" w:rsidR="00DB27EE" w:rsidRPr="002E55A6" w:rsidRDefault="00DB27EE" w:rsidP="00DB27EE">
      <w:pPr>
        <w:numPr>
          <w:ilvl w:val="1"/>
          <w:numId w:val="4"/>
        </w:numPr>
        <w:spacing w:before="80" w:after="60"/>
      </w:pPr>
      <w:r w:rsidRPr="002E55A6">
        <w:t>Travel insurance decisions should be based on risk management principles and include factors such as the nature and destination of the trip.</w:t>
      </w:r>
    </w:p>
    <w:p w14:paraId="56C032D8" w14:textId="77777777" w:rsidR="00DB27EE" w:rsidRPr="002E55A6" w:rsidRDefault="00DB27EE" w:rsidP="00DB27EE">
      <w:pPr>
        <w:numPr>
          <w:ilvl w:val="1"/>
          <w:numId w:val="4"/>
        </w:numPr>
        <w:spacing w:before="80" w:after="60"/>
      </w:pPr>
      <w:r w:rsidRPr="002E55A6">
        <w:t>International travel will normally require travel insurance.</w:t>
      </w:r>
    </w:p>
    <w:p w14:paraId="266B648F" w14:textId="199B8C46" w:rsidR="00DB27EE" w:rsidRPr="002E55A6" w:rsidRDefault="00DB27EE" w:rsidP="00DB27EE">
      <w:pPr>
        <w:numPr>
          <w:ilvl w:val="1"/>
          <w:numId w:val="4"/>
        </w:numPr>
        <w:spacing w:before="80" w:after="60"/>
      </w:pPr>
      <w:r w:rsidRPr="002E55A6">
        <w:t xml:space="preserve">If necessary, the cost of travel insurance will be met as a reasonable </w:t>
      </w:r>
      <w:r w:rsidR="00420D6C" w:rsidRPr="002E55A6">
        <w:t>work-related</w:t>
      </w:r>
      <w:r w:rsidRPr="002E55A6">
        <w:t xml:space="preserve"> expense by the Territory.</w:t>
      </w:r>
    </w:p>
    <w:p w14:paraId="00FD7E7F" w14:textId="4A5B44E4" w:rsidR="00DB27EE" w:rsidRPr="002E55A6" w:rsidRDefault="00DB27EE" w:rsidP="00DB27EE">
      <w:pPr>
        <w:numPr>
          <w:ilvl w:val="1"/>
          <w:numId w:val="4"/>
        </w:numPr>
        <w:spacing w:before="80" w:after="60"/>
      </w:pPr>
      <w:r w:rsidRPr="002E55A6">
        <w:t xml:space="preserve">All legitimate and reasonable </w:t>
      </w:r>
      <w:r w:rsidR="00420D6C" w:rsidRPr="002E55A6">
        <w:t>work-related</w:t>
      </w:r>
      <w:r w:rsidRPr="002E55A6">
        <w:t xml:space="preserve"> claims will be covered by the Territory.</w:t>
      </w:r>
    </w:p>
    <w:p w14:paraId="17EA78A0" w14:textId="77777777" w:rsidR="0069220A" w:rsidRPr="002E55A6" w:rsidRDefault="0069220A" w:rsidP="00031CFC">
      <w:pPr>
        <w:pStyle w:val="Heading3"/>
        <w:keepLines w:val="0"/>
        <w:ind w:left="709" w:hanging="709"/>
        <w:rPr>
          <w:rFonts w:cs="Arial"/>
          <w:szCs w:val="26"/>
        </w:rPr>
      </w:pPr>
      <w:r w:rsidRPr="002E55A6">
        <w:rPr>
          <w:rFonts w:cs="Arial"/>
          <w:szCs w:val="26"/>
        </w:rPr>
        <w:t>Definitions</w:t>
      </w:r>
    </w:p>
    <w:p w14:paraId="1922453B" w14:textId="77777777" w:rsidR="0069220A" w:rsidRPr="002E55A6" w:rsidRDefault="0069220A" w:rsidP="0069220A">
      <w:pPr>
        <w:numPr>
          <w:ilvl w:val="1"/>
          <w:numId w:val="4"/>
        </w:numPr>
        <w:tabs>
          <w:tab w:val="clear" w:pos="720"/>
          <w:tab w:val="num" w:pos="0"/>
        </w:tabs>
        <w:spacing w:before="80" w:after="60"/>
        <w:ind w:left="709" w:hanging="709"/>
      </w:pPr>
      <w:r w:rsidRPr="002E55A6">
        <w:t>In this Determination:</w:t>
      </w:r>
    </w:p>
    <w:p w14:paraId="1A046F03" w14:textId="77777777" w:rsidR="00B4120B" w:rsidRPr="002E55A6" w:rsidRDefault="00B4120B" w:rsidP="00B4120B">
      <w:pPr>
        <w:spacing w:before="80"/>
        <w:ind w:left="709"/>
        <w:jc w:val="both"/>
      </w:pPr>
      <w:r w:rsidRPr="002E55A6">
        <w:rPr>
          <w:b/>
          <w:i/>
        </w:rPr>
        <w:t>domestic travel</w:t>
      </w:r>
      <w:r w:rsidRPr="002E55A6">
        <w:t xml:space="preserve"> means official travel to a destination within Australia.</w:t>
      </w:r>
    </w:p>
    <w:p w14:paraId="0E2E1C3E" w14:textId="77777777" w:rsidR="0069220A" w:rsidRPr="002E55A6" w:rsidRDefault="0069220A" w:rsidP="0069220A">
      <w:pPr>
        <w:spacing w:before="80"/>
        <w:ind w:left="709"/>
        <w:jc w:val="both"/>
      </w:pPr>
      <w:r w:rsidRPr="002E55A6">
        <w:rPr>
          <w:b/>
          <w:bCs/>
          <w:i/>
        </w:rPr>
        <w:t>employer</w:t>
      </w:r>
      <w:r w:rsidRPr="002E55A6">
        <w:t xml:space="preserve"> means the Australian Capital Territory and includes any person authorised to act on behalf of the Australian Capital Territory.</w:t>
      </w:r>
    </w:p>
    <w:p w14:paraId="19FE29B4" w14:textId="77777777" w:rsidR="0069220A" w:rsidRPr="002E55A6" w:rsidRDefault="0069220A" w:rsidP="0069220A">
      <w:pPr>
        <w:spacing w:before="80"/>
        <w:ind w:left="709"/>
        <w:jc w:val="both"/>
      </w:pPr>
      <w:r w:rsidRPr="002E55A6">
        <w:rPr>
          <w:b/>
          <w:bCs/>
          <w:i/>
          <w:iCs/>
        </w:rPr>
        <w:t>fringe</w:t>
      </w:r>
      <w:r w:rsidRPr="002E55A6">
        <w:rPr>
          <w:b/>
          <w:bCs/>
          <w:i/>
        </w:rPr>
        <w:t xml:space="preserve"> benefits tax</w:t>
      </w:r>
      <w:r w:rsidRPr="002E55A6">
        <w:t xml:space="preserve"> means the tax assessed under the </w:t>
      </w:r>
      <w:r w:rsidRPr="002E55A6">
        <w:rPr>
          <w:i/>
        </w:rPr>
        <w:t>Fringe Benefits Tax Assessment Act 1986</w:t>
      </w:r>
      <w:r w:rsidRPr="002E55A6">
        <w:t>.</w:t>
      </w:r>
    </w:p>
    <w:p w14:paraId="6640A9C0" w14:textId="77777777" w:rsidR="00B4120B" w:rsidRPr="002E55A6" w:rsidRDefault="00B4120B" w:rsidP="00B4120B">
      <w:pPr>
        <w:spacing w:before="80"/>
        <w:ind w:left="709"/>
        <w:jc w:val="both"/>
      </w:pPr>
      <w:r w:rsidRPr="002E55A6">
        <w:rPr>
          <w:b/>
          <w:i/>
        </w:rPr>
        <w:t>home base</w:t>
      </w:r>
      <w:r w:rsidRPr="002E55A6">
        <w:t xml:space="preserve"> means the town or city in which the traveller’s principal place of residence is located.</w:t>
      </w:r>
    </w:p>
    <w:p w14:paraId="41373B39" w14:textId="6F0C6642" w:rsidR="00DB27EE" w:rsidRPr="002E55A6" w:rsidRDefault="00DB27EE" w:rsidP="00DB27EE">
      <w:pPr>
        <w:spacing w:before="80" w:after="60"/>
        <w:ind w:left="709"/>
      </w:pPr>
      <w:r w:rsidRPr="002E55A6">
        <w:rPr>
          <w:b/>
          <w:i/>
        </w:rPr>
        <w:t>Senior Executive Service (SES) Member</w:t>
      </w:r>
      <w:r w:rsidRPr="002E55A6">
        <w:t xml:space="preserve"> </w:t>
      </w:r>
      <w:r w:rsidR="001F44E1" w:rsidRPr="002E55A6">
        <w:t xml:space="preserve">means </w:t>
      </w:r>
      <w:r w:rsidRPr="002E55A6">
        <w:t xml:space="preserve">a member of the service in the senior executive service under the </w:t>
      </w:r>
      <w:r w:rsidRPr="002E55A6">
        <w:rPr>
          <w:i/>
        </w:rPr>
        <w:t>Public Sector Management Act 1994</w:t>
      </w:r>
      <w:r w:rsidRPr="002E55A6">
        <w:t xml:space="preserve">. A person, appointed to an office </w:t>
      </w:r>
      <w:r w:rsidR="00FE1DDA" w:rsidRPr="002E55A6">
        <w:t xml:space="preserve">listed </w:t>
      </w:r>
      <w:r w:rsidRPr="002E55A6">
        <w:t xml:space="preserve">in clause 2.1 of this Determination, has </w:t>
      </w:r>
      <w:proofErr w:type="gramStart"/>
      <w:r w:rsidRPr="002E55A6">
        <w:t>a number of</w:t>
      </w:r>
      <w:proofErr w:type="gramEnd"/>
      <w:r w:rsidRPr="002E55A6">
        <w:t xml:space="preserve"> the same entitlements as an SES Member.</w:t>
      </w:r>
    </w:p>
    <w:p w14:paraId="1F9CE8AC" w14:textId="77777777" w:rsidR="00DC6C6D" w:rsidRPr="002E55A6" w:rsidRDefault="00DC6C6D" w:rsidP="00031CFC">
      <w:pPr>
        <w:pStyle w:val="Heading3"/>
        <w:keepLines w:val="0"/>
        <w:ind w:left="709" w:hanging="709"/>
        <w:rPr>
          <w:rFonts w:cs="Arial"/>
          <w:szCs w:val="26"/>
        </w:rPr>
      </w:pPr>
      <w:r w:rsidRPr="002E55A6">
        <w:rPr>
          <w:rFonts w:cs="Arial"/>
          <w:szCs w:val="26"/>
        </w:rPr>
        <w:t>Revocation of previous Determination</w:t>
      </w:r>
    </w:p>
    <w:p w14:paraId="6196C0C2" w14:textId="19AE2645" w:rsidR="007612FA" w:rsidRPr="002E55A6" w:rsidRDefault="00DC6C6D" w:rsidP="00AE2CF2">
      <w:pPr>
        <w:numPr>
          <w:ilvl w:val="1"/>
          <w:numId w:val="4"/>
        </w:numPr>
        <w:tabs>
          <w:tab w:val="clear" w:pos="720"/>
        </w:tabs>
        <w:spacing w:before="80" w:after="60"/>
        <w:ind w:left="709" w:hanging="709"/>
      </w:pPr>
      <w:r w:rsidRPr="00AB5D83">
        <w:rPr>
          <w:color w:val="000000" w:themeColor="text1"/>
        </w:rPr>
        <w:t>Determination</w:t>
      </w:r>
      <w:r w:rsidR="00CB4279" w:rsidRPr="00AB5D83">
        <w:rPr>
          <w:color w:val="000000" w:themeColor="text1"/>
        </w:rPr>
        <w:t xml:space="preserve"> </w:t>
      </w:r>
      <w:r w:rsidR="00ED62BE">
        <w:rPr>
          <w:color w:val="000000" w:themeColor="text1"/>
        </w:rPr>
        <w:t>2 of 202</w:t>
      </w:r>
      <w:r w:rsidR="002514B4">
        <w:rPr>
          <w:color w:val="000000" w:themeColor="text1"/>
        </w:rPr>
        <w:t>5</w:t>
      </w:r>
      <w:r w:rsidR="008B31E7" w:rsidRPr="00AB5D83">
        <w:rPr>
          <w:color w:val="000000" w:themeColor="text1"/>
        </w:rPr>
        <w:t xml:space="preserve"> is</w:t>
      </w:r>
      <w:r w:rsidR="00676255" w:rsidRPr="00AB5D83">
        <w:rPr>
          <w:color w:val="000000" w:themeColor="text1"/>
        </w:rPr>
        <w:t xml:space="preserve"> </w:t>
      </w:r>
      <w:r w:rsidR="00CB4279" w:rsidRPr="00AB5D83">
        <w:rPr>
          <w:color w:val="000000" w:themeColor="text1"/>
        </w:rPr>
        <w:t>revoked</w:t>
      </w:r>
      <w:r w:rsidR="00007899" w:rsidRPr="002E55A6">
        <w:rPr>
          <w:b/>
        </w:rPr>
        <w:t>.</w:t>
      </w:r>
    </w:p>
    <w:tbl>
      <w:tblPr>
        <w:tblW w:w="14166" w:type="dxa"/>
        <w:tblLook w:val="04A0" w:firstRow="1" w:lastRow="0" w:firstColumn="1" w:lastColumn="0" w:noHBand="0" w:noVBand="1"/>
      </w:tblPr>
      <w:tblGrid>
        <w:gridCol w:w="13721"/>
        <w:gridCol w:w="222"/>
        <w:gridCol w:w="9"/>
        <w:gridCol w:w="214"/>
      </w:tblGrid>
      <w:tr w:rsidR="00AC0FCC" w:rsidRPr="006A51E8" w14:paraId="4591F3E9" w14:textId="77777777" w:rsidTr="00C25F65">
        <w:tc>
          <w:tcPr>
            <w:tcW w:w="13721" w:type="dxa"/>
          </w:tcPr>
          <w:p w14:paraId="26752599" w14:textId="77777777" w:rsidR="00AC0FCC" w:rsidRDefault="00AC0FCC" w:rsidP="00AC0FCC">
            <w:pPr>
              <w:tabs>
                <w:tab w:val="left" w:pos="7230"/>
              </w:tabs>
              <w:rPr>
                <w:szCs w:val="24"/>
              </w:rPr>
            </w:pPr>
          </w:p>
          <w:p w14:paraId="4D0A0AE1" w14:textId="77777777" w:rsidR="00320D51" w:rsidRDefault="00320D51" w:rsidP="00AC0FCC">
            <w:pPr>
              <w:tabs>
                <w:tab w:val="left" w:pos="7230"/>
              </w:tabs>
              <w:rPr>
                <w:szCs w:val="24"/>
              </w:rPr>
            </w:pPr>
          </w:p>
          <w:p w14:paraId="0EFC23E8" w14:textId="4902FB17" w:rsidR="00320D51" w:rsidRPr="000F41B0" w:rsidRDefault="00320D51" w:rsidP="00AC0FCC">
            <w:pPr>
              <w:tabs>
                <w:tab w:val="left" w:pos="7230"/>
              </w:tabs>
              <w:rPr>
                <w:szCs w:val="24"/>
              </w:rPr>
            </w:pPr>
          </w:p>
        </w:tc>
        <w:tc>
          <w:tcPr>
            <w:tcW w:w="222" w:type="dxa"/>
          </w:tcPr>
          <w:p w14:paraId="79FA2769" w14:textId="7F32DC19" w:rsidR="00AC0FCC" w:rsidRPr="006A51E8" w:rsidRDefault="00AC0FCC" w:rsidP="00AC0FCC">
            <w:pPr>
              <w:tabs>
                <w:tab w:val="left" w:pos="3059"/>
                <w:tab w:val="left" w:pos="7230"/>
              </w:tabs>
            </w:pPr>
          </w:p>
        </w:tc>
        <w:tc>
          <w:tcPr>
            <w:tcW w:w="223" w:type="dxa"/>
            <w:gridSpan w:val="2"/>
          </w:tcPr>
          <w:p w14:paraId="0CC6E6D3" w14:textId="77777777" w:rsidR="00AC0FCC" w:rsidRPr="006A51E8" w:rsidRDefault="00AC0FCC" w:rsidP="00AC0FCC">
            <w:pPr>
              <w:tabs>
                <w:tab w:val="left" w:pos="3059"/>
                <w:tab w:val="left" w:pos="7230"/>
              </w:tabs>
              <w:spacing w:before="120"/>
            </w:pPr>
          </w:p>
        </w:tc>
      </w:tr>
      <w:tr w:rsidR="00AC0FCC" w:rsidRPr="006A51E8" w14:paraId="1B627EAA" w14:textId="77777777" w:rsidTr="00C25F65">
        <w:trPr>
          <w:gridAfter w:val="1"/>
          <w:wAfter w:w="214" w:type="dxa"/>
        </w:trPr>
        <w:tc>
          <w:tcPr>
            <w:tcW w:w="13721" w:type="dxa"/>
          </w:tcPr>
          <w:tbl>
            <w:tblPr>
              <w:tblW w:w="13505" w:type="dxa"/>
              <w:tblLook w:val="04A0" w:firstRow="1" w:lastRow="0" w:firstColumn="1" w:lastColumn="0" w:noHBand="0" w:noVBand="1"/>
            </w:tblPr>
            <w:tblGrid>
              <w:gridCol w:w="4529"/>
              <w:gridCol w:w="4488"/>
              <w:gridCol w:w="41"/>
              <w:gridCol w:w="4447"/>
            </w:tblGrid>
            <w:tr w:rsidR="00AC0FCC" w:rsidRPr="00712E44" w14:paraId="0BAAEDB7" w14:textId="77777777" w:rsidTr="00FC3CCA">
              <w:tc>
                <w:tcPr>
                  <w:tcW w:w="4529" w:type="dxa"/>
                </w:tcPr>
                <w:p w14:paraId="6DBA73A6" w14:textId="77777777" w:rsidR="00AC0FCC" w:rsidRPr="00712E44" w:rsidRDefault="00AC0FCC" w:rsidP="00AC0FCC">
                  <w:pPr>
                    <w:tabs>
                      <w:tab w:val="left" w:pos="4253"/>
                      <w:tab w:val="left" w:pos="7230"/>
                      <w:tab w:val="left" w:leader="dot" w:pos="8222"/>
                    </w:tabs>
                    <w:rPr>
                      <w:szCs w:val="24"/>
                    </w:rPr>
                  </w:pPr>
                  <w:r w:rsidRPr="00712E44">
                    <w:rPr>
                      <w:szCs w:val="24"/>
                    </w:rPr>
                    <w:t>Ms Sandra Lambert AM</w:t>
                  </w:r>
                </w:p>
                <w:p w14:paraId="24F39A19" w14:textId="77777777" w:rsidR="00AC0FCC" w:rsidRPr="00712E44" w:rsidRDefault="00AC0FCC" w:rsidP="00AC0FCC">
                  <w:pPr>
                    <w:tabs>
                      <w:tab w:val="left" w:pos="7230"/>
                    </w:tabs>
                    <w:rPr>
                      <w:szCs w:val="24"/>
                    </w:rPr>
                  </w:pPr>
                  <w:r w:rsidRPr="00712E44">
                    <w:rPr>
                      <w:szCs w:val="24"/>
                    </w:rPr>
                    <w:t>Chair</w:t>
                  </w:r>
                </w:p>
                <w:p w14:paraId="559A2F4E" w14:textId="77777777" w:rsidR="00AC0FCC" w:rsidRDefault="00AC0FCC" w:rsidP="00AC0FCC">
                  <w:pPr>
                    <w:tabs>
                      <w:tab w:val="left" w:pos="7230"/>
                    </w:tabs>
                    <w:rPr>
                      <w:szCs w:val="24"/>
                    </w:rPr>
                  </w:pPr>
                </w:p>
                <w:p w14:paraId="306B7D6F" w14:textId="77777777" w:rsidR="00C25F65" w:rsidRPr="00712E44" w:rsidRDefault="00C25F65" w:rsidP="00AC0FCC">
                  <w:pPr>
                    <w:tabs>
                      <w:tab w:val="left" w:pos="7230"/>
                    </w:tabs>
                    <w:rPr>
                      <w:szCs w:val="24"/>
                    </w:rPr>
                  </w:pPr>
                </w:p>
              </w:tc>
              <w:tc>
                <w:tcPr>
                  <w:tcW w:w="4488" w:type="dxa"/>
                </w:tcPr>
                <w:p w14:paraId="26B7E8B0" w14:textId="77777777" w:rsidR="00AC0FCC" w:rsidRPr="00712E44" w:rsidRDefault="00AC0FCC" w:rsidP="00AC0FCC">
                  <w:pPr>
                    <w:tabs>
                      <w:tab w:val="left" w:pos="3059"/>
                      <w:tab w:val="left" w:pos="7230"/>
                    </w:tabs>
                  </w:pPr>
                </w:p>
              </w:tc>
              <w:tc>
                <w:tcPr>
                  <w:tcW w:w="4488" w:type="dxa"/>
                  <w:gridSpan w:val="2"/>
                </w:tcPr>
                <w:p w14:paraId="786667D9" w14:textId="77777777" w:rsidR="00AC0FCC" w:rsidRPr="00712E44" w:rsidRDefault="00AC0FCC" w:rsidP="00AC0FCC">
                  <w:pPr>
                    <w:tabs>
                      <w:tab w:val="left" w:pos="3059"/>
                      <w:tab w:val="left" w:pos="7230"/>
                    </w:tabs>
                    <w:spacing w:before="120"/>
                  </w:pPr>
                </w:p>
              </w:tc>
            </w:tr>
            <w:tr w:rsidR="00AC0FCC" w:rsidRPr="00712E44" w14:paraId="52026A4B" w14:textId="77777777" w:rsidTr="00FC3CCA">
              <w:trPr>
                <w:gridAfter w:val="1"/>
                <w:wAfter w:w="4447" w:type="dxa"/>
              </w:trPr>
              <w:tc>
                <w:tcPr>
                  <w:tcW w:w="4529" w:type="dxa"/>
                </w:tcPr>
                <w:p w14:paraId="79383D7D" w14:textId="77777777" w:rsidR="00AC0FCC" w:rsidRPr="00712E44" w:rsidRDefault="00AC0FCC" w:rsidP="00AC0FCC">
                  <w:pPr>
                    <w:tabs>
                      <w:tab w:val="left" w:pos="4253"/>
                      <w:tab w:val="left" w:leader="dot" w:pos="8222"/>
                    </w:tabs>
                    <w:rPr>
                      <w:szCs w:val="24"/>
                    </w:rPr>
                  </w:pPr>
                  <w:r w:rsidRPr="00712E44">
                    <w:rPr>
                      <w:szCs w:val="24"/>
                    </w:rPr>
                    <w:t>Ms Pam Davoren PSM</w:t>
                  </w:r>
                  <w:r w:rsidRPr="00712E44">
                    <w:rPr>
                      <w:szCs w:val="24"/>
                    </w:rPr>
                    <w:tab/>
                  </w:r>
                </w:p>
                <w:p w14:paraId="7D9BD09A" w14:textId="77777777" w:rsidR="00AC0FCC" w:rsidRPr="00712E44" w:rsidRDefault="00AC0FCC" w:rsidP="00AC0FCC">
                  <w:pPr>
                    <w:tabs>
                      <w:tab w:val="left" w:pos="4253"/>
                      <w:tab w:val="left" w:leader="dot" w:pos="8222"/>
                    </w:tabs>
                    <w:rPr>
                      <w:szCs w:val="24"/>
                    </w:rPr>
                  </w:pPr>
                  <w:r w:rsidRPr="00712E44">
                    <w:rPr>
                      <w:szCs w:val="24"/>
                    </w:rPr>
                    <w:t xml:space="preserve">Member </w:t>
                  </w:r>
                </w:p>
                <w:p w14:paraId="5D9EAF3C" w14:textId="030469D3" w:rsidR="00AC0FCC" w:rsidRDefault="00AC0FCC" w:rsidP="00AC0FCC">
                  <w:pPr>
                    <w:tabs>
                      <w:tab w:val="left" w:pos="4253"/>
                      <w:tab w:val="left" w:leader="dot" w:pos="8222"/>
                    </w:tabs>
                    <w:rPr>
                      <w:szCs w:val="24"/>
                    </w:rPr>
                  </w:pPr>
                </w:p>
                <w:p w14:paraId="342A2E49" w14:textId="77777777" w:rsidR="00C25F65" w:rsidRPr="00712E44" w:rsidRDefault="00C25F65" w:rsidP="00AC0FCC">
                  <w:pPr>
                    <w:tabs>
                      <w:tab w:val="left" w:pos="4253"/>
                      <w:tab w:val="left" w:leader="dot" w:pos="8222"/>
                    </w:tabs>
                    <w:rPr>
                      <w:szCs w:val="24"/>
                    </w:rPr>
                  </w:pPr>
                </w:p>
                <w:p w14:paraId="2BB5846A" w14:textId="77777777" w:rsidR="00AC0FCC" w:rsidRPr="00712E44" w:rsidRDefault="00AC0FCC" w:rsidP="00AC0FCC">
                  <w:pPr>
                    <w:tabs>
                      <w:tab w:val="left" w:pos="4253"/>
                      <w:tab w:val="left" w:leader="dot" w:pos="8222"/>
                    </w:tabs>
                    <w:rPr>
                      <w:szCs w:val="24"/>
                    </w:rPr>
                  </w:pPr>
                  <w:r w:rsidRPr="00712E44">
                    <w:rPr>
                      <w:szCs w:val="24"/>
                    </w:rPr>
                    <w:t>Mr Michael Manthorpe PSM FIPAA</w:t>
                  </w:r>
                  <w:r w:rsidRPr="00712E44">
                    <w:rPr>
                      <w:szCs w:val="24"/>
                    </w:rPr>
                    <w:tab/>
                  </w:r>
                </w:p>
                <w:p w14:paraId="6DA59465" w14:textId="77777777" w:rsidR="00AC0FCC" w:rsidRPr="00712E44" w:rsidRDefault="00AC0FCC" w:rsidP="00AC0FCC">
                  <w:pPr>
                    <w:tabs>
                      <w:tab w:val="left" w:pos="4253"/>
                      <w:tab w:val="left" w:leader="dot" w:pos="8222"/>
                    </w:tabs>
                    <w:rPr>
                      <w:szCs w:val="24"/>
                    </w:rPr>
                  </w:pPr>
                  <w:r w:rsidRPr="00712E44">
                    <w:rPr>
                      <w:szCs w:val="24"/>
                    </w:rPr>
                    <w:t>Member</w:t>
                  </w:r>
                </w:p>
              </w:tc>
              <w:tc>
                <w:tcPr>
                  <w:tcW w:w="4529" w:type="dxa"/>
                  <w:gridSpan w:val="2"/>
                </w:tcPr>
                <w:p w14:paraId="043AE83F" w14:textId="77777777" w:rsidR="00AC0FCC" w:rsidRPr="00712E44" w:rsidRDefault="00AC0FCC" w:rsidP="00AC0FCC">
                  <w:pPr>
                    <w:tabs>
                      <w:tab w:val="left" w:pos="4026"/>
                      <w:tab w:val="left" w:pos="7230"/>
                    </w:tabs>
                  </w:pPr>
                </w:p>
                <w:p w14:paraId="62EC6E9C" w14:textId="77777777" w:rsidR="00AC0FCC" w:rsidRPr="00712E44" w:rsidRDefault="00AC0FCC" w:rsidP="00AC0FCC">
                  <w:pPr>
                    <w:tabs>
                      <w:tab w:val="left" w:pos="4026"/>
                      <w:tab w:val="left" w:pos="7230"/>
                    </w:tabs>
                    <w:rPr>
                      <w:noProof/>
                    </w:rPr>
                  </w:pPr>
                </w:p>
                <w:p w14:paraId="235C3994" w14:textId="77777777" w:rsidR="00AC0FCC" w:rsidRPr="00712E44" w:rsidRDefault="00AC0FCC" w:rsidP="00AC0FCC"/>
                <w:p w14:paraId="2419B39E" w14:textId="77777777" w:rsidR="00AC0FCC" w:rsidRPr="00712E44" w:rsidRDefault="00AC0FCC" w:rsidP="00AC0FCC"/>
                <w:p w14:paraId="090C6781" w14:textId="77777777" w:rsidR="00AC0FCC" w:rsidRPr="00712E44" w:rsidRDefault="00AC0FCC" w:rsidP="00AC0FCC"/>
                <w:p w14:paraId="3BEB6EB2" w14:textId="77777777" w:rsidR="00AC0FCC" w:rsidRPr="00712E44" w:rsidRDefault="00AC0FCC" w:rsidP="00AC0FCC"/>
              </w:tc>
            </w:tr>
            <w:tr w:rsidR="00AC0FCC" w:rsidRPr="00712E44" w14:paraId="32676C59" w14:textId="77777777" w:rsidTr="00FC3CCA">
              <w:trPr>
                <w:gridAfter w:val="1"/>
                <w:wAfter w:w="4447" w:type="dxa"/>
              </w:trPr>
              <w:tc>
                <w:tcPr>
                  <w:tcW w:w="4529" w:type="dxa"/>
                </w:tcPr>
                <w:p w14:paraId="41B4B1F6" w14:textId="77777777" w:rsidR="00AC0FCC" w:rsidRPr="00712E44" w:rsidRDefault="00AC0FCC" w:rsidP="00AC0FCC">
                  <w:pPr>
                    <w:tabs>
                      <w:tab w:val="left" w:pos="4253"/>
                      <w:tab w:val="left" w:pos="7230"/>
                      <w:tab w:val="left" w:leader="dot" w:pos="8222"/>
                    </w:tabs>
                    <w:rPr>
                      <w:szCs w:val="24"/>
                    </w:rPr>
                  </w:pPr>
                </w:p>
                <w:p w14:paraId="4C1C07BA" w14:textId="77777777" w:rsidR="00AC0FCC" w:rsidRPr="00712E44" w:rsidRDefault="00AC0FCC" w:rsidP="00AC0FCC">
                  <w:pPr>
                    <w:tabs>
                      <w:tab w:val="left" w:pos="4253"/>
                      <w:tab w:val="left" w:pos="7230"/>
                      <w:tab w:val="left" w:leader="dot" w:pos="8222"/>
                    </w:tabs>
                    <w:rPr>
                      <w:szCs w:val="24"/>
                    </w:rPr>
                  </w:pPr>
                </w:p>
              </w:tc>
              <w:tc>
                <w:tcPr>
                  <w:tcW w:w="4529" w:type="dxa"/>
                  <w:gridSpan w:val="2"/>
                </w:tcPr>
                <w:p w14:paraId="6A6150D8" w14:textId="77777777" w:rsidR="00AC0FCC" w:rsidRPr="00712E44" w:rsidRDefault="00AC0FCC" w:rsidP="00AC0FCC">
                  <w:pPr>
                    <w:tabs>
                      <w:tab w:val="left" w:pos="4253"/>
                      <w:tab w:val="left" w:pos="7230"/>
                      <w:tab w:val="left" w:leader="dot" w:pos="8222"/>
                    </w:tabs>
                    <w:rPr>
                      <w:szCs w:val="24"/>
                    </w:rPr>
                  </w:pPr>
                </w:p>
              </w:tc>
            </w:tr>
          </w:tbl>
          <w:p w14:paraId="5B48C475" w14:textId="77777777" w:rsidR="00AC0FCC" w:rsidRPr="000F41B0" w:rsidRDefault="00AC0FCC" w:rsidP="00AC0FCC">
            <w:pPr>
              <w:tabs>
                <w:tab w:val="left" w:pos="4253"/>
                <w:tab w:val="left" w:pos="7230"/>
                <w:tab w:val="left" w:leader="dot" w:pos="8222"/>
              </w:tabs>
              <w:rPr>
                <w:szCs w:val="24"/>
              </w:rPr>
            </w:pPr>
          </w:p>
        </w:tc>
        <w:tc>
          <w:tcPr>
            <w:tcW w:w="231" w:type="dxa"/>
            <w:gridSpan w:val="2"/>
          </w:tcPr>
          <w:p w14:paraId="11A5A974" w14:textId="77777777" w:rsidR="00AC0FCC" w:rsidRDefault="00AC0FCC" w:rsidP="00AC0FCC">
            <w:pPr>
              <w:tabs>
                <w:tab w:val="left" w:pos="4253"/>
                <w:tab w:val="left" w:pos="7230"/>
                <w:tab w:val="left" w:leader="dot" w:pos="8222"/>
              </w:tabs>
              <w:rPr>
                <w:szCs w:val="24"/>
              </w:rPr>
            </w:pPr>
          </w:p>
        </w:tc>
      </w:tr>
    </w:tbl>
    <w:bookmarkEnd w:id="1"/>
    <w:p w14:paraId="61897F83" w14:textId="4AC91D9C" w:rsidR="00326E4B" w:rsidRDefault="003B15F3" w:rsidP="00864E74">
      <w:pPr>
        <w:tabs>
          <w:tab w:val="left" w:pos="4320"/>
        </w:tabs>
        <w:jc w:val="right"/>
      </w:pPr>
      <w:r w:rsidRPr="003B15F3">
        <w:t>7</w:t>
      </w:r>
      <w:r w:rsidR="00ED62BE" w:rsidRPr="003B15F3">
        <w:t xml:space="preserve"> M</w:t>
      </w:r>
      <w:r w:rsidR="00D33817" w:rsidRPr="003B15F3">
        <w:t>ay</w:t>
      </w:r>
      <w:r w:rsidR="00ED62BE" w:rsidRPr="003B15F3">
        <w:t xml:space="preserve"> 202</w:t>
      </w:r>
      <w:r w:rsidR="002514B4" w:rsidRPr="003B15F3">
        <w:t>6</w:t>
      </w:r>
    </w:p>
    <w:sectPr w:rsidR="00326E4B"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3802" w14:textId="77777777" w:rsidR="00BA497C" w:rsidRDefault="00BA497C">
      <w:r>
        <w:separator/>
      </w:r>
    </w:p>
  </w:endnote>
  <w:endnote w:type="continuationSeparator" w:id="0">
    <w:p w14:paraId="5BBBD2C0" w14:textId="77777777" w:rsidR="00BA497C" w:rsidRDefault="00BA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8DFC" w14:textId="77777777" w:rsidR="00E94B98" w:rsidRDefault="00E94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847A" w14:textId="77777777" w:rsidR="00FB665E" w:rsidRPr="005E4817" w:rsidRDefault="00FB665E">
    <w:pPr>
      <w:pStyle w:val="Footer"/>
      <w:jc w:val="right"/>
      <w:rPr>
        <w:rFonts w:asciiTheme="minorHAnsi" w:hAnsiTheme="minorHAnsi"/>
      </w:rPr>
    </w:pPr>
    <w:r w:rsidRPr="005E4817">
      <w:rPr>
        <w:rFonts w:asciiTheme="minorHAnsi" w:hAnsiTheme="minorHAnsi"/>
      </w:rPr>
      <w:fldChar w:fldCharType="begin"/>
    </w:r>
    <w:r w:rsidRPr="005E4817">
      <w:rPr>
        <w:rFonts w:asciiTheme="minorHAnsi" w:hAnsiTheme="minorHAnsi"/>
      </w:rPr>
      <w:instrText xml:space="preserve"> PAGE   \* MERGEFORMAT </w:instrText>
    </w:r>
    <w:r w:rsidRPr="005E4817">
      <w:rPr>
        <w:rFonts w:asciiTheme="minorHAnsi" w:hAnsiTheme="minorHAnsi"/>
      </w:rPr>
      <w:fldChar w:fldCharType="separate"/>
    </w:r>
    <w:r>
      <w:rPr>
        <w:rFonts w:asciiTheme="minorHAnsi" w:hAnsiTheme="minorHAnsi"/>
        <w:noProof/>
      </w:rPr>
      <w:t>2</w:t>
    </w:r>
    <w:r w:rsidRPr="005E4817">
      <w:rPr>
        <w:rFonts w:asciiTheme="minorHAnsi" w:hAnsiTheme="minorHAnsi"/>
        <w:noProof/>
      </w:rPr>
      <w:fldChar w:fldCharType="end"/>
    </w:r>
  </w:p>
  <w:p w14:paraId="3E8D2991" w14:textId="77777777" w:rsidR="00FB665E" w:rsidRDefault="00FB665E" w:rsidP="00891BAE">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5635" w14:textId="77777777" w:rsidR="00E94B98" w:rsidRDefault="00E94B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390F" w14:textId="77777777" w:rsidR="008B31E7" w:rsidRDefault="008B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B31E7" w:rsidRDefault="008B31E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EF2E" w14:textId="77777777" w:rsidR="008B31E7" w:rsidRPr="000424F9" w:rsidRDefault="008B31E7"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636B0">
      <w:rPr>
        <w:rFonts w:ascii="Calibri" w:hAnsi="Calibri"/>
        <w:noProof/>
      </w:rPr>
      <w:t>12</w:t>
    </w:r>
    <w:r w:rsidRPr="000424F9">
      <w:rPr>
        <w:rFonts w:ascii="Calibri" w:hAnsi="Calibri"/>
        <w:noProof/>
      </w:rPr>
      <w:fldChar w:fldCharType="end"/>
    </w:r>
  </w:p>
  <w:p w14:paraId="3C83327D" w14:textId="77777777" w:rsidR="008B31E7" w:rsidRDefault="008B31E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B8A1" w14:textId="77777777" w:rsidR="008B31E7" w:rsidRDefault="008B3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1FFC" w14:textId="77777777" w:rsidR="00BA497C" w:rsidRDefault="00BA497C">
      <w:r>
        <w:separator/>
      </w:r>
    </w:p>
  </w:footnote>
  <w:footnote w:type="continuationSeparator" w:id="0">
    <w:p w14:paraId="3E1AB1A7" w14:textId="77777777" w:rsidR="00BA497C" w:rsidRDefault="00BA497C">
      <w:r>
        <w:continuationSeparator/>
      </w:r>
    </w:p>
  </w:footnote>
  <w:footnote w:id="1">
    <w:p w14:paraId="604F22E2" w14:textId="6727E5BA" w:rsidR="00F21A48" w:rsidRPr="00F21A48" w:rsidRDefault="00F21A48">
      <w:pPr>
        <w:pStyle w:val="FootnoteText"/>
        <w:rPr>
          <w:sz w:val="18"/>
          <w:szCs w:val="18"/>
        </w:rPr>
      </w:pPr>
      <w:r w:rsidRPr="00F21A48">
        <w:rPr>
          <w:rStyle w:val="FootnoteReference"/>
          <w:sz w:val="18"/>
          <w:szCs w:val="18"/>
        </w:rPr>
        <w:footnoteRef/>
      </w:r>
      <w:r w:rsidRPr="00F21A48">
        <w:rPr>
          <w:sz w:val="18"/>
          <w:szCs w:val="18"/>
        </w:rPr>
        <w:t xml:space="preserve"> </w:t>
      </w:r>
      <w:hyperlink r:id="rId1" w:history="1">
        <w:r w:rsidRPr="00F21A48">
          <w:rPr>
            <w:rStyle w:val="Hyperlink"/>
            <w:sz w:val="18"/>
            <w:szCs w:val="18"/>
          </w:rPr>
          <w:t>Consumer Price Index, Australia, March 2026 | Australian Bureau of Statistics</w:t>
        </w:r>
      </w:hyperlink>
    </w:p>
  </w:footnote>
  <w:footnote w:id="2">
    <w:p w14:paraId="531C483C" w14:textId="6E8EEF46" w:rsidR="00F21A48" w:rsidRPr="00F21A48" w:rsidRDefault="00F21A48">
      <w:pPr>
        <w:pStyle w:val="FootnoteText"/>
        <w:rPr>
          <w:sz w:val="18"/>
          <w:szCs w:val="18"/>
          <w:lang w:val="en-AU"/>
        </w:rPr>
      </w:pPr>
      <w:r w:rsidRPr="00F21A48">
        <w:rPr>
          <w:rStyle w:val="FootnoteReference"/>
          <w:sz w:val="18"/>
          <w:szCs w:val="18"/>
        </w:rPr>
        <w:footnoteRef/>
      </w:r>
      <w:r w:rsidRPr="00F21A48">
        <w:rPr>
          <w:sz w:val="18"/>
          <w:szCs w:val="18"/>
        </w:rPr>
        <w:t xml:space="preserve"> </w:t>
      </w:r>
      <w:hyperlink r:id="rId2" w:history="1">
        <w:r w:rsidRPr="00F21A48">
          <w:rPr>
            <w:rStyle w:val="Hyperlink"/>
            <w:sz w:val="18"/>
            <w:szCs w:val="18"/>
          </w:rPr>
          <w:t>Wage Price Index, Australia, December 2025 | Australian Bureau of Statistics</w:t>
        </w:r>
      </w:hyperlink>
    </w:p>
  </w:footnote>
  <w:footnote w:id="3">
    <w:p w14:paraId="10F1A731" w14:textId="77777777" w:rsidR="00F16CF8" w:rsidRPr="00F16CF8" w:rsidRDefault="00F16CF8" w:rsidP="00F16CF8">
      <w:pPr>
        <w:spacing w:before="80" w:after="60"/>
        <w:rPr>
          <w:color w:val="000000" w:themeColor="text1"/>
          <w:szCs w:val="24"/>
        </w:rPr>
      </w:pPr>
      <w:r w:rsidRPr="00F16CF8">
        <w:rPr>
          <w:rStyle w:val="FootnoteReference"/>
          <w:rFonts w:asciiTheme="majorHAnsi" w:hAnsiTheme="majorHAnsi" w:cstheme="majorHAnsi"/>
          <w:sz w:val="20"/>
          <w:szCs w:val="20"/>
        </w:rPr>
        <w:footnoteRef/>
      </w:r>
      <w:r>
        <w:t xml:space="preserve"> </w:t>
      </w:r>
      <w:r w:rsidRPr="00F16CF8">
        <w:rPr>
          <w:sz w:val="16"/>
          <w:szCs w:val="16"/>
        </w:rPr>
        <w:t xml:space="preserve">Provides for additional remuneration associated with the previous provision of executive vehicles, commensurate with that payable to   ACTPS senior executives under section 51 of the </w:t>
      </w:r>
      <w:r w:rsidRPr="00F16CF8">
        <w:rPr>
          <w:i/>
          <w:iCs/>
          <w:sz w:val="16"/>
          <w:szCs w:val="16"/>
        </w:rPr>
        <w:t>Public Sector Management Standards 2016.</w:t>
      </w:r>
    </w:p>
    <w:p w14:paraId="7CC32F5C" w14:textId="21A7B694" w:rsidR="00F16CF8" w:rsidRPr="00F16CF8" w:rsidRDefault="00F16CF8">
      <w:pPr>
        <w:pStyle w:val="FootnoteText"/>
        <w:rPr>
          <w:lang w:val="en-AU"/>
        </w:rPr>
      </w:pPr>
    </w:p>
  </w:footnote>
  <w:footnote w:id="4">
    <w:p w14:paraId="0E8B3DA5" w14:textId="610D42BB" w:rsidR="00B4120B" w:rsidRPr="00E94B98" w:rsidRDefault="00B4120B" w:rsidP="00656529">
      <w:pPr>
        <w:rPr>
          <w:rFonts w:cs="Calibri"/>
          <w:sz w:val="16"/>
          <w:szCs w:val="16"/>
        </w:rPr>
      </w:pPr>
      <w:r w:rsidRPr="00E94B98">
        <w:rPr>
          <w:rStyle w:val="FootnoteReference"/>
          <w:rFonts w:ascii="Calibri" w:hAnsi="Calibri" w:cs="Calibri"/>
          <w:sz w:val="16"/>
          <w:szCs w:val="16"/>
        </w:rPr>
        <w:footnoteRef/>
      </w:r>
      <w:r w:rsidRPr="00E94B98">
        <w:rPr>
          <w:rFonts w:cs="Calibri"/>
          <w:sz w:val="16"/>
          <w:szCs w:val="16"/>
        </w:rPr>
        <w:t xml:space="preserve"> </w:t>
      </w:r>
      <w:hyperlink r:id="rId3" w:history="1">
        <w:r w:rsidR="00A011DD" w:rsidRPr="00E94B98">
          <w:rPr>
            <w:rStyle w:val="Hyperlink"/>
            <w:rFonts w:cs="Calibri"/>
            <w:sz w:val="16"/>
            <w:szCs w:val="16"/>
            <w:lang w:val="en-GB"/>
          </w:rPr>
          <w:t>Australian Taxation Office – Taxation Determination 2024/3 Income tax: what are the reasonable travel and overtime meal allowance expense amounts for the 2024-25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937D" w14:textId="17350F16" w:rsidR="00E94B98" w:rsidRDefault="00E94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7ACD" w14:textId="6853420C" w:rsidR="00E94B98" w:rsidRDefault="00E94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EF85" w14:textId="07104BB5" w:rsidR="00E94B98" w:rsidRDefault="00E94B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D7E2" w14:textId="0090863E" w:rsidR="008B31E7" w:rsidRDefault="008B31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564E" w14:textId="437A985E" w:rsidR="008B31E7" w:rsidRDefault="008B31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1FD6" w14:textId="666D0CCA" w:rsidR="008B31E7" w:rsidRDefault="008B3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444F6"/>
    <w:multiLevelType w:val="hybridMultilevel"/>
    <w:tmpl w:val="9FA0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2"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17075567">
    <w:abstractNumId w:val="3"/>
  </w:num>
  <w:num w:numId="2" w16cid:durableId="29184626">
    <w:abstractNumId w:val="9"/>
  </w:num>
  <w:num w:numId="3" w16cid:durableId="1271862746">
    <w:abstractNumId w:val="2"/>
  </w:num>
  <w:num w:numId="4" w16cid:durableId="201746550">
    <w:abstractNumId w:val="22"/>
  </w:num>
  <w:num w:numId="5" w16cid:durableId="1900171947">
    <w:abstractNumId w:val="15"/>
  </w:num>
  <w:num w:numId="6" w16cid:durableId="1016808644">
    <w:abstractNumId w:val="18"/>
  </w:num>
  <w:num w:numId="7" w16cid:durableId="370425664">
    <w:abstractNumId w:val="11"/>
  </w:num>
  <w:num w:numId="8" w16cid:durableId="255096537">
    <w:abstractNumId w:val="20"/>
  </w:num>
  <w:num w:numId="9" w16cid:durableId="40635883">
    <w:abstractNumId w:val="22"/>
  </w:num>
  <w:num w:numId="10" w16cid:durableId="1344476258">
    <w:abstractNumId w:val="22"/>
  </w:num>
  <w:num w:numId="11" w16cid:durableId="21253063">
    <w:abstractNumId w:val="21"/>
  </w:num>
  <w:num w:numId="12" w16cid:durableId="828441032">
    <w:abstractNumId w:val="16"/>
  </w:num>
  <w:num w:numId="13" w16cid:durableId="1426725877">
    <w:abstractNumId w:val="17"/>
  </w:num>
  <w:num w:numId="14" w16cid:durableId="1623076763">
    <w:abstractNumId w:val="12"/>
  </w:num>
  <w:num w:numId="15" w16cid:durableId="391663280">
    <w:abstractNumId w:val="23"/>
  </w:num>
  <w:num w:numId="16" w16cid:durableId="234902715">
    <w:abstractNumId w:val="14"/>
  </w:num>
  <w:num w:numId="17" w16cid:durableId="1524972549">
    <w:abstractNumId w:val="4"/>
  </w:num>
  <w:num w:numId="18" w16cid:durableId="1587611898">
    <w:abstractNumId w:val="8"/>
  </w:num>
  <w:num w:numId="19" w16cid:durableId="12926922">
    <w:abstractNumId w:val="0"/>
  </w:num>
  <w:num w:numId="20" w16cid:durableId="1353264194">
    <w:abstractNumId w:val="10"/>
  </w:num>
  <w:num w:numId="21" w16cid:durableId="1051807016">
    <w:abstractNumId w:val="19"/>
  </w:num>
  <w:num w:numId="22" w16cid:durableId="684332634">
    <w:abstractNumId w:val="5"/>
  </w:num>
  <w:num w:numId="23" w16cid:durableId="1558053406">
    <w:abstractNumId w:val="13"/>
  </w:num>
  <w:num w:numId="24" w16cid:durableId="1028214929">
    <w:abstractNumId w:val="6"/>
  </w:num>
  <w:num w:numId="25" w16cid:durableId="920985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007293">
    <w:abstractNumId w:val="22"/>
  </w:num>
  <w:num w:numId="27" w16cid:durableId="216627915">
    <w:abstractNumId w:val="1"/>
  </w:num>
  <w:num w:numId="28" w16cid:durableId="9883606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3021"/>
    <w:rsid w:val="00007899"/>
    <w:rsid w:val="00014CFC"/>
    <w:rsid w:val="00015042"/>
    <w:rsid w:val="000235E0"/>
    <w:rsid w:val="0002391C"/>
    <w:rsid w:val="00023FF7"/>
    <w:rsid w:val="00026013"/>
    <w:rsid w:val="00026E8D"/>
    <w:rsid w:val="00031CFC"/>
    <w:rsid w:val="00036F5F"/>
    <w:rsid w:val="00040544"/>
    <w:rsid w:val="000424F9"/>
    <w:rsid w:val="00042DBD"/>
    <w:rsid w:val="00050148"/>
    <w:rsid w:val="00050F53"/>
    <w:rsid w:val="0005314A"/>
    <w:rsid w:val="00056206"/>
    <w:rsid w:val="00056F1E"/>
    <w:rsid w:val="0006177A"/>
    <w:rsid w:val="000656D9"/>
    <w:rsid w:val="00071534"/>
    <w:rsid w:val="000718C6"/>
    <w:rsid w:val="000739D1"/>
    <w:rsid w:val="00073FA6"/>
    <w:rsid w:val="00085561"/>
    <w:rsid w:val="000866AC"/>
    <w:rsid w:val="00090A4E"/>
    <w:rsid w:val="000911C9"/>
    <w:rsid w:val="000945B5"/>
    <w:rsid w:val="00094C9A"/>
    <w:rsid w:val="00097FB9"/>
    <w:rsid w:val="000B0D00"/>
    <w:rsid w:val="000C05D0"/>
    <w:rsid w:val="000C0FBA"/>
    <w:rsid w:val="000C7440"/>
    <w:rsid w:val="000D063D"/>
    <w:rsid w:val="000D2E7C"/>
    <w:rsid w:val="000D3858"/>
    <w:rsid w:val="000D45C2"/>
    <w:rsid w:val="000E19B1"/>
    <w:rsid w:val="000E3F81"/>
    <w:rsid w:val="000E4DE2"/>
    <w:rsid w:val="000F1F6B"/>
    <w:rsid w:val="000F5D3A"/>
    <w:rsid w:val="000F74E9"/>
    <w:rsid w:val="00100184"/>
    <w:rsid w:val="00103C7B"/>
    <w:rsid w:val="00104D2C"/>
    <w:rsid w:val="0010519E"/>
    <w:rsid w:val="0010590D"/>
    <w:rsid w:val="00107976"/>
    <w:rsid w:val="00107B53"/>
    <w:rsid w:val="00111665"/>
    <w:rsid w:val="0011434E"/>
    <w:rsid w:val="0011446D"/>
    <w:rsid w:val="0012152F"/>
    <w:rsid w:val="00127666"/>
    <w:rsid w:val="00133A7C"/>
    <w:rsid w:val="00134510"/>
    <w:rsid w:val="00134E9D"/>
    <w:rsid w:val="0013640A"/>
    <w:rsid w:val="00144E0B"/>
    <w:rsid w:val="00145B13"/>
    <w:rsid w:val="00150A86"/>
    <w:rsid w:val="00151E69"/>
    <w:rsid w:val="0015430B"/>
    <w:rsid w:val="0016506F"/>
    <w:rsid w:val="0018623B"/>
    <w:rsid w:val="001877F5"/>
    <w:rsid w:val="001A333D"/>
    <w:rsid w:val="001B199D"/>
    <w:rsid w:val="001B2C4E"/>
    <w:rsid w:val="001B4DE2"/>
    <w:rsid w:val="001B7838"/>
    <w:rsid w:val="001D03AE"/>
    <w:rsid w:val="001D1882"/>
    <w:rsid w:val="001E4ED2"/>
    <w:rsid w:val="001E7230"/>
    <w:rsid w:val="001F0DC3"/>
    <w:rsid w:val="001F30AE"/>
    <w:rsid w:val="001F44E1"/>
    <w:rsid w:val="001F6DFA"/>
    <w:rsid w:val="00202CC1"/>
    <w:rsid w:val="002056CC"/>
    <w:rsid w:val="0021099D"/>
    <w:rsid w:val="00217E9D"/>
    <w:rsid w:val="00220C1E"/>
    <w:rsid w:val="0024270A"/>
    <w:rsid w:val="00246AAE"/>
    <w:rsid w:val="00247608"/>
    <w:rsid w:val="002514B4"/>
    <w:rsid w:val="00260189"/>
    <w:rsid w:val="002740B6"/>
    <w:rsid w:val="002A134C"/>
    <w:rsid w:val="002A4ADA"/>
    <w:rsid w:val="002A755E"/>
    <w:rsid w:val="002B329C"/>
    <w:rsid w:val="002B391E"/>
    <w:rsid w:val="002C0635"/>
    <w:rsid w:val="002C2521"/>
    <w:rsid w:val="002C2963"/>
    <w:rsid w:val="002C314A"/>
    <w:rsid w:val="002C3B13"/>
    <w:rsid w:val="002C5A60"/>
    <w:rsid w:val="002C785E"/>
    <w:rsid w:val="002D40AF"/>
    <w:rsid w:val="002D5657"/>
    <w:rsid w:val="002D7B30"/>
    <w:rsid w:val="002E23E7"/>
    <w:rsid w:val="002E252C"/>
    <w:rsid w:val="002E4735"/>
    <w:rsid w:val="002E55A6"/>
    <w:rsid w:val="003019CD"/>
    <w:rsid w:val="003057DE"/>
    <w:rsid w:val="00305DF5"/>
    <w:rsid w:val="003114FB"/>
    <w:rsid w:val="00320D51"/>
    <w:rsid w:val="00326E4B"/>
    <w:rsid w:val="0033335A"/>
    <w:rsid w:val="003336A8"/>
    <w:rsid w:val="003414B6"/>
    <w:rsid w:val="00347A7E"/>
    <w:rsid w:val="00360526"/>
    <w:rsid w:val="00362495"/>
    <w:rsid w:val="0036438B"/>
    <w:rsid w:val="00364410"/>
    <w:rsid w:val="003661F9"/>
    <w:rsid w:val="003715E6"/>
    <w:rsid w:val="00372DD3"/>
    <w:rsid w:val="00373E37"/>
    <w:rsid w:val="00380C71"/>
    <w:rsid w:val="00381CF4"/>
    <w:rsid w:val="00383A02"/>
    <w:rsid w:val="003911B9"/>
    <w:rsid w:val="00391B63"/>
    <w:rsid w:val="00391F3F"/>
    <w:rsid w:val="0039634A"/>
    <w:rsid w:val="00397161"/>
    <w:rsid w:val="003A57A2"/>
    <w:rsid w:val="003A7730"/>
    <w:rsid w:val="003B0300"/>
    <w:rsid w:val="003B15F3"/>
    <w:rsid w:val="003B1A08"/>
    <w:rsid w:val="003D2768"/>
    <w:rsid w:val="003D2D25"/>
    <w:rsid w:val="003D404C"/>
    <w:rsid w:val="003D474C"/>
    <w:rsid w:val="003D4E8A"/>
    <w:rsid w:val="003D59CB"/>
    <w:rsid w:val="003E3747"/>
    <w:rsid w:val="003E4B90"/>
    <w:rsid w:val="003E79F7"/>
    <w:rsid w:val="003F290D"/>
    <w:rsid w:val="003F5154"/>
    <w:rsid w:val="003F542F"/>
    <w:rsid w:val="003F5B7F"/>
    <w:rsid w:val="003F6933"/>
    <w:rsid w:val="003F7A76"/>
    <w:rsid w:val="004004FA"/>
    <w:rsid w:val="00403576"/>
    <w:rsid w:val="00406181"/>
    <w:rsid w:val="00407D3E"/>
    <w:rsid w:val="00415823"/>
    <w:rsid w:val="00416370"/>
    <w:rsid w:val="00420D6C"/>
    <w:rsid w:val="00437715"/>
    <w:rsid w:val="00441444"/>
    <w:rsid w:val="00444337"/>
    <w:rsid w:val="004455DD"/>
    <w:rsid w:val="00451281"/>
    <w:rsid w:val="004521C4"/>
    <w:rsid w:val="00456209"/>
    <w:rsid w:val="004645EE"/>
    <w:rsid w:val="00466A6D"/>
    <w:rsid w:val="00470F0C"/>
    <w:rsid w:val="00475013"/>
    <w:rsid w:val="00475411"/>
    <w:rsid w:val="0047670B"/>
    <w:rsid w:val="004A2467"/>
    <w:rsid w:val="004A3DC1"/>
    <w:rsid w:val="004B3191"/>
    <w:rsid w:val="004B4A80"/>
    <w:rsid w:val="004B66BB"/>
    <w:rsid w:val="004B688C"/>
    <w:rsid w:val="004B71C5"/>
    <w:rsid w:val="004C0317"/>
    <w:rsid w:val="004C2A9A"/>
    <w:rsid w:val="004C42DA"/>
    <w:rsid w:val="004C4847"/>
    <w:rsid w:val="004C603F"/>
    <w:rsid w:val="004C6B38"/>
    <w:rsid w:val="004C6DE2"/>
    <w:rsid w:val="004D35A7"/>
    <w:rsid w:val="004D44E5"/>
    <w:rsid w:val="004F66D7"/>
    <w:rsid w:val="004F77CB"/>
    <w:rsid w:val="00501D7C"/>
    <w:rsid w:val="0050700C"/>
    <w:rsid w:val="00510BDD"/>
    <w:rsid w:val="00513C42"/>
    <w:rsid w:val="005152BC"/>
    <w:rsid w:val="005158B0"/>
    <w:rsid w:val="00516063"/>
    <w:rsid w:val="005210C7"/>
    <w:rsid w:val="00521DCD"/>
    <w:rsid w:val="00524C8A"/>
    <w:rsid w:val="00531C63"/>
    <w:rsid w:val="00543791"/>
    <w:rsid w:val="005449AD"/>
    <w:rsid w:val="005515EE"/>
    <w:rsid w:val="00557E3B"/>
    <w:rsid w:val="005708C7"/>
    <w:rsid w:val="00570E42"/>
    <w:rsid w:val="00577E23"/>
    <w:rsid w:val="0059383C"/>
    <w:rsid w:val="0059463C"/>
    <w:rsid w:val="005A7C99"/>
    <w:rsid w:val="005B0ACC"/>
    <w:rsid w:val="005B397F"/>
    <w:rsid w:val="005B596D"/>
    <w:rsid w:val="005C08FE"/>
    <w:rsid w:val="005D23A4"/>
    <w:rsid w:val="005D2F58"/>
    <w:rsid w:val="005D6ACC"/>
    <w:rsid w:val="005D7B83"/>
    <w:rsid w:val="005E0200"/>
    <w:rsid w:val="005E0686"/>
    <w:rsid w:val="005E31C6"/>
    <w:rsid w:val="005E66E2"/>
    <w:rsid w:val="005E7A3E"/>
    <w:rsid w:val="005F35AD"/>
    <w:rsid w:val="005F51FB"/>
    <w:rsid w:val="005F5F14"/>
    <w:rsid w:val="00604F0B"/>
    <w:rsid w:val="00616924"/>
    <w:rsid w:val="00617733"/>
    <w:rsid w:val="0061777D"/>
    <w:rsid w:val="00621172"/>
    <w:rsid w:val="00621F10"/>
    <w:rsid w:val="006332BC"/>
    <w:rsid w:val="006346A7"/>
    <w:rsid w:val="00646991"/>
    <w:rsid w:val="00647F0A"/>
    <w:rsid w:val="00652AB1"/>
    <w:rsid w:val="00653267"/>
    <w:rsid w:val="00656529"/>
    <w:rsid w:val="00657808"/>
    <w:rsid w:val="00667D31"/>
    <w:rsid w:val="00671B76"/>
    <w:rsid w:val="00671C75"/>
    <w:rsid w:val="00674580"/>
    <w:rsid w:val="00674BD0"/>
    <w:rsid w:val="00675113"/>
    <w:rsid w:val="00676255"/>
    <w:rsid w:val="00677B60"/>
    <w:rsid w:val="00681507"/>
    <w:rsid w:val="0069220A"/>
    <w:rsid w:val="00695633"/>
    <w:rsid w:val="00697229"/>
    <w:rsid w:val="006A03A5"/>
    <w:rsid w:val="006A4265"/>
    <w:rsid w:val="006A5149"/>
    <w:rsid w:val="006A6A44"/>
    <w:rsid w:val="006B1541"/>
    <w:rsid w:val="006B231A"/>
    <w:rsid w:val="006B2E82"/>
    <w:rsid w:val="006C7757"/>
    <w:rsid w:val="006D6312"/>
    <w:rsid w:val="006E1141"/>
    <w:rsid w:val="006E53A9"/>
    <w:rsid w:val="006E6165"/>
    <w:rsid w:val="006F1565"/>
    <w:rsid w:val="006F4F7F"/>
    <w:rsid w:val="006F650A"/>
    <w:rsid w:val="00710ECE"/>
    <w:rsid w:val="00714AD4"/>
    <w:rsid w:val="00714C87"/>
    <w:rsid w:val="0071674A"/>
    <w:rsid w:val="00727886"/>
    <w:rsid w:val="00730C82"/>
    <w:rsid w:val="00732D04"/>
    <w:rsid w:val="00743DEB"/>
    <w:rsid w:val="00747932"/>
    <w:rsid w:val="00752AFC"/>
    <w:rsid w:val="007534BC"/>
    <w:rsid w:val="007612FA"/>
    <w:rsid w:val="007653BC"/>
    <w:rsid w:val="00774F91"/>
    <w:rsid w:val="0078119F"/>
    <w:rsid w:val="00791C85"/>
    <w:rsid w:val="007A07BD"/>
    <w:rsid w:val="007A0CEA"/>
    <w:rsid w:val="007A11BD"/>
    <w:rsid w:val="007A5A88"/>
    <w:rsid w:val="007B25A5"/>
    <w:rsid w:val="007B2F07"/>
    <w:rsid w:val="007B3033"/>
    <w:rsid w:val="007B444B"/>
    <w:rsid w:val="007B5A4D"/>
    <w:rsid w:val="007B6EFD"/>
    <w:rsid w:val="007B7D04"/>
    <w:rsid w:val="007C22C6"/>
    <w:rsid w:val="007C2370"/>
    <w:rsid w:val="007C5913"/>
    <w:rsid w:val="007C7062"/>
    <w:rsid w:val="007D5304"/>
    <w:rsid w:val="007E0063"/>
    <w:rsid w:val="007E11E5"/>
    <w:rsid w:val="007E3378"/>
    <w:rsid w:val="007E6AB7"/>
    <w:rsid w:val="00802958"/>
    <w:rsid w:val="00802ACA"/>
    <w:rsid w:val="0080694B"/>
    <w:rsid w:val="008151E4"/>
    <w:rsid w:val="0081580E"/>
    <w:rsid w:val="00816737"/>
    <w:rsid w:val="00816BA9"/>
    <w:rsid w:val="008236B1"/>
    <w:rsid w:val="008316A3"/>
    <w:rsid w:val="00832CA7"/>
    <w:rsid w:val="00835A36"/>
    <w:rsid w:val="00842A40"/>
    <w:rsid w:val="00842AA2"/>
    <w:rsid w:val="00843684"/>
    <w:rsid w:val="00843E1B"/>
    <w:rsid w:val="00844AC8"/>
    <w:rsid w:val="008516DF"/>
    <w:rsid w:val="00852752"/>
    <w:rsid w:val="00864B6A"/>
    <w:rsid w:val="00864E74"/>
    <w:rsid w:val="00865598"/>
    <w:rsid w:val="00867A92"/>
    <w:rsid w:val="00867F9A"/>
    <w:rsid w:val="00870068"/>
    <w:rsid w:val="0087377E"/>
    <w:rsid w:val="00877EB0"/>
    <w:rsid w:val="00882C73"/>
    <w:rsid w:val="00883CEC"/>
    <w:rsid w:val="00891859"/>
    <w:rsid w:val="0089656C"/>
    <w:rsid w:val="00896D1B"/>
    <w:rsid w:val="008B0427"/>
    <w:rsid w:val="008B31E7"/>
    <w:rsid w:val="008B6DDC"/>
    <w:rsid w:val="008C43AB"/>
    <w:rsid w:val="008C5BE2"/>
    <w:rsid w:val="008D0A3D"/>
    <w:rsid w:val="008D5909"/>
    <w:rsid w:val="008E5FD7"/>
    <w:rsid w:val="008E7762"/>
    <w:rsid w:val="008F53E6"/>
    <w:rsid w:val="009031DC"/>
    <w:rsid w:val="0091032A"/>
    <w:rsid w:val="009118FF"/>
    <w:rsid w:val="00913495"/>
    <w:rsid w:val="00913DC0"/>
    <w:rsid w:val="0091771F"/>
    <w:rsid w:val="0092035A"/>
    <w:rsid w:val="009208E7"/>
    <w:rsid w:val="00926988"/>
    <w:rsid w:val="009277F6"/>
    <w:rsid w:val="00930FCA"/>
    <w:rsid w:val="009315B6"/>
    <w:rsid w:val="00931C14"/>
    <w:rsid w:val="00931F7A"/>
    <w:rsid w:val="00935862"/>
    <w:rsid w:val="0093625B"/>
    <w:rsid w:val="00937D57"/>
    <w:rsid w:val="009458C6"/>
    <w:rsid w:val="009468BC"/>
    <w:rsid w:val="00946CD2"/>
    <w:rsid w:val="00960FDB"/>
    <w:rsid w:val="009636B0"/>
    <w:rsid w:val="00964233"/>
    <w:rsid w:val="009649E8"/>
    <w:rsid w:val="0097023D"/>
    <w:rsid w:val="009741A6"/>
    <w:rsid w:val="00977C4D"/>
    <w:rsid w:val="009859F7"/>
    <w:rsid w:val="00986FF6"/>
    <w:rsid w:val="00992018"/>
    <w:rsid w:val="00993C55"/>
    <w:rsid w:val="0099547F"/>
    <w:rsid w:val="009A108C"/>
    <w:rsid w:val="009A441F"/>
    <w:rsid w:val="009B3F44"/>
    <w:rsid w:val="009C6103"/>
    <w:rsid w:val="009D1A1F"/>
    <w:rsid w:val="009D5A09"/>
    <w:rsid w:val="009E34DA"/>
    <w:rsid w:val="009E4C67"/>
    <w:rsid w:val="009E735F"/>
    <w:rsid w:val="009F419B"/>
    <w:rsid w:val="009F7359"/>
    <w:rsid w:val="00A011DD"/>
    <w:rsid w:val="00A04923"/>
    <w:rsid w:val="00A10D88"/>
    <w:rsid w:val="00A2357D"/>
    <w:rsid w:val="00A272F8"/>
    <w:rsid w:val="00A32A02"/>
    <w:rsid w:val="00A403CA"/>
    <w:rsid w:val="00A42F30"/>
    <w:rsid w:val="00A53B73"/>
    <w:rsid w:val="00A53C1D"/>
    <w:rsid w:val="00A544E2"/>
    <w:rsid w:val="00A63EF0"/>
    <w:rsid w:val="00A7057A"/>
    <w:rsid w:val="00A70702"/>
    <w:rsid w:val="00A72561"/>
    <w:rsid w:val="00A760A2"/>
    <w:rsid w:val="00A77538"/>
    <w:rsid w:val="00A8018D"/>
    <w:rsid w:val="00A90AB7"/>
    <w:rsid w:val="00AA388B"/>
    <w:rsid w:val="00AB02B9"/>
    <w:rsid w:val="00AB0311"/>
    <w:rsid w:val="00AB5D83"/>
    <w:rsid w:val="00AC0FCC"/>
    <w:rsid w:val="00AC1C71"/>
    <w:rsid w:val="00AC729A"/>
    <w:rsid w:val="00AD06CC"/>
    <w:rsid w:val="00AD5324"/>
    <w:rsid w:val="00AD58CE"/>
    <w:rsid w:val="00AD5E24"/>
    <w:rsid w:val="00AE2A32"/>
    <w:rsid w:val="00AE2CF2"/>
    <w:rsid w:val="00AE3615"/>
    <w:rsid w:val="00AE59B7"/>
    <w:rsid w:val="00AE689E"/>
    <w:rsid w:val="00AE77C3"/>
    <w:rsid w:val="00AF6998"/>
    <w:rsid w:val="00AF7E18"/>
    <w:rsid w:val="00B01FAC"/>
    <w:rsid w:val="00B22A48"/>
    <w:rsid w:val="00B34D90"/>
    <w:rsid w:val="00B3518F"/>
    <w:rsid w:val="00B35F3F"/>
    <w:rsid w:val="00B40DE4"/>
    <w:rsid w:val="00B41011"/>
    <w:rsid w:val="00B4120B"/>
    <w:rsid w:val="00B42918"/>
    <w:rsid w:val="00B44433"/>
    <w:rsid w:val="00B50DAA"/>
    <w:rsid w:val="00B515A4"/>
    <w:rsid w:val="00B543C2"/>
    <w:rsid w:val="00B602B7"/>
    <w:rsid w:val="00B61E76"/>
    <w:rsid w:val="00B634A3"/>
    <w:rsid w:val="00B63E13"/>
    <w:rsid w:val="00B7359A"/>
    <w:rsid w:val="00B75CD8"/>
    <w:rsid w:val="00B76438"/>
    <w:rsid w:val="00B80964"/>
    <w:rsid w:val="00B826F0"/>
    <w:rsid w:val="00B92322"/>
    <w:rsid w:val="00B94E3B"/>
    <w:rsid w:val="00B960E0"/>
    <w:rsid w:val="00B96194"/>
    <w:rsid w:val="00B96F16"/>
    <w:rsid w:val="00B978F0"/>
    <w:rsid w:val="00B97BF2"/>
    <w:rsid w:val="00BA488C"/>
    <w:rsid w:val="00BA497C"/>
    <w:rsid w:val="00BB3562"/>
    <w:rsid w:val="00BB4A62"/>
    <w:rsid w:val="00BB5F20"/>
    <w:rsid w:val="00BB7044"/>
    <w:rsid w:val="00BC2ABD"/>
    <w:rsid w:val="00BC58C6"/>
    <w:rsid w:val="00BD1474"/>
    <w:rsid w:val="00BD1AFE"/>
    <w:rsid w:val="00BE3052"/>
    <w:rsid w:val="00BE4B52"/>
    <w:rsid w:val="00C0023C"/>
    <w:rsid w:val="00C03752"/>
    <w:rsid w:val="00C03DBD"/>
    <w:rsid w:val="00C05120"/>
    <w:rsid w:val="00C051B8"/>
    <w:rsid w:val="00C053A5"/>
    <w:rsid w:val="00C10C16"/>
    <w:rsid w:val="00C15AC6"/>
    <w:rsid w:val="00C21D48"/>
    <w:rsid w:val="00C221AC"/>
    <w:rsid w:val="00C224E4"/>
    <w:rsid w:val="00C22742"/>
    <w:rsid w:val="00C23982"/>
    <w:rsid w:val="00C241CD"/>
    <w:rsid w:val="00C2538E"/>
    <w:rsid w:val="00C25F65"/>
    <w:rsid w:val="00C27763"/>
    <w:rsid w:val="00C335E0"/>
    <w:rsid w:val="00C5322A"/>
    <w:rsid w:val="00C561B4"/>
    <w:rsid w:val="00C616D7"/>
    <w:rsid w:val="00C61F9D"/>
    <w:rsid w:val="00C71242"/>
    <w:rsid w:val="00C76A53"/>
    <w:rsid w:val="00C810A6"/>
    <w:rsid w:val="00C87A45"/>
    <w:rsid w:val="00C90DE3"/>
    <w:rsid w:val="00C91627"/>
    <w:rsid w:val="00C9234D"/>
    <w:rsid w:val="00C95977"/>
    <w:rsid w:val="00CA01A6"/>
    <w:rsid w:val="00CA0D6A"/>
    <w:rsid w:val="00CA0E47"/>
    <w:rsid w:val="00CA4D79"/>
    <w:rsid w:val="00CA59D1"/>
    <w:rsid w:val="00CA682D"/>
    <w:rsid w:val="00CB1C7E"/>
    <w:rsid w:val="00CB4279"/>
    <w:rsid w:val="00CB7D64"/>
    <w:rsid w:val="00CB7ED3"/>
    <w:rsid w:val="00CC011B"/>
    <w:rsid w:val="00CC0EDB"/>
    <w:rsid w:val="00CC57FE"/>
    <w:rsid w:val="00CD0186"/>
    <w:rsid w:val="00CD0FEE"/>
    <w:rsid w:val="00CD1EAD"/>
    <w:rsid w:val="00CF018A"/>
    <w:rsid w:val="00CF2E46"/>
    <w:rsid w:val="00D003B9"/>
    <w:rsid w:val="00D04F1B"/>
    <w:rsid w:val="00D2178F"/>
    <w:rsid w:val="00D24A6F"/>
    <w:rsid w:val="00D24ABC"/>
    <w:rsid w:val="00D27F6B"/>
    <w:rsid w:val="00D31E04"/>
    <w:rsid w:val="00D33817"/>
    <w:rsid w:val="00D364F2"/>
    <w:rsid w:val="00D42DD5"/>
    <w:rsid w:val="00D452F4"/>
    <w:rsid w:val="00D47FC9"/>
    <w:rsid w:val="00D5308B"/>
    <w:rsid w:val="00D551C2"/>
    <w:rsid w:val="00D556CB"/>
    <w:rsid w:val="00D6128B"/>
    <w:rsid w:val="00D61781"/>
    <w:rsid w:val="00D6184E"/>
    <w:rsid w:val="00D65EAE"/>
    <w:rsid w:val="00D66012"/>
    <w:rsid w:val="00D833FF"/>
    <w:rsid w:val="00D850CE"/>
    <w:rsid w:val="00D920BF"/>
    <w:rsid w:val="00D9219C"/>
    <w:rsid w:val="00D9585F"/>
    <w:rsid w:val="00DA3D0F"/>
    <w:rsid w:val="00DB27EE"/>
    <w:rsid w:val="00DC011D"/>
    <w:rsid w:val="00DC337A"/>
    <w:rsid w:val="00DC35CF"/>
    <w:rsid w:val="00DC40FD"/>
    <w:rsid w:val="00DC5108"/>
    <w:rsid w:val="00DC6C6D"/>
    <w:rsid w:val="00DC6E8F"/>
    <w:rsid w:val="00DC79EE"/>
    <w:rsid w:val="00DD16E5"/>
    <w:rsid w:val="00DD73BE"/>
    <w:rsid w:val="00DE0571"/>
    <w:rsid w:val="00DE60DA"/>
    <w:rsid w:val="00DE6EB1"/>
    <w:rsid w:val="00DF0D48"/>
    <w:rsid w:val="00DF10B8"/>
    <w:rsid w:val="00DF140E"/>
    <w:rsid w:val="00DF3859"/>
    <w:rsid w:val="00DF4AC6"/>
    <w:rsid w:val="00E012BE"/>
    <w:rsid w:val="00E01547"/>
    <w:rsid w:val="00E14F84"/>
    <w:rsid w:val="00E16907"/>
    <w:rsid w:val="00E23C62"/>
    <w:rsid w:val="00E24700"/>
    <w:rsid w:val="00E32058"/>
    <w:rsid w:val="00E33098"/>
    <w:rsid w:val="00E356CE"/>
    <w:rsid w:val="00E35B41"/>
    <w:rsid w:val="00E43087"/>
    <w:rsid w:val="00E52548"/>
    <w:rsid w:val="00E546CC"/>
    <w:rsid w:val="00E55F9B"/>
    <w:rsid w:val="00E61D6D"/>
    <w:rsid w:val="00E6325B"/>
    <w:rsid w:val="00E66FEB"/>
    <w:rsid w:val="00E71173"/>
    <w:rsid w:val="00E842E0"/>
    <w:rsid w:val="00E846BF"/>
    <w:rsid w:val="00E94B98"/>
    <w:rsid w:val="00EA1A9E"/>
    <w:rsid w:val="00EC355A"/>
    <w:rsid w:val="00ED62BE"/>
    <w:rsid w:val="00ED7A96"/>
    <w:rsid w:val="00EE2454"/>
    <w:rsid w:val="00EF040C"/>
    <w:rsid w:val="00F012B5"/>
    <w:rsid w:val="00F07BE6"/>
    <w:rsid w:val="00F16CF8"/>
    <w:rsid w:val="00F20117"/>
    <w:rsid w:val="00F215BD"/>
    <w:rsid w:val="00F219F2"/>
    <w:rsid w:val="00F21A48"/>
    <w:rsid w:val="00F23E72"/>
    <w:rsid w:val="00F23FF5"/>
    <w:rsid w:val="00F3007A"/>
    <w:rsid w:val="00F313B5"/>
    <w:rsid w:val="00F31978"/>
    <w:rsid w:val="00F3297E"/>
    <w:rsid w:val="00F329DE"/>
    <w:rsid w:val="00F35025"/>
    <w:rsid w:val="00F412B1"/>
    <w:rsid w:val="00F41878"/>
    <w:rsid w:val="00F54DBA"/>
    <w:rsid w:val="00F5535C"/>
    <w:rsid w:val="00F55699"/>
    <w:rsid w:val="00F572EC"/>
    <w:rsid w:val="00F6007D"/>
    <w:rsid w:val="00F60EEA"/>
    <w:rsid w:val="00F64856"/>
    <w:rsid w:val="00F67DFE"/>
    <w:rsid w:val="00F74957"/>
    <w:rsid w:val="00F74E7D"/>
    <w:rsid w:val="00F74FF0"/>
    <w:rsid w:val="00F84806"/>
    <w:rsid w:val="00F875AC"/>
    <w:rsid w:val="00F87E50"/>
    <w:rsid w:val="00F941A7"/>
    <w:rsid w:val="00F975B7"/>
    <w:rsid w:val="00FA084B"/>
    <w:rsid w:val="00FA3A75"/>
    <w:rsid w:val="00FA5FA2"/>
    <w:rsid w:val="00FB06AE"/>
    <w:rsid w:val="00FB4530"/>
    <w:rsid w:val="00FB665E"/>
    <w:rsid w:val="00FB7E3C"/>
    <w:rsid w:val="00FC1A46"/>
    <w:rsid w:val="00FC1AD2"/>
    <w:rsid w:val="00FC4D82"/>
    <w:rsid w:val="00FC5C65"/>
    <w:rsid w:val="00FD023F"/>
    <w:rsid w:val="00FD77B8"/>
    <w:rsid w:val="00FE11B6"/>
    <w:rsid w:val="00FE1DDA"/>
    <w:rsid w:val="00FE6270"/>
    <w:rsid w:val="00FE674B"/>
    <w:rsid w:val="00FE6FA6"/>
    <w:rsid w:val="00FE70B7"/>
    <w:rsid w:val="00FF0669"/>
    <w:rsid w:val="00FF324C"/>
    <w:rsid w:val="00FF346F"/>
    <w:rsid w:val="00FF40D4"/>
    <w:rsid w:val="00FF49F1"/>
    <w:rsid w:val="00FF707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D5938"/>
  <w15:docId w15:val="{C9436379-1993-46C2-819D-24B4DCE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tabs>
        <w:tab w:val="clear" w:pos="700"/>
        <w:tab w:val="num" w:pos="1080"/>
      </w:tabs>
      <w:spacing w:before="180" w:after="60"/>
      <w:ind w:left="1080" w:hanging="1080"/>
      <w:outlineLvl w:val="4"/>
    </w:pPr>
    <w:rPr>
      <w:rFonts w:ascii="Arial" w:hAnsi="Arial"/>
      <w:b/>
    </w:rPr>
  </w:style>
  <w:style w:type="paragraph" w:styleId="Header">
    <w:name w:val="header"/>
    <w:basedOn w:val="Normal"/>
    <w:link w:val="HeaderChar"/>
    <w:uiPriority w:val="99"/>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character" w:customStyle="1" w:styleId="Heading3Char">
    <w:name w:val="Heading 3 Char"/>
    <w:basedOn w:val="DefaultParagraphFont"/>
    <w:link w:val="Heading3"/>
    <w:uiPriority w:val="9"/>
    <w:rsid w:val="00752AFC"/>
    <w:rPr>
      <w:rFonts w:ascii="Calibri" w:hAnsi="Calibri"/>
      <w:b/>
      <w:bCs/>
      <w:sz w:val="24"/>
    </w:rPr>
  </w:style>
  <w:style w:type="paragraph" w:styleId="Revision">
    <w:name w:val="Revision"/>
    <w:hidden/>
    <w:uiPriority w:val="99"/>
    <w:semiHidden/>
    <w:rsid w:val="00695633"/>
    <w:rPr>
      <w:rFonts w:ascii="Calibri" w:hAnsi="Calibri"/>
      <w:sz w:val="24"/>
    </w:rPr>
  </w:style>
  <w:style w:type="character" w:customStyle="1" w:styleId="cf01">
    <w:name w:val="cf01"/>
    <w:basedOn w:val="DefaultParagraphFont"/>
    <w:rsid w:val="00BC58C6"/>
    <w:rPr>
      <w:rFonts w:ascii="Segoe UI" w:hAnsi="Segoe UI" w:cs="Segoe UI" w:hint="default"/>
      <w:sz w:val="18"/>
      <w:szCs w:val="18"/>
    </w:rPr>
  </w:style>
  <w:style w:type="character" w:styleId="UnresolvedMention">
    <w:name w:val="Unresolved Mention"/>
    <w:basedOn w:val="DefaultParagraphFont"/>
    <w:uiPriority w:val="99"/>
    <w:semiHidden/>
    <w:unhideWhenUsed/>
    <w:rsid w:val="00040544"/>
    <w:rPr>
      <w:color w:val="605E5C"/>
      <w:shd w:val="clear" w:color="auto" w:fill="E1DFDD"/>
    </w:rPr>
  </w:style>
  <w:style w:type="paragraph" w:customStyle="1" w:styleId="m4332841467621231132xmsonormal">
    <w:name w:val="m_4332841467621231132xmsonormal"/>
    <w:basedOn w:val="Normal"/>
    <w:rsid w:val="00EC355A"/>
    <w:pPr>
      <w:spacing w:before="100" w:beforeAutospacing="1" w:after="100" w:afterAutospacing="1"/>
    </w:pPr>
    <w:rPr>
      <w:rFonts w:eastAsiaTheme="minorHAns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9211">
      <w:bodyDiv w:val="1"/>
      <w:marLeft w:val="0"/>
      <w:marRight w:val="0"/>
      <w:marTop w:val="0"/>
      <w:marBottom w:val="0"/>
      <w:divBdr>
        <w:top w:val="none" w:sz="0" w:space="0" w:color="auto"/>
        <w:left w:val="none" w:sz="0" w:space="0" w:color="auto"/>
        <w:bottom w:val="none" w:sz="0" w:space="0" w:color="auto"/>
        <w:right w:val="none" w:sz="0" w:space="0" w:color="auto"/>
      </w:divBdr>
    </w:div>
    <w:div w:id="427428393">
      <w:bodyDiv w:val="1"/>
      <w:marLeft w:val="0"/>
      <w:marRight w:val="0"/>
      <w:marTop w:val="0"/>
      <w:marBottom w:val="0"/>
      <w:divBdr>
        <w:top w:val="none" w:sz="0" w:space="0" w:color="auto"/>
        <w:left w:val="none" w:sz="0" w:space="0" w:color="auto"/>
        <w:bottom w:val="none" w:sz="0" w:space="0" w:color="auto"/>
        <w:right w:val="none" w:sz="0" w:space="0" w:color="auto"/>
      </w:divBdr>
    </w:div>
    <w:div w:id="441150659">
      <w:bodyDiv w:val="1"/>
      <w:marLeft w:val="0"/>
      <w:marRight w:val="0"/>
      <w:marTop w:val="0"/>
      <w:marBottom w:val="0"/>
      <w:divBdr>
        <w:top w:val="none" w:sz="0" w:space="0" w:color="auto"/>
        <w:left w:val="none" w:sz="0" w:space="0" w:color="auto"/>
        <w:bottom w:val="none" w:sz="0" w:space="0" w:color="auto"/>
        <w:right w:val="none" w:sz="0" w:space="0" w:color="auto"/>
      </w:divBdr>
    </w:div>
    <w:div w:id="499346554">
      <w:bodyDiv w:val="1"/>
      <w:marLeft w:val="0"/>
      <w:marRight w:val="0"/>
      <w:marTop w:val="0"/>
      <w:marBottom w:val="0"/>
      <w:divBdr>
        <w:top w:val="none" w:sz="0" w:space="0" w:color="auto"/>
        <w:left w:val="none" w:sz="0" w:space="0" w:color="auto"/>
        <w:bottom w:val="none" w:sz="0" w:space="0" w:color="auto"/>
        <w:right w:val="none" w:sz="0" w:space="0" w:color="auto"/>
      </w:divBdr>
    </w:div>
    <w:div w:id="1333100198">
      <w:bodyDiv w:val="1"/>
      <w:marLeft w:val="0"/>
      <w:marRight w:val="0"/>
      <w:marTop w:val="0"/>
      <w:marBottom w:val="0"/>
      <w:divBdr>
        <w:top w:val="none" w:sz="0" w:space="0" w:color="auto"/>
        <w:left w:val="none" w:sz="0" w:space="0" w:color="auto"/>
        <w:bottom w:val="none" w:sz="0" w:space="0" w:color="auto"/>
        <w:right w:val="none" w:sz="0" w:space="0" w:color="auto"/>
      </w:divBdr>
    </w:div>
    <w:div w:id="1641381177">
      <w:bodyDiv w:val="1"/>
      <w:marLeft w:val="0"/>
      <w:marRight w:val="0"/>
      <w:marTop w:val="0"/>
      <w:marBottom w:val="0"/>
      <w:divBdr>
        <w:top w:val="none" w:sz="0" w:space="0" w:color="auto"/>
        <w:left w:val="none" w:sz="0" w:space="0" w:color="auto"/>
        <w:bottom w:val="none" w:sz="0" w:space="0" w:color="auto"/>
        <w:right w:val="none" w:sz="0" w:space="0" w:color="auto"/>
      </w:divBdr>
    </w:div>
    <w:div w:id="2015298592">
      <w:bodyDiv w:val="1"/>
      <w:marLeft w:val="0"/>
      <w:marRight w:val="0"/>
      <w:marTop w:val="0"/>
      <w:marBottom w:val="0"/>
      <w:divBdr>
        <w:top w:val="none" w:sz="0" w:space="0" w:color="auto"/>
        <w:left w:val="none" w:sz="0" w:space="0" w:color="auto"/>
        <w:bottom w:val="none" w:sz="0" w:space="0" w:color="auto"/>
        <w:right w:val="none" w:sz="0" w:space="0" w:color="auto"/>
      </w:divBdr>
    </w:div>
    <w:div w:id="2035033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law/view/document?src=ws&amp;pit=99991231235958&amp;arc=false&amp;start=1&amp;pageSize=10&amp;total=3552&amp;num=9&amp;docid=TXD%2FTD20243%2FNAT%2FATO%2F00001&amp;dc=false&amp;stype=find&amp;tm=phrase-basic-TAXATION%20DETERMINATION" TargetMode="External"/><Relationship Id="rId2" Type="http://schemas.openxmlformats.org/officeDocument/2006/relationships/hyperlink" Target="https://www.abs.gov.au/statistics/economy/price-indexes-and-inflation/wage-price-index-australia/dec-2025" TargetMode="External"/><Relationship Id="rId1" Type="http://schemas.openxmlformats.org/officeDocument/2006/relationships/hyperlink" Target="https://www.abs.gov.au/statistics/economy/price-indexes-and-inflation/consumer-price-index-australia/ma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E161E998-31C2-462F-AAA7-9C0734FE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3161</Words>
  <Characters>17238</Characters>
  <Application>Microsoft Office Word</Application>
  <DocSecurity>0</DocSecurity>
  <Lines>453</Lines>
  <Paragraphs>299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Remuneration</dc:subject>
  <dc:creator>Secretary, ACT Remuneration Tribunal</dc:creator>
  <cp:lastModifiedBy>Wiggins, TaylorX</cp:lastModifiedBy>
  <cp:revision>34</cp:revision>
  <cp:lastPrinted>2026-05-14T05:43:00Z</cp:lastPrinted>
  <dcterms:created xsi:type="dcterms:W3CDTF">2026-04-21T05:42:00Z</dcterms:created>
  <dcterms:modified xsi:type="dcterms:W3CDTF">2026-05-14T05:47:00Z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y fmtid="{D5CDD505-2E9C-101B-9397-08002B2CF9AE}" pid="12" name="MSIP_Label_69af8531-eb46-4968-8cb3-105d2f5ea87e_Enabled">
    <vt:lpwstr>true</vt:lpwstr>
  </property>
  <property fmtid="{D5CDD505-2E9C-101B-9397-08002B2CF9AE}" pid="13" name="MSIP_Label_69af8531-eb46-4968-8cb3-105d2f5ea87e_SetDate">
    <vt:lpwstr>2024-04-18T04:37:16Z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7aeb5ad6-d715-4899-b7c7-900bcd99b770</vt:lpwstr>
  </property>
  <property fmtid="{D5CDD505-2E9C-101B-9397-08002B2CF9AE}" pid="18" name="MSIP_Label_69af8531-eb46-4968-8cb3-105d2f5ea87e_ContentBits">
    <vt:lpwstr>0</vt:lpwstr>
  </property>
</Properties>
</file>