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56" w:rsidRPr="003B1A08" w:rsidRDefault="003C3156" w:rsidP="003C3156">
      <w:pPr>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3"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rsidR="003C3156" w:rsidRPr="005E3C83" w:rsidRDefault="003C3156" w:rsidP="003C3156">
      <w:pPr>
        <w:pStyle w:val="Heading1"/>
      </w:pPr>
      <w:r w:rsidRPr="003B1A08">
        <w:t xml:space="preserve">Determination </w:t>
      </w:r>
      <w:r w:rsidR="00D26C64">
        <w:t>5</w:t>
      </w:r>
      <w:r w:rsidR="00976DC3">
        <w:t xml:space="preserve"> </w:t>
      </w:r>
      <w:r>
        <w:t>of 201</w:t>
      </w:r>
      <w:r w:rsidR="00976DC3">
        <w:t>7</w:t>
      </w:r>
    </w:p>
    <w:p w:rsidR="003C3156" w:rsidRPr="003B1A08" w:rsidRDefault="003C3156" w:rsidP="003C3156">
      <w:pPr>
        <w:pStyle w:val="Heading1"/>
      </w:pPr>
      <w:r>
        <w:t>Part-time Public Office Holder</w:t>
      </w:r>
      <w:r w:rsidR="00976DC3">
        <w:t xml:space="preserve"> – Medicinal Cannabis Medical Advisory Panel</w:t>
      </w:r>
      <w:r>
        <w:t xml:space="preserve"> </w:t>
      </w:r>
    </w:p>
    <w:p w:rsidR="003C3156" w:rsidRPr="003B1A08" w:rsidRDefault="003C3156" w:rsidP="003C3156">
      <w:proofErr w:type="gramStart"/>
      <w:r w:rsidRPr="003B1A08">
        <w:t>made</w:t>
      </w:r>
      <w:proofErr w:type="gramEnd"/>
      <w:r w:rsidRPr="003B1A08">
        <w:t xml:space="preserve"> under the </w:t>
      </w:r>
    </w:p>
    <w:p w:rsidR="003C3156" w:rsidRPr="005B6ADD" w:rsidRDefault="003C3156" w:rsidP="003C3156">
      <w:pPr>
        <w:rPr>
          <w:rFonts w:cs="Arial"/>
          <w:b/>
        </w:rPr>
      </w:pPr>
      <w:r w:rsidRPr="005B6ADD">
        <w:rPr>
          <w:rFonts w:cs="Arial"/>
          <w:b/>
        </w:rPr>
        <w:t>Remuneration Tribunal Act 1995</w:t>
      </w:r>
    </w:p>
    <w:p w:rsidR="003C3156" w:rsidRPr="003B1A08" w:rsidRDefault="003C3156" w:rsidP="003C3156">
      <w:pPr>
        <w:pStyle w:val="Heading1"/>
      </w:pPr>
      <w:r w:rsidRPr="003B1A08">
        <w:t>AC</w:t>
      </w:r>
      <w:r>
        <w:t>C</w:t>
      </w:r>
      <w:r w:rsidRPr="003B1A08">
        <w:t>OMPANYING STATEMENT</w:t>
      </w:r>
    </w:p>
    <w:p w:rsidR="003C3156" w:rsidRPr="003B1A08" w:rsidRDefault="003C3156" w:rsidP="003C3156">
      <w:pPr>
        <w:pStyle w:val="N-line3"/>
        <w:pBdr>
          <w:top w:val="single" w:sz="12" w:space="1" w:color="auto"/>
          <w:bottom w:val="none" w:sz="0" w:space="0" w:color="auto"/>
        </w:pBdr>
        <w:spacing w:before="120" w:after="60"/>
      </w:pPr>
    </w:p>
    <w:p w:rsidR="00DD4E55" w:rsidRPr="006952B7" w:rsidRDefault="00DD4E55" w:rsidP="00DD4E55">
      <w:pPr>
        <w:pStyle w:val="Heading3"/>
        <w:numPr>
          <w:ilvl w:val="0"/>
          <w:numId w:val="0"/>
        </w:numPr>
        <w:spacing w:before="120"/>
        <w:ind w:left="720" w:hanging="720"/>
        <w:rPr>
          <w:sz w:val="22"/>
          <w:szCs w:val="22"/>
        </w:rPr>
      </w:pPr>
      <w:r w:rsidRPr="006952B7">
        <w:rPr>
          <w:sz w:val="22"/>
          <w:szCs w:val="22"/>
        </w:rPr>
        <w:t xml:space="preserve">Background </w:t>
      </w:r>
    </w:p>
    <w:p w:rsidR="00E870B1" w:rsidRPr="005B63E5" w:rsidRDefault="00DD4E55">
      <w:pPr>
        <w:autoSpaceDE w:val="0"/>
        <w:autoSpaceDN w:val="0"/>
        <w:adjustRightInd w:val="0"/>
        <w:spacing w:before="120" w:after="60"/>
        <w:rPr>
          <w:szCs w:val="24"/>
        </w:rPr>
      </w:pPr>
      <w:r w:rsidRPr="005B63E5">
        <w:rPr>
          <w:szCs w:val="24"/>
        </w:rPr>
        <w:t xml:space="preserve">Section 10 of the </w:t>
      </w:r>
      <w:r w:rsidRPr="005B63E5">
        <w:rPr>
          <w:i/>
          <w:iCs/>
          <w:szCs w:val="24"/>
        </w:rPr>
        <w:t xml:space="preserve">Remuneration Tribunal Act 1995 </w:t>
      </w:r>
      <w:r w:rsidRPr="005B63E5">
        <w:rPr>
          <w:iCs/>
          <w:szCs w:val="24"/>
        </w:rPr>
        <w:t xml:space="preserve">(the Act) </w:t>
      </w:r>
      <w:r w:rsidRPr="005B63E5">
        <w:rPr>
          <w:szCs w:val="24"/>
        </w:rPr>
        <w:t xml:space="preserve">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 Minister. </w:t>
      </w:r>
    </w:p>
    <w:p w:rsidR="00976DC3" w:rsidRPr="00976DC3" w:rsidRDefault="00976DC3" w:rsidP="00976DC3">
      <w:r>
        <w:rPr>
          <w:sz w:val="22"/>
          <w:szCs w:val="22"/>
        </w:rPr>
        <w:t>On 31 January 2017, t</w:t>
      </w:r>
      <w:r>
        <w:t>he Chief Minister requested that the Tribunal determine the remuneration, allowances and other entitlements to be granted to the positions of Chair and Members of the Medicinal Cannabis Medical Advisory Panel (MCMAP).</w:t>
      </w:r>
    </w:p>
    <w:p w:rsidR="00976DC3" w:rsidRDefault="00976DC3" w:rsidP="00976DC3">
      <w:pPr>
        <w:pStyle w:val="Heading3"/>
        <w:numPr>
          <w:ilvl w:val="0"/>
          <w:numId w:val="0"/>
        </w:numPr>
        <w:spacing w:before="120"/>
        <w:rPr>
          <w:sz w:val="22"/>
          <w:szCs w:val="22"/>
        </w:rPr>
      </w:pPr>
      <w:r>
        <w:rPr>
          <w:sz w:val="22"/>
          <w:szCs w:val="22"/>
        </w:rPr>
        <w:t>Consideration</w:t>
      </w:r>
      <w:r w:rsidR="00B04709">
        <w:rPr>
          <w:sz w:val="22"/>
          <w:szCs w:val="22"/>
        </w:rPr>
        <w:t>s</w:t>
      </w:r>
    </w:p>
    <w:p w:rsidR="00976DC3" w:rsidRPr="005B63E5" w:rsidRDefault="00976DC3" w:rsidP="00976DC3">
      <w:pPr>
        <w:spacing w:before="120" w:after="120"/>
        <w:rPr>
          <w:szCs w:val="24"/>
        </w:rPr>
      </w:pPr>
      <w:r w:rsidRPr="005B63E5">
        <w:rPr>
          <w:szCs w:val="24"/>
        </w:rPr>
        <w:t xml:space="preserve">The Tribunal noted </w:t>
      </w:r>
      <w:r w:rsidR="00C40C64">
        <w:rPr>
          <w:szCs w:val="24"/>
        </w:rPr>
        <w:t xml:space="preserve">that </w:t>
      </w:r>
      <w:r w:rsidRPr="005B63E5">
        <w:rPr>
          <w:szCs w:val="24"/>
        </w:rPr>
        <w:t>the MCMAP</w:t>
      </w:r>
      <w:r w:rsidR="00B04709" w:rsidRPr="005B63E5">
        <w:rPr>
          <w:szCs w:val="24"/>
        </w:rPr>
        <w:t xml:space="preserve"> is a non-statutory technical advisory body provid</w:t>
      </w:r>
      <w:r w:rsidR="00C40C64">
        <w:rPr>
          <w:szCs w:val="24"/>
        </w:rPr>
        <w:t>ing</w:t>
      </w:r>
      <w:r w:rsidR="00B04709" w:rsidRPr="005B63E5">
        <w:rPr>
          <w:szCs w:val="24"/>
        </w:rPr>
        <w:t xml:space="preserve"> independent and expert advice to the ACT Medicines Advisory Committee </w:t>
      </w:r>
      <w:r w:rsidR="00C40C64">
        <w:rPr>
          <w:szCs w:val="24"/>
        </w:rPr>
        <w:t>about</w:t>
      </w:r>
      <w:r w:rsidR="00B04709" w:rsidRPr="005B63E5">
        <w:rPr>
          <w:szCs w:val="24"/>
        </w:rPr>
        <w:t xml:space="preserve"> the use of cannabis for medical purposes by eligible patients in the ACT.</w:t>
      </w:r>
    </w:p>
    <w:p w:rsidR="00B04709" w:rsidRPr="005B63E5" w:rsidRDefault="00B04709" w:rsidP="00976DC3">
      <w:pPr>
        <w:spacing w:before="120" w:after="120"/>
        <w:rPr>
          <w:szCs w:val="24"/>
        </w:rPr>
      </w:pPr>
      <w:r w:rsidRPr="005B63E5">
        <w:rPr>
          <w:szCs w:val="24"/>
        </w:rPr>
        <w:t>The Tribunal considered information from a number of sources as part of its inquiry, including:</w:t>
      </w:r>
    </w:p>
    <w:p w:rsidR="00B04709" w:rsidRPr="005B63E5" w:rsidRDefault="00B04709" w:rsidP="00B04709">
      <w:pPr>
        <w:pStyle w:val="ListParagraph"/>
        <w:numPr>
          <w:ilvl w:val="0"/>
          <w:numId w:val="42"/>
        </w:numPr>
        <w:spacing w:before="120" w:after="60"/>
        <w:contextualSpacing/>
        <w:rPr>
          <w:sz w:val="24"/>
          <w:szCs w:val="24"/>
        </w:rPr>
      </w:pPr>
      <w:r w:rsidRPr="005B63E5">
        <w:rPr>
          <w:sz w:val="24"/>
          <w:szCs w:val="24"/>
        </w:rPr>
        <w:t>national economic indicators including the Wage Price Index, Labour Force data, Average Weekly Earnings and the Consumer Price Index;</w:t>
      </w:r>
    </w:p>
    <w:p w:rsidR="00B04709" w:rsidRPr="005B63E5" w:rsidRDefault="00B04709" w:rsidP="00B04709">
      <w:pPr>
        <w:pStyle w:val="ListParagraph"/>
        <w:numPr>
          <w:ilvl w:val="0"/>
          <w:numId w:val="42"/>
        </w:numPr>
        <w:spacing w:before="120" w:after="60"/>
        <w:contextualSpacing/>
        <w:rPr>
          <w:sz w:val="24"/>
          <w:szCs w:val="24"/>
        </w:rPr>
      </w:pPr>
      <w:r w:rsidRPr="005B63E5">
        <w:rPr>
          <w:sz w:val="24"/>
          <w:szCs w:val="24"/>
        </w:rPr>
        <w:t>economic forecasting provided by ACT Treasury officials; and</w:t>
      </w:r>
    </w:p>
    <w:p w:rsidR="00B04709" w:rsidRPr="005B63E5" w:rsidRDefault="00B04709" w:rsidP="00B04709">
      <w:pPr>
        <w:pStyle w:val="ListParagraph"/>
        <w:numPr>
          <w:ilvl w:val="0"/>
          <w:numId w:val="42"/>
        </w:numPr>
        <w:spacing w:before="120" w:after="60"/>
        <w:contextualSpacing/>
        <w:rPr>
          <w:sz w:val="24"/>
          <w:szCs w:val="24"/>
        </w:rPr>
      </w:pPr>
      <w:proofErr w:type="gramStart"/>
      <w:r w:rsidRPr="005B63E5">
        <w:rPr>
          <w:sz w:val="24"/>
          <w:szCs w:val="24"/>
        </w:rPr>
        <w:t>oral</w:t>
      </w:r>
      <w:proofErr w:type="gramEnd"/>
      <w:r w:rsidRPr="005B63E5">
        <w:rPr>
          <w:sz w:val="24"/>
          <w:szCs w:val="24"/>
        </w:rPr>
        <w:t xml:space="preserve"> and written submissions received, including the Chief Minister’s ACT Government Submission, and from </w:t>
      </w:r>
      <w:r w:rsidR="009F1318" w:rsidRPr="005B63E5">
        <w:rPr>
          <w:sz w:val="24"/>
          <w:szCs w:val="24"/>
        </w:rPr>
        <w:t>o</w:t>
      </w:r>
      <w:r w:rsidRPr="005B63E5">
        <w:rPr>
          <w:sz w:val="24"/>
          <w:szCs w:val="24"/>
        </w:rPr>
        <w:t>fficials representing the ACT Health Directorate.</w:t>
      </w:r>
    </w:p>
    <w:p w:rsidR="00B04709" w:rsidRPr="005B63E5" w:rsidRDefault="00B04709" w:rsidP="00B04709">
      <w:pPr>
        <w:spacing w:before="120" w:after="60"/>
        <w:contextualSpacing/>
        <w:rPr>
          <w:b/>
          <w:szCs w:val="24"/>
        </w:rPr>
      </w:pPr>
      <w:r w:rsidRPr="005B63E5">
        <w:rPr>
          <w:b/>
          <w:szCs w:val="24"/>
        </w:rPr>
        <w:t>Decision</w:t>
      </w:r>
    </w:p>
    <w:p w:rsidR="00B04709" w:rsidRPr="005B63E5" w:rsidRDefault="00B04709" w:rsidP="00B04709">
      <w:pPr>
        <w:spacing w:before="120" w:after="60"/>
        <w:contextualSpacing/>
        <w:rPr>
          <w:szCs w:val="24"/>
        </w:rPr>
      </w:pPr>
      <w:r w:rsidRPr="005B63E5">
        <w:rPr>
          <w:szCs w:val="24"/>
        </w:rPr>
        <w:t xml:space="preserve">The Tribunal determined remuneration of $510 per diem for the position of Chair of MCMAP, and $435 per diem for the position of Member of MCMAP, with </w:t>
      </w:r>
      <w:r w:rsidR="005B63E5" w:rsidRPr="005B63E5">
        <w:rPr>
          <w:szCs w:val="24"/>
        </w:rPr>
        <w:t xml:space="preserve">commencement on the date of legal </w:t>
      </w:r>
      <w:r w:rsidRPr="005B63E5">
        <w:rPr>
          <w:szCs w:val="24"/>
        </w:rPr>
        <w:t>effect of MCMAP.</w:t>
      </w:r>
    </w:p>
    <w:p w:rsidR="007F4B12" w:rsidRPr="005B63E5" w:rsidRDefault="007F4B12" w:rsidP="00B04709">
      <w:pPr>
        <w:spacing w:before="120" w:after="60"/>
        <w:contextualSpacing/>
        <w:rPr>
          <w:szCs w:val="24"/>
        </w:rPr>
      </w:pPr>
      <w:r w:rsidRPr="005B63E5">
        <w:rPr>
          <w:szCs w:val="24"/>
        </w:rPr>
        <w:t xml:space="preserve">The entity will be included in the general Part-time public office holder </w:t>
      </w:r>
      <w:r w:rsidR="00E175F6" w:rsidRPr="005B63E5">
        <w:rPr>
          <w:szCs w:val="24"/>
        </w:rPr>
        <w:t xml:space="preserve">determination at the Tribunal’s 2017 </w:t>
      </w:r>
      <w:proofErr w:type="gramStart"/>
      <w:r w:rsidR="00E175F6" w:rsidRPr="005B63E5">
        <w:rPr>
          <w:szCs w:val="24"/>
        </w:rPr>
        <w:t>Spring</w:t>
      </w:r>
      <w:proofErr w:type="gramEnd"/>
      <w:r w:rsidR="00E175F6" w:rsidRPr="005B63E5">
        <w:rPr>
          <w:szCs w:val="24"/>
        </w:rPr>
        <w:t xml:space="preserve"> review.</w:t>
      </w:r>
    </w:p>
    <w:p w:rsidR="00976DC3" w:rsidRDefault="005B63E5">
      <w:pPr>
        <w:spacing w:before="120" w:after="120"/>
        <w:jc w:val="right"/>
        <w:rPr>
          <w:rFonts w:cs="Arial"/>
          <w:noProof/>
          <w:sz w:val="28"/>
          <w:szCs w:val="28"/>
        </w:rPr>
      </w:pPr>
      <w:r>
        <w:rPr>
          <w:bCs/>
          <w:sz w:val="22"/>
          <w:szCs w:val="22"/>
        </w:rPr>
        <w:t>March</w:t>
      </w:r>
      <w:r w:rsidR="00B87B1B">
        <w:rPr>
          <w:bCs/>
          <w:sz w:val="22"/>
          <w:szCs w:val="22"/>
        </w:rPr>
        <w:t xml:space="preserve"> 2017</w:t>
      </w:r>
      <w:r w:rsidR="003C3156" w:rsidRPr="0032775F">
        <w:rPr>
          <w:rFonts w:cs="Arial"/>
          <w:noProof/>
          <w:sz w:val="28"/>
          <w:szCs w:val="28"/>
        </w:rPr>
        <w:br w:type="page"/>
      </w:r>
    </w:p>
    <w:p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rsidR="0018689C" w:rsidRPr="005E3C83" w:rsidRDefault="0018689C" w:rsidP="0018689C">
      <w:pPr>
        <w:pStyle w:val="Heading1"/>
      </w:pPr>
      <w:r w:rsidRPr="003B1A08">
        <w:t xml:space="preserve">Determination </w:t>
      </w:r>
      <w:r w:rsidR="00D26C64">
        <w:t>5</w:t>
      </w:r>
      <w:bookmarkStart w:id="1" w:name="_GoBack"/>
      <w:bookmarkEnd w:id="1"/>
      <w:r>
        <w:t xml:space="preserve"> of 2017</w:t>
      </w:r>
    </w:p>
    <w:p w:rsidR="00C953C3" w:rsidRPr="00BC60C7" w:rsidRDefault="0018689C" w:rsidP="00C953C3">
      <w:pPr>
        <w:pStyle w:val="Heading1"/>
      </w:pPr>
      <w:r>
        <w:t>Part-time Public Office Holder – Medicinal Cannabis Medical Advisory Panel</w:t>
      </w:r>
    </w:p>
    <w:p w:rsidR="0023156B" w:rsidRPr="00D62589" w:rsidRDefault="0023156B" w:rsidP="005B6ADD">
      <w:proofErr w:type="gramStart"/>
      <w:r w:rsidRPr="00D62589">
        <w:t>made</w:t>
      </w:r>
      <w:proofErr w:type="gramEnd"/>
      <w:r w:rsidRPr="00D62589">
        <w:t xml:space="preserve"> under the </w:t>
      </w:r>
    </w:p>
    <w:p w:rsidR="0023156B" w:rsidRDefault="0023156B" w:rsidP="005B6ADD">
      <w:pPr>
        <w:rPr>
          <w:rFonts w:cs="Arial"/>
          <w:b/>
        </w:rPr>
      </w:pPr>
      <w:r w:rsidRPr="005B6ADD">
        <w:rPr>
          <w:rFonts w:cs="Arial"/>
          <w:b/>
        </w:rPr>
        <w:t>Re</w:t>
      </w:r>
      <w:r w:rsidR="00C953C3" w:rsidRPr="005B6ADD">
        <w:rPr>
          <w:rFonts w:cs="Arial"/>
          <w:b/>
        </w:rPr>
        <w:t>muneration Tribunal Act 1995</w:t>
      </w:r>
    </w:p>
    <w:p w:rsidR="005B6ADD" w:rsidRPr="005B6ADD" w:rsidRDefault="005B6ADD" w:rsidP="005B6ADD">
      <w:pPr>
        <w:rPr>
          <w:rFonts w:cs="Arial"/>
          <w:b/>
        </w:rPr>
      </w:pPr>
    </w:p>
    <w:p w:rsidR="0023156B" w:rsidRPr="00D62589" w:rsidRDefault="0023156B" w:rsidP="00793B65">
      <w:pPr>
        <w:pStyle w:val="N-line3"/>
        <w:pBdr>
          <w:top w:val="single" w:sz="12" w:space="1" w:color="auto"/>
          <w:bottom w:val="none" w:sz="0" w:space="0" w:color="auto"/>
        </w:pBdr>
        <w:spacing w:before="120" w:after="60"/>
        <w:rPr>
          <w:szCs w:val="24"/>
        </w:rPr>
      </w:pPr>
    </w:p>
    <w:p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rsidR="00294FE9" w:rsidRPr="00294FE9" w:rsidRDefault="00381CD8" w:rsidP="00900C83">
      <w:pPr>
        <w:spacing w:before="120" w:after="60"/>
        <w:ind w:left="709"/>
        <w:rPr>
          <w:szCs w:val="24"/>
        </w:rPr>
      </w:pPr>
      <w:r>
        <w:rPr>
          <w:szCs w:val="24"/>
        </w:rPr>
        <w:t xml:space="preserve">This instrument </w:t>
      </w:r>
      <w:r w:rsidR="004538A5">
        <w:rPr>
          <w:szCs w:val="24"/>
        </w:rPr>
        <w:t>commences</w:t>
      </w:r>
      <w:r w:rsidR="0023156B" w:rsidRPr="00D62589">
        <w:rPr>
          <w:szCs w:val="24"/>
        </w:rPr>
        <w:t xml:space="preserve"> </w:t>
      </w:r>
      <w:r w:rsidR="009F1318">
        <w:rPr>
          <w:szCs w:val="24"/>
        </w:rPr>
        <w:t>from the date of legal effect of MCMAP</w:t>
      </w:r>
      <w:r w:rsidR="00AE0FFA" w:rsidRPr="00D62589">
        <w:rPr>
          <w:szCs w:val="24"/>
        </w:rPr>
        <w:t>.</w:t>
      </w:r>
    </w:p>
    <w:p w:rsidR="00294FE9" w:rsidRPr="00ED405F" w:rsidRDefault="00294FE9" w:rsidP="00793B65">
      <w:pPr>
        <w:pStyle w:val="Heading3"/>
        <w:spacing w:before="120"/>
      </w:pPr>
      <w:r w:rsidRPr="00294FE9">
        <w:t xml:space="preserve">Remuneration </w:t>
      </w:r>
    </w:p>
    <w:p w:rsidR="002B6D40" w:rsidRDefault="00ED405F" w:rsidP="00793B65">
      <w:pPr>
        <w:pStyle w:val="Heading3"/>
        <w:numPr>
          <w:ilvl w:val="0"/>
          <w:numId w:val="0"/>
        </w:numPr>
        <w:spacing w:before="120"/>
        <w:rPr>
          <w:b w:val="0"/>
        </w:rPr>
      </w:pPr>
      <w:r>
        <w:rPr>
          <w:b w:val="0"/>
        </w:rPr>
        <w:t>2.1</w:t>
      </w:r>
      <w:r>
        <w:rPr>
          <w:b w:val="0"/>
        </w:rPr>
        <w:tab/>
      </w:r>
      <w:r w:rsidR="00A53528">
        <w:rPr>
          <w:b w:val="0"/>
        </w:rPr>
        <w:t>A Part-time Holder of a Public O</w:t>
      </w:r>
      <w:r w:rsidR="00CC6DDA" w:rsidRPr="00ED405F">
        <w:rPr>
          <w:b w:val="0"/>
        </w:rPr>
        <w:t xml:space="preserve">ffice or </w:t>
      </w:r>
      <w:r w:rsidR="00A53528">
        <w:rPr>
          <w:b w:val="0"/>
        </w:rPr>
        <w:t>A</w:t>
      </w:r>
      <w:r w:rsidR="00CC6DDA" w:rsidRPr="00ED405F">
        <w:rPr>
          <w:b w:val="0"/>
        </w:rPr>
        <w:t>ppoin</w:t>
      </w:r>
      <w:r w:rsidRPr="00ED405F">
        <w:rPr>
          <w:b w:val="0"/>
        </w:rPr>
        <w:t xml:space="preserve">tment shown in columns 1 and 2 </w:t>
      </w:r>
      <w:r w:rsidR="00CC6DDA" w:rsidRPr="00ED405F">
        <w:rPr>
          <w:b w:val="0"/>
        </w:rPr>
        <w:t>shall</w:t>
      </w:r>
      <w:r w:rsidR="00CC6DDA" w:rsidRPr="00D62589">
        <w:rPr>
          <w:b w:val="0"/>
        </w:rPr>
        <w:t xml:space="preserve"> </w:t>
      </w:r>
      <w:r>
        <w:rPr>
          <w:b w:val="0"/>
        </w:rPr>
        <w:tab/>
      </w:r>
      <w:r w:rsidR="00CC6DDA" w:rsidRPr="00D62589">
        <w:rPr>
          <w:b w:val="0"/>
        </w:rPr>
        <w:t xml:space="preserve">be entitled to the fee specified in column 3 of </w:t>
      </w:r>
      <w:r w:rsidR="00275BA0">
        <w:rPr>
          <w:b w:val="0"/>
        </w:rPr>
        <w:t>T</w:t>
      </w:r>
      <w:r w:rsidR="00CC6DDA" w:rsidRPr="00D62589">
        <w:rPr>
          <w:b w:val="0"/>
        </w:rPr>
        <w:t xml:space="preserve">able </w:t>
      </w:r>
      <w:r w:rsidR="00275BA0">
        <w:rPr>
          <w:b w:val="0"/>
        </w:rPr>
        <w:t xml:space="preserve">1. </w:t>
      </w:r>
    </w:p>
    <w:p w:rsidR="008A3A7C" w:rsidRDefault="008A3A7C" w:rsidP="00793B65">
      <w:pPr>
        <w:spacing w:before="120" w:after="60"/>
        <w:rPr>
          <w:b/>
          <w:bCs/>
          <w:color w:val="000000"/>
          <w:lang w:eastAsia="en-AU"/>
        </w:rPr>
      </w:pPr>
    </w:p>
    <w:p w:rsidR="009F1318" w:rsidRDefault="00275BA0" w:rsidP="005B63E5">
      <w:pPr>
        <w:pStyle w:val="Heading4"/>
        <w:spacing w:before="120" w:after="60"/>
      </w:pPr>
      <w:r w:rsidRPr="005B6ADD">
        <w:t>Table 1: Remuneration rates for Part-time Holders of Public Office</w:t>
      </w:r>
    </w:p>
    <w:tbl>
      <w:tblPr>
        <w:tblW w:w="86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9"/>
        <w:gridCol w:w="2879"/>
        <w:gridCol w:w="1939"/>
      </w:tblGrid>
      <w:tr w:rsidR="005B63E5" w:rsidRPr="00CB04DF" w:rsidTr="005B63E5">
        <w:trPr>
          <w:trHeight w:val="300"/>
        </w:trPr>
        <w:tc>
          <w:tcPr>
            <w:tcW w:w="3829" w:type="dxa"/>
            <w:shd w:val="clear" w:color="auto" w:fill="auto"/>
            <w:hideMark/>
          </w:tcPr>
          <w:p w:rsidR="005B63E5" w:rsidRPr="00CB04DF" w:rsidRDefault="005B63E5" w:rsidP="00B82732">
            <w:pPr>
              <w:pStyle w:val="Heading5"/>
              <w:spacing w:after="0"/>
              <w:rPr>
                <w:b w:val="0"/>
                <w:color w:val="auto"/>
              </w:rPr>
            </w:pPr>
            <w:r w:rsidRPr="00CB04DF">
              <w:rPr>
                <w:color w:val="auto"/>
              </w:rPr>
              <w:t>COLUMN 1</w:t>
            </w:r>
          </w:p>
          <w:p w:rsidR="005B63E5" w:rsidRPr="00CB04DF" w:rsidRDefault="005B63E5" w:rsidP="00B82732">
            <w:pPr>
              <w:pStyle w:val="Heading5"/>
              <w:rPr>
                <w:b w:val="0"/>
                <w:color w:val="auto"/>
              </w:rPr>
            </w:pPr>
            <w:r>
              <w:rPr>
                <w:color w:val="auto"/>
              </w:rPr>
              <w:t>B</w:t>
            </w:r>
            <w:r w:rsidRPr="00CB04DF">
              <w:rPr>
                <w:color w:val="auto"/>
              </w:rPr>
              <w:t>oard, committee etc</w:t>
            </w:r>
          </w:p>
        </w:tc>
        <w:tc>
          <w:tcPr>
            <w:tcW w:w="2879" w:type="dxa"/>
            <w:shd w:val="clear" w:color="auto" w:fill="auto"/>
            <w:hideMark/>
          </w:tcPr>
          <w:p w:rsidR="005B63E5" w:rsidRPr="00CB04DF" w:rsidRDefault="005B63E5" w:rsidP="00B82732">
            <w:pPr>
              <w:pStyle w:val="Heading5"/>
              <w:spacing w:after="0"/>
              <w:rPr>
                <w:color w:val="auto"/>
              </w:rPr>
            </w:pPr>
            <w:r w:rsidRPr="00CB04DF">
              <w:rPr>
                <w:color w:val="auto"/>
              </w:rPr>
              <w:t>COLUMN 2</w:t>
            </w:r>
          </w:p>
          <w:p w:rsidR="005B63E5" w:rsidRPr="00CB04DF" w:rsidRDefault="005B63E5" w:rsidP="00B82732">
            <w:pPr>
              <w:pStyle w:val="Heading5"/>
              <w:rPr>
                <w:color w:val="auto"/>
              </w:rPr>
            </w:pPr>
            <w:r>
              <w:rPr>
                <w:color w:val="auto"/>
              </w:rPr>
              <w:t>P</w:t>
            </w:r>
            <w:r w:rsidRPr="00CB04DF">
              <w:rPr>
                <w:color w:val="auto"/>
              </w:rPr>
              <w:t xml:space="preserve">osition </w:t>
            </w:r>
          </w:p>
        </w:tc>
        <w:tc>
          <w:tcPr>
            <w:tcW w:w="1939" w:type="dxa"/>
            <w:shd w:val="clear" w:color="auto" w:fill="auto"/>
            <w:noWrap/>
            <w:hideMark/>
          </w:tcPr>
          <w:p w:rsidR="005B63E5" w:rsidRPr="00CB04DF" w:rsidRDefault="005B63E5" w:rsidP="00B82732">
            <w:pPr>
              <w:pStyle w:val="Heading5"/>
              <w:contextualSpacing/>
              <w:rPr>
                <w:color w:val="auto"/>
              </w:rPr>
            </w:pPr>
            <w:r w:rsidRPr="00CB04DF">
              <w:rPr>
                <w:color w:val="auto"/>
              </w:rPr>
              <w:t xml:space="preserve">COLUMN 3 </w:t>
            </w:r>
          </w:p>
          <w:p w:rsidR="005B63E5" w:rsidRPr="00CB04DF" w:rsidRDefault="005B63E5" w:rsidP="00B82732">
            <w:pPr>
              <w:pStyle w:val="Heading5"/>
              <w:contextualSpacing/>
              <w:rPr>
                <w:color w:val="auto"/>
              </w:rPr>
            </w:pPr>
            <w:r>
              <w:rPr>
                <w:color w:val="auto"/>
              </w:rPr>
              <w:t>R</w:t>
            </w:r>
            <w:r w:rsidRPr="00CB04DF">
              <w:rPr>
                <w:color w:val="auto"/>
              </w:rPr>
              <w:t>emuneration</w:t>
            </w:r>
          </w:p>
        </w:tc>
      </w:tr>
      <w:tr w:rsidR="005B63E5" w:rsidRPr="00CB04DF" w:rsidTr="005B63E5">
        <w:trPr>
          <w:trHeight w:val="300"/>
        </w:trPr>
        <w:tc>
          <w:tcPr>
            <w:tcW w:w="3829" w:type="dxa"/>
            <w:shd w:val="clear" w:color="auto" w:fill="auto"/>
          </w:tcPr>
          <w:p w:rsidR="005B63E5" w:rsidRPr="00E03A02" w:rsidRDefault="005B63E5" w:rsidP="00B82732">
            <w:pPr>
              <w:rPr>
                <w:color w:val="000000"/>
                <w:lang w:eastAsia="en-AU"/>
              </w:rPr>
            </w:pPr>
            <w:r>
              <w:t>Medicinal Cannabis Medical Advisory Panel</w:t>
            </w:r>
          </w:p>
        </w:tc>
        <w:tc>
          <w:tcPr>
            <w:tcW w:w="2879" w:type="dxa"/>
            <w:shd w:val="clear" w:color="auto" w:fill="auto"/>
          </w:tcPr>
          <w:p w:rsidR="005B63E5" w:rsidRDefault="005B63E5" w:rsidP="00B82732">
            <w:pPr>
              <w:rPr>
                <w:color w:val="000000"/>
                <w:lang w:eastAsia="en-AU"/>
              </w:rPr>
            </w:pPr>
            <w:r>
              <w:rPr>
                <w:color w:val="000000"/>
                <w:lang w:eastAsia="en-AU"/>
              </w:rPr>
              <w:t>chair (per diem)</w:t>
            </w:r>
          </w:p>
          <w:p w:rsidR="005B63E5" w:rsidRPr="00E03A02" w:rsidRDefault="005B63E5" w:rsidP="00B82732">
            <w:pPr>
              <w:rPr>
                <w:color w:val="000000"/>
                <w:lang w:eastAsia="en-AU"/>
              </w:rPr>
            </w:pPr>
            <w:r>
              <w:rPr>
                <w:color w:val="000000"/>
                <w:lang w:eastAsia="en-AU"/>
              </w:rPr>
              <w:t>member (per diem)</w:t>
            </w:r>
          </w:p>
        </w:tc>
        <w:tc>
          <w:tcPr>
            <w:tcW w:w="1939" w:type="dxa"/>
            <w:shd w:val="clear" w:color="auto" w:fill="auto"/>
            <w:noWrap/>
          </w:tcPr>
          <w:p w:rsidR="005B63E5" w:rsidRDefault="005B63E5" w:rsidP="00B82732">
            <w:pPr>
              <w:jc w:val="right"/>
              <w:rPr>
                <w:color w:val="000000"/>
                <w:lang w:eastAsia="en-AU"/>
              </w:rPr>
            </w:pPr>
            <w:r w:rsidRPr="00905D88">
              <w:rPr>
                <w:color w:val="000000"/>
                <w:lang w:eastAsia="en-AU"/>
              </w:rPr>
              <w:t>$</w:t>
            </w:r>
            <w:r>
              <w:rPr>
                <w:color w:val="000000"/>
                <w:lang w:eastAsia="en-AU"/>
              </w:rPr>
              <w:t>510</w:t>
            </w:r>
          </w:p>
          <w:p w:rsidR="005B63E5" w:rsidRPr="00905D88" w:rsidRDefault="005B63E5" w:rsidP="00B82732">
            <w:pPr>
              <w:jc w:val="right"/>
              <w:rPr>
                <w:color w:val="000000"/>
                <w:lang w:eastAsia="en-AU"/>
              </w:rPr>
            </w:pPr>
            <w:r w:rsidRPr="00905D88">
              <w:rPr>
                <w:color w:val="000000"/>
                <w:lang w:eastAsia="en-AU"/>
              </w:rPr>
              <w:t>$</w:t>
            </w:r>
            <w:r>
              <w:rPr>
                <w:color w:val="000000"/>
                <w:lang w:eastAsia="en-AU"/>
              </w:rPr>
              <w:t>435</w:t>
            </w:r>
          </w:p>
        </w:tc>
      </w:tr>
    </w:tbl>
    <w:p w:rsidR="005B63E5" w:rsidRDefault="005B63E5"/>
    <w:p w:rsidR="00A95801" w:rsidRPr="00DE36C6" w:rsidRDefault="00A53528" w:rsidP="00CB04DF">
      <w:pPr>
        <w:pStyle w:val="Heading3"/>
        <w:numPr>
          <w:ilvl w:val="0"/>
          <w:numId w:val="0"/>
        </w:numPr>
        <w:spacing w:before="120"/>
      </w:pPr>
      <w:r>
        <w:t xml:space="preserve">3. </w:t>
      </w:r>
      <w:r>
        <w:tab/>
      </w:r>
      <w:r w:rsidR="00A95801" w:rsidRPr="00DE36C6">
        <w:t xml:space="preserve">Conditions of Payment of Daily Fees </w:t>
      </w:r>
    </w:p>
    <w:p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rsidR="00A95801" w:rsidRDefault="00A95801" w:rsidP="00793B65">
      <w:pPr>
        <w:spacing w:before="120" w:after="60"/>
        <w:ind w:left="720"/>
      </w:pPr>
      <w:r w:rsidRPr="00D62589">
        <w:t xml:space="preserve">(a) a reference to an “authority” is a reference to a commission, board, committee, tribunal or other body or office, the member or members of which are entitled to be paid daily fees referred to in this Determination; </w:t>
      </w:r>
    </w:p>
    <w:p w:rsidR="00A95801" w:rsidRDefault="00793B65" w:rsidP="00793B65">
      <w:pPr>
        <w:spacing w:before="120" w:after="60"/>
        <w:ind w:left="720"/>
      </w:pPr>
      <w:r w:rsidRPr="00D62589" w:rsidDel="00793B65">
        <w:rPr>
          <w:b/>
        </w:rPr>
        <w:t xml:space="preserve"> </w:t>
      </w:r>
      <w:r w:rsidR="00A95801" w:rsidRPr="00D62589">
        <w:t xml:space="preserve">(b) </w:t>
      </w:r>
      <w:proofErr w:type="gramStart"/>
      <w:r w:rsidR="00A95801" w:rsidRPr="00D62589">
        <w:t>a</w:t>
      </w:r>
      <w:proofErr w:type="gramEnd"/>
      <w:r w:rsidR="00A95801" w:rsidRPr="00D62589">
        <w:t xml:space="preserve"> reference to “business of the authority” means any business of the authority conducted by a member of the authority with the approval of the authority, other than attendance at a formal meeting; and </w:t>
      </w:r>
    </w:p>
    <w:p w:rsidR="00A95801" w:rsidRPr="00D62589" w:rsidRDefault="00793B65" w:rsidP="00793B65">
      <w:pPr>
        <w:spacing w:before="120" w:after="60"/>
        <w:ind w:left="720"/>
        <w:rPr>
          <w:b/>
        </w:rPr>
      </w:pPr>
      <w:r w:rsidRPr="00D62589" w:rsidDel="00793B65">
        <w:rPr>
          <w:b/>
        </w:rPr>
        <w:t xml:space="preserve"> </w:t>
      </w:r>
      <w:r w:rsidR="00A95801" w:rsidRPr="00D62589">
        <w:t xml:space="preserve">(c) the daily fee for a formal meeting includes a component to cover normal preparation time, but where the chairperson of the authority considers it appropriate that a period of preparation time beyond this warrants recognition, then the chairperson may determine that payment in accordance with the scheduled fee shall be payable for such periods as “business of the authority”. </w:t>
      </w:r>
    </w:p>
    <w:p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 xml:space="preserve">ffice in an authority shall be paid a daily fee in respect of such period, not less than three hours, on any one day on which he or she </w:t>
      </w:r>
      <w:r w:rsidR="00CC6DDA" w:rsidRPr="00D62589">
        <w:lastRenderedPageBreak/>
        <w:t>attends a formal meeting of an authority, and/or is engaged on business of the authority, subje</w:t>
      </w:r>
      <w:r w:rsidR="00A53528">
        <w:t>ct to the following conditions:</w:t>
      </w:r>
      <w:r w:rsidR="00CC6DDA" w:rsidRPr="00D62589">
        <w:t xml:space="preserve"> </w:t>
      </w:r>
    </w:p>
    <w:p w:rsidR="005B6ADD" w:rsidRPr="00793B65" w:rsidRDefault="00CC6DDA" w:rsidP="00793B65">
      <w:pPr>
        <w:pStyle w:val="ColorfulList-Accent11"/>
        <w:numPr>
          <w:ilvl w:val="0"/>
          <w:numId w:val="29"/>
        </w:numPr>
        <w:spacing w:before="120" w:after="60"/>
        <w:rPr>
          <w:b/>
        </w:rPr>
      </w:pPr>
      <w:r w:rsidRPr="00D62589">
        <w:t xml:space="preserve">the chairperson or nominated presiding officer, shall in each case certify whether the period of three hours has elapsed and in so certifying may have regard to reasonable travelling time incurred by an office holder; and </w:t>
      </w:r>
    </w:p>
    <w:p w:rsidR="00CC6DDA" w:rsidRPr="00D62589" w:rsidRDefault="00CC6DDA" w:rsidP="00793B65">
      <w:pPr>
        <w:spacing w:before="120" w:after="60"/>
        <w:ind w:left="720"/>
        <w:rPr>
          <w:b/>
        </w:rPr>
      </w:pPr>
      <w:r w:rsidRPr="00D62589">
        <w:t xml:space="preserve">(b) </w:t>
      </w:r>
      <w:proofErr w:type="gramStart"/>
      <w:r w:rsidRPr="00D62589">
        <w:t>the</w:t>
      </w:r>
      <w:proofErr w:type="gramEnd"/>
      <w:r w:rsidRPr="00D62589">
        <w:t xml:space="preserve"> maximum payment in respect of any one day shall</w:t>
      </w:r>
      <w:r w:rsidR="000F6615">
        <w:t xml:space="preserve"> be the appropriate daily fee. </w:t>
      </w:r>
    </w:p>
    <w:p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ffice may be paid in respect of formal meetings of less than three hours subje</w:t>
      </w:r>
      <w:r w:rsidR="00B67387">
        <w:t>ct to the following conditions:</w:t>
      </w:r>
      <w:r w:rsidR="00CC6DDA" w:rsidRPr="00D62589">
        <w:t xml:space="preserve"> </w:t>
      </w:r>
    </w:p>
    <w:p w:rsidR="005B6ADD" w:rsidRPr="00793B65" w:rsidRDefault="00CC6DDA" w:rsidP="00793B65">
      <w:pPr>
        <w:pStyle w:val="ColorfulList-Accent11"/>
        <w:numPr>
          <w:ilvl w:val="0"/>
          <w:numId w:val="30"/>
        </w:numPr>
        <w:spacing w:before="120" w:after="60"/>
        <w:rPr>
          <w:b/>
        </w:rPr>
      </w:pPr>
      <w:r w:rsidRPr="00D62589">
        <w:t>for formal meetings aggregating less than tw</w:t>
      </w:r>
      <w:r w:rsidR="00A53528">
        <w:t>o hours, an amount equal to two</w:t>
      </w:r>
      <w:r w:rsidR="00A53528">
        <w:noBreakHyphen/>
      </w:r>
      <w:r w:rsidRPr="00D62589">
        <w:t xml:space="preserve">fifths of the daily fee; </w:t>
      </w:r>
    </w:p>
    <w:p w:rsidR="00CC6DDA" w:rsidRPr="00D62589" w:rsidRDefault="00CC6DDA" w:rsidP="00793B65">
      <w:pPr>
        <w:spacing w:before="120" w:after="60"/>
        <w:ind w:left="993" w:hanging="284"/>
        <w:rPr>
          <w:b/>
        </w:rPr>
      </w:pPr>
      <w:r w:rsidRPr="00D62589">
        <w:t xml:space="preserve">(b) for formal meetings, or formal meetings and business of the authority on the day of the meeting, of two hours or more, but less than three hours on any one day, an amount equal to three-fifths of the daily fee; </w:t>
      </w:r>
    </w:p>
    <w:p w:rsidR="00CC6DDA" w:rsidRPr="00D62589" w:rsidRDefault="00CC6DDA" w:rsidP="00793B65">
      <w:pPr>
        <w:spacing w:before="120" w:after="60"/>
        <w:ind w:left="709"/>
        <w:rPr>
          <w:b/>
        </w:rPr>
      </w:pPr>
      <w:r w:rsidRPr="00D62589">
        <w:t xml:space="preserve">(c) </w:t>
      </w:r>
      <w:proofErr w:type="gramStart"/>
      <w:r w:rsidRPr="00D62589">
        <w:t>the</w:t>
      </w:r>
      <w:proofErr w:type="gramEnd"/>
      <w:r w:rsidRPr="00D62589">
        <w:t xml:space="preserve"> maximum payment in respect of any one day shall be the appropriate daily fee; </w:t>
      </w:r>
    </w:p>
    <w:p w:rsidR="00CC6DDA" w:rsidRPr="00D62589" w:rsidRDefault="00CC6DDA" w:rsidP="00793B65">
      <w:pPr>
        <w:spacing w:before="120" w:after="60"/>
        <w:ind w:left="709"/>
        <w:rPr>
          <w:b/>
        </w:rPr>
      </w:pPr>
      <w:r w:rsidRPr="00D62589">
        <w:t xml:space="preserve">(d) eligibility for each payment shall be certified by the chairperson or nominated presiding officer and in so certifying the chairperson may have regard to reasonable travelling time in accordance with </w:t>
      </w:r>
      <w:r w:rsidR="00294FE9">
        <w:t>3</w:t>
      </w:r>
      <w:r w:rsidRPr="00D62589">
        <w:t xml:space="preserve">.2; and </w:t>
      </w:r>
    </w:p>
    <w:p w:rsidR="00CC6DDA" w:rsidRPr="00D62589" w:rsidRDefault="00CC6DDA" w:rsidP="00793B65">
      <w:pPr>
        <w:spacing w:before="120" w:after="60"/>
        <w:ind w:firstLine="709"/>
        <w:rPr>
          <w:b/>
        </w:rPr>
      </w:pPr>
      <w:r w:rsidRPr="00D62589">
        <w:t xml:space="preserve">(e) </w:t>
      </w:r>
      <w:proofErr w:type="gramStart"/>
      <w:r w:rsidRPr="00D62589">
        <w:t>preparation</w:t>
      </w:r>
      <w:proofErr w:type="gramEnd"/>
      <w:r w:rsidRPr="00D62589">
        <w:t xml:space="preserve"> time shall only be included in accordance with </w:t>
      </w:r>
      <w:r w:rsidR="00294FE9">
        <w:t>3</w:t>
      </w:r>
      <w:r w:rsidRPr="00D62589">
        <w:t xml:space="preserve">.1. </w:t>
      </w:r>
    </w:p>
    <w:p w:rsidR="00CC6DDA" w:rsidRPr="00D62589" w:rsidRDefault="00294FE9" w:rsidP="00A53528">
      <w:pPr>
        <w:spacing w:before="120" w:after="60"/>
        <w:ind w:left="709" w:hanging="709"/>
        <w:rPr>
          <w:b/>
        </w:rPr>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may also be paid a daily fee in respect of aggregates of periods of business of the authority of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 and in so certifying the chairperson may have regard to reasonable travelling time in accordance with</w:t>
      </w:r>
      <w:r>
        <w:t xml:space="preserve"> 3</w:t>
      </w:r>
      <w:r w:rsidR="00CC6DDA" w:rsidRPr="00D62589">
        <w:t xml:space="preserve">.2; and </w:t>
      </w:r>
      <w:r w:rsidR="005B6ADD">
        <w:br/>
      </w:r>
      <w:r w:rsidR="00CC6DDA" w:rsidRPr="00D62589">
        <w:t xml:space="preserve">(e) preparation time shall only be included in accordance with </w:t>
      </w:r>
      <w:r>
        <w:t>3</w:t>
      </w:r>
      <w:r w:rsidR="00CC6DDA" w:rsidRPr="00D62589">
        <w:t xml:space="preserve">.1. </w:t>
      </w:r>
    </w:p>
    <w:p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rsidR="00CC6DDA" w:rsidRPr="00D62589" w:rsidRDefault="00294FE9" w:rsidP="00793B65">
      <w:pPr>
        <w:spacing w:before="120" w:after="60"/>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t xml:space="preserve">             </w:t>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t xml:space="preserve">             </w:t>
      </w:r>
      <w:r w:rsidR="00CC6DDA" w:rsidRPr="00D62589">
        <w:t xml:space="preserve">as salary or take a combination of salary and other benefits best suited to his or her </w:t>
      </w:r>
      <w:r w:rsidR="00A026E3">
        <w:br/>
        <w:t xml:space="preserve">             </w:t>
      </w:r>
      <w:r w:rsidR="00CC6DDA" w:rsidRPr="00D62589">
        <w:t xml:space="preserve">personal needs and preferences. </w:t>
      </w:r>
      <w:r w:rsidR="00A026E3">
        <w:br/>
      </w:r>
      <w:r>
        <w:t>4</w:t>
      </w:r>
      <w:r w:rsidR="00CC6DDA" w:rsidRPr="00D62589">
        <w:t>.2</w:t>
      </w:r>
      <w:r w:rsidR="00165F53" w:rsidRPr="00D62589">
        <w:tab/>
      </w:r>
      <w:r w:rsidR="00CC6DDA" w:rsidRPr="00D62589">
        <w:t xml:space="preserve">The scheme is to be consistent with taxation laws and guidelines applicable to </w:t>
      </w:r>
      <w:r w:rsidR="00165F53" w:rsidRPr="00D62589">
        <w:tab/>
      </w:r>
      <w:r w:rsidR="00CC6DDA" w:rsidRPr="00D62589">
        <w:t>salary packaging schemes, issued by the Australian Taxation Office.</w:t>
      </w:r>
    </w:p>
    <w:p w:rsidR="00CC6DDA" w:rsidRPr="00D62589" w:rsidRDefault="00294FE9" w:rsidP="00793B65">
      <w:pPr>
        <w:spacing w:before="120" w:after="60"/>
        <w:ind w:left="720" w:hanging="720"/>
      </w:pPr>
      <w:r>
        <w:t>4</w:t>
      </w:r>
      <w:r w:rsidR="00CC6DDA" w:rsidRPr="00D62589">
        <w:t xml:space="preserve">.3 </w:t>
      </w:r>
      <w:r w:rsidR="00165F53" w:rsidRPr="00D62589">
        <w:tab/>
      </w:r>
      <w:r>
        <w:t>T</w:t>
      </w:r>
      <w:r w:rsidR="00CC6DDA" w:rsidRPr="00D62589">
        <w:t xml:space="preserve">he scheme is to be based on </w:t>
      </w:r>
      <w:r w:rsidR="007102A9">
        <w:t>any s</w:t>
      </w:r>
      <w:r w:rsidR="00CC6DDA" w:rsidRPr="00D62589">
        <w:t xml:space="preserve">alary </w:t>
      </w:r>
      <w:r w:rsidR="007102A9">
        <w:t>p</w:t>
      </w:r>
      <w:r w:rsidR="00CC6DDA" w:rsidRPr="00D62589">
        <w:t xml:space="preserve">ackaging </w:t>
      </w:r>
      <w:r w:rsidR="007102A9">
        <w:t>p</w:t>
      </w:r>
      <w:r w:rsidR="00CC6DDA" w:rsidRPr="00D62589">
        <w:t xml:space="preserve">olicy and </w:t>
      </w:r>
      <w:r w:rsidR="007102A9">
        <w:t>p</w:t>
      </w:r>
      <w:r w:rsidR="00CC6DDA" w:rsidRPr="00D62589">
        <w:t xml:space="preserve">rocedures 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rsidR="00CC6DDA" w:rsidRPr="00D62589" w:rsidRDefault="00294FE9" w:rsidP="00793B65">
      <w:pPr>
        <w:spacing w:before="120" w:after="60"/>
        <w:ind w:left="720" w:hanging="720"/>
      </w:pPr>
      <w:r>
        <w:lastRenderedPageBreak/>
        <w:t>4</w:t>
      </w:r>
      <w:r w:rsidR="00CC6DDA" w:rsidRPr="00D62589">
        <w:t xml:space="preserve">.4 </w:t>
      </w:r>
      <w:r w:rsidR="00165F53" w:rsidRPr="00D62589">
        <w:tab/>
      </w:r>
      <w:r w:rsidR="00CC6DDA" w:rsidRPr="00D62589">
        <w:t xml:space="preserve">The scheme shall be operated and administered so that there will be no additional cost to the ACT Government. In particular, any fringe benefits tax associated with the provision of a benefit is to be included in the salary package. </w:t>
      </w:r>
    </w:p>
    <w:p w:rsidR="00CC6DDA" w:rsidRPr="00D62589" w:rsidRDefault="00294FE9" w:rsidP="00793B65">
      <w:pPr>
        <w:spacing w:before="120" w:after="60"/>
        <w:ind w:left="720" w:hanging="720"/>
      </w:pPr>
      <w:r>
        <w:t>4</w:t>
      </w:r>
      <w:r w:rsidR="00CC6DDA" w:rsidRPr="00D62589">
        <w:t xml:space="preserve">.5 </w:t>
      </w:r>
      <w:r w:rsidR="00165F53" w:rsidRPr="00D62589">
        <w:tab/>
      </w:r>
      <w:r w:rsidR="00CC6DDA" w:rsidRPr="00D62589">
        <w:t xml:space="preserve">The salary for superannuation purposes of each person holding a Part-time Public Office is unaffected by participation in the salary packaging scheme. </w:t>
      </w:r>
    </w:p>
    <w:bookmarkEnd w:id="0"/>
    <w:p w:rsidR="000452AB" w:rsidRDefault="00294FE9" w:rsidP="00793B65">
      <w:pPr>
        <w:pStyle w:val="Heading3"/>
        <w:numPr>
          <w:ilvl w:val="0"/>
          <w:numId w:val="0"/>
        </w:numPr>
        <w:spacing w:before="120"/>
      </w:pPr>
      <w:r>
        <w:t>5.</w:t>
      </w:r>
      <w:r w:rsidR="00AE7595">
        <w:tab/>
      </w:r>
      <w:r w:rsidR="005665CC">
        <w:t>Travel</w:t>
      </w:r>
    </w:p>
    <w:p w:rsidR="005F1678" w:rsidRDefault="00294FE9" w:rsidP="00793B65">
      <w:pPr>
        <w:spacing w:before="120" w:after="60"/>
        <w:ind w:left="709" w:hanging="709"/>
      </w:pPr>
      <w:r>
        <w:t>5.1</w:t>
      </w:r>
      <w:r w:rsidR="00AE7595">
        <w:tab/>
      </w:r>
      <w:r w:rsidR="005F1678">
        <w:t>If a</w:t>
      </w:r>
      <w:r w:rsidR="00172F92">
        <w:t>n</w:t>
      </w:r>
      <w:r w:rsidR="005F1678">
        <w:t xml:space="preserve"> office holder is required to travel for official purposes, the employer must pay the cost of travel, accommodation, meals and incidental expenses.</w:t>
      </w:r>
    </w:p>
    <w:p w:rsidR="00A358AA" w:rsidRDefault="005F1678" w:rsidP="00793B65">
      <w:pPr>
        <w:spacing w:before="120" w:after="60"/>
      </w:pPr>
      <w:r>
        <w:t>5.2</w:t>
      </w:r>
      <w:r>
        <w:tab/>
      </w:r>
      <w:r w:rsidR="00172F92">
        <w:t>The</w:t>
      </w:r>
      <w:r w:rsidR="00A358AA">
        <w:t xml:space="preserve"> office holder may </w:t>
      </w:r>
      <w:r w:rsidR="00172F92">
        <w:t xml:space="preserve">then </w:t>
      </w:r>
      <w:r w:rsidR="00A358AA">
        <w:t>travel by one or more of the following:</w:t>
      </w:r>
    </w:p>
    <w:p w:rsidR="00A358AA" w:rsidRDefault="00A358AA" w:rsidP="001253CC">
      <w:pPr>
        <w:numPr>
          <w:ilvl w:val="2"/>
          <w:numId w:val="1"/>
        </w:numPr>
        <w:tabs>
          <w:tab w:val="clear" w:pos="720"/>
        </w:tabs>
        <w:ind w:left="1134" w:hanging="436"/>
      </w:pPr>
      <w:r>
        <w:t xml:space="preserve">commercially provided road or rail transport; </w:t>
      </w:r>
    </w:p>
    <w:p w:rsidR="00A358AA" w:rsidRDefault="00A358AA" w:rsidP="001253CC">
      <w:pPr>
        <w:numPr>
          <w:ilvl w:val="2"/>
          <w:numId w:val="1"/>
        </w:numPr>
        <w:tabs>
          <w:tab w:val="clear" w:pos="720"/>
        </w:tabs>
        <w:ind w:left="1134" w:hanging="436"/>
      </w:pPr>
      <w:r>
        <w:t>commercially provided flights;</w:t>
      </w:r>
    </w:p>
    <w:p w:rsidR="00A358AA" w:rsidRDefault="00A358AA" w:rsidP="001253CC">
      <w:pPr>
        <w:numPr>
          <w:ilvl w:val="2"/>
          <w:numId w:val="1"/>
        </w:numPr>
        <w:tabs>
          <w:tab w:val="clear" w:pos="720"/>
        </w:tabs>
        <w:ind w:left="1134" w:hanging="436"/>
      </w:pPr>
      <w:proofErr w:type="gramStart"/>
      <w:r>
        <w:t>private</w:t>
      </w:r>
      <w:proofErr w:type="gramEnd"/>
      <w:r>
        <w:t xml:space="preserve"> motor vehicle.</w:t>
      </w:r>
    </w:p>
    <w:p w:rsidR="00A358AA" w:rsidRDefault="005F1678" w:rsidP="00793B65">
      <w:pPr>
        <w:spacing w:before="120" w:after="60"/>
      </w:pPr>
      <w:r>
        <w:t>5.3</w:t>
      </w:r>
      <w:r w:rsidR="00AE7595">
        <w:tab/>
      </w:r>
      <w:r w:rsidR="00A358AA">
        <w:t>Commercially provided travel should be selected on the basis of</w:t>
      </w:r>
      <w:r w:rsidR="00AB5FCD">
        <w:t>:</w:t>
      </w:r>
    </w:p>
    <w:p w:rsidR="00A358AA" w:rsidRDefault="00A358AA" w:rsidP="001253CC">
      <w:pPr>
        <w:numPr>
          <w:ilvl w:val="2"/>
          <w:numId w:val="24"/>
        </w:numPr>
        <w:ind w:left="1134" w:hanging="436"/>
      </w:pPr>
      <w:r>
        <w:t>what is most convenient to the relevant office holder; and</w:t>
      </w:r>
    </w:p>
    <w:p w:rsidR="00A358AA" w:rsidRDefault="00A358AA" w:rsidP="001253CC">
      <w:pPr>
        <w:numPr>
          <w:ilvl w:val="2"/>
          <w:numId w:val="24"/>
        </w:numPr>
        <w:ind w:left="1134" w:hanging="436"/>
      </w:pPr>
      <w:proofErr w:type="gramStart"/>
      <w:r>
        <w:t>seeking</w:t>
      </w:r>
      <w:proofErr w:type="gramEnd"/>
      <w:r>
        <w:t xml:space="preserve"> the most reasonable costs.</w:t>
      </w:r>
    </w:p>
    <w:p w:rsidR="00A358AA" w:rsidRDefault="005F1678" w:rsidP="00793B65">
      <w:pPr>
        <w:spacing w:before="120" w:after="60"/>
      </w:pPr>
      <w:r>
        <w:t>5.4</w:t>
      </w:r>
      <w:r w:rsidR="00AE7595">
        <w:tab/>
      </w:r>
      <w:r w:rsidR="00A358AA">
        <w:t xml:space="preserve">If </w:t>
      </w:r>
      <w:r w:rsidR="00172F92">
        <w:t>the</w:t>
      </w:r>
      <w:r w:rsidR="00A358AA">
        <w:t xml:space="preserve"> office holder travels on commercially provided road or rail transport the </w:t>
      </w:r>
      <w:r w:rsidR="00AE7595">
        <w:tab/>
      </w:r>
      <w:r w:rsidR="00A358AA">
        <w:t>employer will pay the fares for that travel.</w:t>
      </w:r>
    </w:p>
    <w:p w:rsidR="002173F8" w:rsidRDefault="005F1678" w:rsidP="00793B65">
      <w:pPr>
        <w:keepNext/>
        <w:keepLines/>
        <w:spacing w:before="120" w:after="60"/>
        <w:ind w:left="698" w:hanging="698"/>
      </w:pPr>
      <w:r>
        <w:t>5.5</w:t>
      </w:r>
      <w:r w:rsidR="00AE7595">
        <w:tab/>
      </w:r>
      <w:r w:rsidR="00A358AA">
        <w:t xml:space="preserve">If </w:t>
      </w:r>
      <w:r w:rsidR="00172F92">
        <w:t xml:space="preserve">the </w:t>
      </w:r>
      <w:r w:rsidR="00A358AA">
        <w:t xml:space="preserve">office holder travels on commercially provided flights the employer will pay the </w:t>
      </w:r>
      <w:r w:rsidR="00172F92">
        <w:br/>
      </w:r>
      <w:r w:rsidR="00A358AA">
        <w:t xml:space="preserve">fares </w:t>
      </w:r>
      <w:r w:rsidR="002173F8">
        <w:t>to the following standard:</w:t>
      </w:r>
    </w:p>
    <w:p w:rsidR="002173F8" w:rsidRDefault="00A53528" w:rsidP="001253CC">
      <w:pPr>
        <w:keepNext/>
        <w:keepLines/>
        <w:ind w:left="1134" w:hanging="425"/>
      </w:pPr>
      <w:r>
        <w:t>a)</w:t>
      </w:r>
      <w:r>
        <w:tab/>
      </w:r>
      <w:proofErr w:type="gramStart"/>
      <w:r w:rsidR="002173F8">
        <w:t>for</w:t>
      </w:r>
      <w:proofErr w:type="gramEnd"/>
      <w:r w:rsidR="002173F8">
        <w:t xml:space="preserve">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rsidR="002173F8" w:rsidRPr="00E503D2" w:rsidRDefault="00A53528" w:rsidP="001253CC">
      <w:pPr>
        <w:keepNext/>
        <w:keepLines/>
        <w:ind w:left="709"/>
      </w:pPr>
      <w:r>
        <w:t xml:space="preserve">b)    </w:t>
      </w:r>
      <w:proofErr w:type="gramStart"/>
      <w:r w:rsidR="002173F8">
        <w:t>for</w:t>
      </w:r>
      <w:proofErr w:type="gramEnd"/>
      <w:r w:rsidR="002173F8">
        <w:t xml:space="preserve">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2173F8" w:rsidRDefault="00A53528" w:rsidP="001253CC">
      <w:pPr>
        <w:keepNext/>
        <w:keepLines/>
        <w:ind w:left="709"/>
      </w:pPr>
      <w:r>
        <w:rPr>
          <w:rFonts w:eastAsia="Calibri"/>
          <w:szCs w:val="24"/>
        </w:rPr>
        <w:t xml:space="preserve">c)    </w:t>
      </w:r>
      <w:proofErr w:type="gramStart"/>
      <w:r w:rsidR="002173F8" w:rsidRPr="00A026E3">
        <w:rPr>
          <w:rFonts w:eastAsia="Calibri"/>
          <w:szCs w:val="24"/>
        </w:rPr>
        <w:t>for</w:t>
      </w:r>
      <w:proofErr w:type="gramEnd"/>
      <w:r w:rsidR="002173F8" w:rsidRPr="00A026E3">
        <w:rPr>
          <w:rFonts w:eastAsia="Calibri"/>
          <w:szCs w:val="24"/>
        </w:rPr>
        <w:t xml:space="preserve">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rsidR="00B60506" w:rsidRDefault="00A95801" w:rsidP="00793B65">
      <w:pPr>
        <w:spacing w:before="120" w:after="60"/>
        <w:ind w:left="698" w:hanging="698"/>
      </w:pPr>
      <w:r>
        <w:t>5</w:t>
      </w:r>
      <w:r w:rsidR="005F1678">
        <w:t>.6</w:t>
      </w:r>
      <w:r w:rsidR="00AE7595">
        <w:tab/>
      </w:r>
      <w:r w:rsidR="00A358AA">
        <w:t xml:space="preserve">If </w:t>
      </w:r>
      <w:r w:rsidR="00172F92">
        <w:t>the</w:t>
      </w:r>
      <w:r w:rsidR="00A358AA">
        <w:t xml:space="preserve"> office holder is approved to travel by private motor vehicle the employer will </w:t>
      </w:r>
      <w:r w:rsidR="00172F92">
        <w:br/>
      </w:r>
      <w:r w:rsidR="00A358AA">
        <w:t xml:space="preserve">pay the owner of the vehicle an allowance calculated in accordance with the Motor Vehicle Allowance set out in the </w:t>
      </w:r>
      <w:r w:rsidR="00276328" w:rsidRPr="00276328">
        <w:t>relevant</w:t>
      </w:r>
      <w:r w:rsidR="00A358AA" w:rsidRPr="00276328">
        <w:t xml:space="preserve"> Enterprise Agreement</w:t>
      </w:r>
      <w:r w:rsidR="00A358AA">
        <w:t>.</w:t>
      </w:r>
    </w:p>
    <w:p w:rsidR="00357FED" w:rsidRDefault="00357FED" w:rsidP="00793B65">
      <w:pPr>
        <w:pStyle w:val="Heading3"/>
        <w:numPr>
          <w:ilvl w:val="0"/>
          <w:numId w:val="28"/>
        </w:numPr>
        <w:spacing w:before="120"/>
        <w:ind w:left="709" w:hanging="709"/>
      </w:pPr>
      <w:r w:rsidRPr="00EE36F5">
        <w:t>Accommodation</w:t>
      </w:r>
    </w:p>
    <w:p w:rsidR="00357FED" w:rsidRDefault="00043657" w:rsidP="00793B65">
      <w:pPr>
        <w:pStyle w:val="ColorfulList-Accent11"/>
        <w:numPr>
          <w:ilvl w:val="1"/>
          <w:numId w:val="28"/>
        </w:numPr>
        <w:spacing w:before="120" w:after="60"/>
      </w:pPr>
      <w:r>
        <w:tab/>
      </w:r>
      <w:r w:rsidR="00357FED">
        <w:t xml:space="preserve">If a relevant office holder must stay overnight while on official travel, the employer </w:t>
      </w:r>
      <w:r>
        <w:tab/>
      </w:r>
      <w:r w:rsidR="00357FED">
        <w:t>will pay the commercial accommodation to the following standard:</w:t>
      </w:r>
    </w:p>
    <w:p w:rsidR="00357FED" w:rsidRDefault="00357FED" w:rsidP="001253CC">
      <w:pPr>
        <w:numPr>
          <w:ilvl w:val="2"/>
          <w:numId w:val="28"/>
        </w:numPr>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rsidR="00357FED" w:rsidRPr="00357FED" w:rsidRDefault="00357FED" w:rsidP="001253CC">
      <w:pPr>
        <w:numPr>
          <w:ilvl w:val="2"/>
          <w:numId w:val="28"/>
        </w:numPr>
        <w:ind w:left="1134" w:hanging="436"/>
      </w:pPr>
      <w:proofErr w:type="gramStart"/>
      <w:r>
        <w:t>for</w:t>
      </w:r>
      <w:proofErr w:type="gramEnd"/>
      <w:r>
        <w:t xml:space="preserve">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rsidR="00357FED" w:rsidRDefault="00357FED" w:rsidP="00793B65">
      <w:pPr>
        <w:numPr>
          <w:ilvl w:val="1"/>
          <w:numId w:val="28"/>
        </w:numPr>
        <w:spacing w:before="120" w:after="60"/>
        <w:ind w:left="709" w:hanging="709"/>
      </w:pPr>
      <w:r>
        <w:t xml:space="preserve">The employer will pay for a </w:t>
      </w:r>
      <w:r w:rsidR="00F641BC">
        <w:t>relevant o</w:t>
      </w:r>
      <w:r>
        <w:t xml:space="preserve">ffice </w:t>
      </w:r>
      <w:r w:rsidR="009D64D9">
        <w:t>h</w:t>
      </w:r>
      <w:r>
        <w:t>older to stay in commercial accommodation above the 4</w:t>
      </w:r>
      <w:r w:rsidR="00C74C20">
        <w:t>.5</w:t>
      </w:r>
      <w:r>
        <w:t xml:space="preserve"> star standard if</w:t>
      </w:r>
      <w:r w:rsidR="00892421">
        <w:t>:</w:t>
      </w:r>
    </w:p>
    <w:p w:rsidR="00357FED" w:rsidRDefault="00357FED" w:rsidP="001253CC">
      <w:pPr>
        <w:numPr>
          <w:ilvl w:val="2"/>
          <w:numId w:val="28"/>
        </w:numPr>
        <w:ind w:left="1134" w:hanging="436"/>
      </w:pPr>
      <w:r>
        <w:t>the cost is reasonable; and</w:t>
      </w:r>
    </w:p>
    <w:p w:rsidR="007E48DA" w:rsidRDefault="00357FED" w:rsidP="001253CC">
      <w:pPr>
        <w:numPr>
          <w:ilvl w:val="2"/>
          <w:numId w:val="28"/>
        </w:numPr>
        <w:ind w:left="1134" w:hanging="436"/>
      </w:pPr>
      <w:proofErr w:type="gramStart"/>
      <w:r>
        <w:t>to</w:t>
      </w:r>
      <w:proofErr w:type="gramEnd"/>
      <w:r>
        <w:t xml:space="preserve"> do so would better enable business objectives to be met.</w:t>
      </w:r>
    </w:p>
    <w:p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to allow the</w:t>
      </w:r>
      <w:r w:rsidRPr="001458A6">
        <w:rPr>
          <w:sz w:val="20"/>
          <w:lang w:val="en-US"/>
        </w:rPr>
        <w:t xml:space="preserve"> </w:t>
      </w:r>
      <w:r>
        <w:rPr>
          <w:sz w:val="20"/>
          <w:lang w:val="en-US"/>
        </w:rPr>
        <w:t>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976DC3" w:rsidRDefault="007E48DA">
      <w:pPr>
        <w:pStyle w:val="ColorfulList-Accent11"/>
        <w:keepNext/>
        <w:numPr>
          <w:ilvl w:val="0"/>
          <w:numId w:val="15"/>
        </w:numPr>
        <w:tabs>
          <w:tab w:val="num" w:pos="1134"/>
        </w:tabs>
        <w:autoSpaceDE w:val="0"/>
        <w:autoSpaceDN w:val="0"/>
        <w:adjustRightInd w:val="0"/>
        <w:spacing w:before="120" w:after="60"/>
      </w:pPr>
      <w:r>
        <w:rPr>
          <w:sz w:val="20"/>
          <w:lang w:val="en-US"/>
        </w:rPr>
        <w:t xml:space="preserve">to allow the office holder who is traveling with a Minister to </w:t>
      </w:r>
      <w:r w:rsidRPr="001458A6">
        <w:rPr>
          <w:sz w:val="20"/>
          <w:lang w:val="en-US"/>
        </w:rPr>
        <w:t xml:space="preserve">stay in the </w:t>
      </w:r>
      <w:r>
        <w:rPr>
          <w:sz w:val="20"/>
          <w:lang w:val="en-US"/>
        </w:rPr>
        <w:t xml:space="preserve">same </w:t>
      </w:r>
      <w:r w:rsidRPr="001458A6">
        <w:rPr>
          <w:sz w:val="20"/>
          <w:lang w:val="en-US"/>
        </w:rPr>
        <w:t>commercial accommodation</w:t>
      </w:r>
      <w:r>
        <w:rPr>
          <w:sz w:val="20"/>
          <w:lang w:val="en-US"/>
        </w:rPr>
        <w:t xml:space="preserve"> as that</w:t>
      </w:r>
      <w:r w:rsidRPr="001458A6">
        <w:rPr>
          <w:sz w:val="20"/>
          <w:lang w:val="en-US"/>
        </w:rPr>
        <w:t xml:space="preserve"> Minister </w:t>
      </w:r>
      <w:r>
        <w:rPr>
          <w:sz w:val="20"/>
          <w:lang w:val="en-US"/>
        </w:rPr>
        <w:t xml:space="preserve">if the Minister is entitled </w:t>
      </w:r>
      <w:r w:rsidRPr="001458A6">
        <w:rPr>
          <w:sz w:val="20"/>
          <w:lang w:val="en-US"/>
        </w:rPr>
        <w:t>to a h</w:t>
      </w:r>
      <w:r>
        <w:rPr>
          <w:sz w:val="20"/>
          <w:lang w:val="en-US"/>
        </w:rPr>
        <w:t>igher standard of accommodation</w:t>
      </w:r>
    </w:p>
    <w:p w:rsidR="00C02F35" w:rsidRDefault="00C02F35" w:rsidP="00793B65">
      <w:pPr>
        <w:pStyle w:val="Heading3"/>
        <w:numPr>
          <w:ilvl w:val="0"/>
          <w:numId w:val="28"/>
        </w:numPr>
        <w:spacing w:before="120"/>
        <w:ind w:left="709" w:hanging="709"/>
      </w:pPr>
      <w:r w:rsidRPr="00F641BC">
        <w:t>Meals</w:t>
      </w:r>
    </w:p>
    <w:p w:rsidR="00F641BC" w:rsidRDefault="00F641BC" w:rsidP="00793B65">
      <w:pPr>
        <w:numPr>
          <w:ilvl w:val="1"/>
          <w:numId w:val="28"/>
        </w:numPr>
        <w:spacing w:before="120" w:after="60"/>
        <w:ind w:left="709" w:hanging="709"/>
      </w:pPr>
      <w:r>
        <w:t xml:space="preserve">If </w:t>
      </w:r>
      <w:r w:rsidR="00156FFC">
        <w:t xml:space="preserve">the </w:t>
      </w:r>
      <w:r>
        <w:t>office holder is absent from Canberra for more than ten hours while on official travel, the employer will reimburse actual, reasonable expenses for meals.</w:t>
      </w:r>
    </w:p>
    <w:p w:rsidR="00F641BC" w:rsidRDefault="00F641BC" w:rsidP="00793B65">
      <w:pPr>
        <w:pStyle w:val="Heading3"/>
        <w:numPr>
          <w:ilvl w:val="0"/>
          <w:numId w:val="28"/>
        </w:numPr>
        <w:spacing w:before="120"/>
        <w:ind w:left="709" w:hanging="709"/>
      </w:pPr>
      <w:r w:rsidRPr="00EE36F5">
        <w:lastRenderedPageBreak/>
        <w:t>Incidental expenses</w:t>
      </w:r>
    </w:p>
    <w:p w:rsidR="00F641BC" w:rsidRDefault="00F641BC" w:rsidP="00793B65">
      <w:pPr>
        <w:numPr>
          <w:ilvl w:val="1"/>
          <w:numId w:val="28"/>
        </w:numPr>
        <w:spacing w:before="120" w:after="60"/>
        <w:ind w:left="709" w:hanging="709"/>
      </w:pPr>
      <w:r>
        <w:t>The employer will be reimburse reasonable expenses directly related to official travel, including</w:t>
      </w:r>
      <w:r w:rsidR="00156FFC">
        <w:t>:</w:t>
      </w:r>
    </w:p>
    <w:p w:rsidR="00F641BC" w:rsidRDefault="00F641BC" w:rsidP="001253CC">
      <w:pPr>
        <w:numPr>
          <w:ilvl w:val="2"/>
          <w:numId w:val="28"/>
        </w:numPr>
        <w:ind w:left="1134" w:hanging="436"/>
      </w:pPr>
      <w:r>
        <w:t>taxi or bus fares to or from an airport; and</w:t>
      </w:r>
    </w:p>
    <w:p w:rsidR="00F641BC" w:rsidRDefault="00F641BC" w:rsidP="001253CC">
      <w:pPr>
        <w:numPr>
          <w:ilvl w:val="2"/>
          <w:numId w:val="28"/>
        </w:numPr>
        <w:ind w:left="1134" w:hanging="436"/>
      </w:pPr>
      <w:r>
        <w:t xml:space="preserve">taxi and public transport costs at a temporary location; and </w:t>
      </w:r>
    </w:p>
    <w:p w:rsidR="00F54B34" w:rsidRDefault="00F641BC" w:rsidP="001253CC">
      <w:pPr>
        <w:numPr>
          <w:ilvl w:val="2"/>
          <w:numId w:val="28"/>
        </w:numPr>
        <w:ind w:left="1134" w:hanging="436"/>
      </w:pPr>
      <w:proofErr w:type="gramStart"/>
      <w:r>
        <w:t>airport</w:t>
      </w:r>
      <w:proofErr w:type="gramEnd"/>
      <w:r>
        <w:t xml:space="preserve"> taxes or charges.</w:t>
      </w:r>
    </w:p>
    <w:p w:rsidR="008F404C" w:rsidRPr="00AE0FFA" w:rsidRDefault="008F404C" w:rsidP="00793B65">
      <w:pPr>
        <w:pStyle w:val="Heading3"/>
        <w:numPr>
          <w:ilvl w:val="0"/>
          <w:numId w:val="28"/>
        </w:numPr>
        <w:spacing w:before="120"/>
        <w:ind w:left="709" w:hanging="709"/>
        <w:rPr>
          <w:szCs w:val="24"/>
        </w:rPr>
      </w:pPr>
      <w:r>
        <w:rPr>
          <w:szCs w:val="24"/>
        </w:rPr>
        <w:t>Definitions</w:t>
      </w:r>
    </w:p>
    <w:p w:rsidR="008F404C" w:rsidRDefault="008F404C" w:rsidP="00793B65">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5665CC" w:rsidRPr="00A026E3" w:rsidRDefault="005665CC" w:rsidP="00793B65">
      <w:pPr>
        <w:spacing w:before="120" w:after="60"/>
        <w:ind w:left="709"/>
        <w:jc w:val="both"/>
      </w:pPr>
      <w:proofErr w:type="gramStart"/>
      <w:r w:rsidRPr="00A026E3">
        <w:rPr>
          <w:b/>
          <w:bCs/>
          <w:i/>
        </w:rPr>
        <w:t>employer</w:t>
      </w:r>
      <w:proofErr w:type="gramEnd"/>
      <w:r w:rsidRPr="00A026E3">
        <w:t xml:space="preserve"> means the Australian Capital Territory and includes any person authorised to act on behalf of the Australian Capital Territory.</w:t>
      </w:r>
    </w:p>
    <w:p w:rsidR="008F404C" w:rsidRDefault="008F404C" w:rsidP="00793B65">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8F404C" w:rsidRDefault="008F404C" w:rsidP="00793B65">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276328" w:rsidRPr="00276328" w:rsidRDefault="00276328" w:rsidP="00793B65">
      <w:pPr>
        <w:spacing w:before="120" w:after="60"/>
        <w:ind w:left="709"/>
        <w:jc w:val="both"/>
      </w:pPr>
      <w:proofErr w:type="gramStart"/>
      <w:r w:rsidRPr="00276328">
        <w:rPr>
          <w:b/>
          <w:i/>
        </w:rPr>
        <w:t>relevant</w:t>
      </w:r>
      <w:proofErr w:type="gramEnd"/>
      <w:r w:rsidRPr="00276328">
        <w:rPr>
          <w:b/>
          <w:i/>
        </w:rPr>
        <w:t xml:space="preserve"> Enterprise Agreement</w:t>
      </w:r>
      <w:r w:rsidRPr="000452AB">
        <w:rPr>
          <w:b/>
          <w:i/>
        </w:rPr>
        <w:t xml:space="preserve"> </w:t>
      </w:r>
      <w:r>
        <w:t xml:space="preserve">means the Enterprise Agreement that </w:t>
      </w:r>
      <w:r w:rsidR="00AD44CA">
        <w:t>covers staff in</w:t>
      </w:r>
      <w:r>
        <w:t xml:space="preserve"> the area of the ACTPS that administer</w:t>
      </w:r>
      <w:r w:rsidR="00AD44CA">
        <w:t>s</w:t>
      </w:r>
      <w:r>
        <w:t xml:space="preserve"> the travelling allowance for the relevant office holder.</w:t>
      </w:r>
    </w:p>
    <w:p w:rsidR="00900C83" w:rsidRDefault="008F404C" w:rsidP="001253CC">
      <w:pPr>
        <w:spacing w:before="120" w:after="60"/>
        <w:ind w:left="709"/>
        <w:jc w:val="both"/>
      </w:pPr>
      <w:proofErr w:type="gramStart"/>
      <w:r w:rsidRPr="000452AB">
        <w:rPr>
          <w:b/>
          <w:i/>
        </w:rPr>
        <w:t>office</w:t>
      </w:r>
      <w:proofErr w:type="gramEnd"/>
      <w:r w:rsidR="005665CC">
        <w:rPr>
          <w:b/>
          <w:i/>
        </w:rPr>
        <w:t xml:space="preserve"> holder</w:t>
      </w:r>
      <w:r w:rsidR="005665CC">
        <w:t xml:space="preserve"> means </w:t>
      </w:r>
      <w:r w:rsidR="00275BA0">
        <w:t xml:space="preserve">a </w:t>
      </w:r>
      <w:r w:rsidR="005665CC">
        <w:t xml:space="preserve">person appointed to one of </w:t>
      </w:r>
      <w:r w:rsidR="005F1678">
        <w:t xml:space="preserve">the </w:t>
      </w:r>
      <w:r>
        <w:t>offices</w:t>
      </w:r>
      <w:r w:rsidR="00275BA0">
        <w:t xml:space="preserve"> mentioned in Table 1.</w:t>
      </w:r>
    </w:p>
    <w:p w:rsidR="007E48DA" w:rsidRPr="001253CC" w:rsidRDefault="007E48DA" w:rsidP="007E48DA">
      <w:pPr>
        <w:spacing w:before="120" w:after="60"/>
        <w:jc w:val="both"/>
      </w:pPr>
    </w:p>
    <w:p w:rsidR="00F641BC" w:rsidRPr="005E76DE" w:rsidRDefault="00F641BC" w:rsidP="007E48DA">
      <w:pPr>
        <w:pStyle w:val="Heading3"/>
        <w:numPr>
          <w:ilvl w:val="0"/>
          <w:numId w:val="28"/>
        </w:numPr>
        <w:spacing w:before="120"/>
      </w:pPr>
      <w:r>
        <w:t>R</w:t>
      </w:r>
      <w:r w:rsidRPr="005E76DE">
        <w:t xml:space="preserve">evocation of </w:t>
      </w:r>
      <w:r>
        <w:t>p</w:t>
      </w:r>
      <w:r w:rsidRPr="005E76DE">
        <w:t>revious Determination</w:t>
      </w:r>
    </w:p>
    <w:p w:rsidR="00F703A5" w:rsidRPr="00A026E3" w:rsidRDefault="0017568D" w:rsidP="00793B65">
      <w:pPr>
        <w:pStyle w:val="Default"/>
        <w:spacing w:before="120" w:after="60"/>
        <w:rPr>
          <w:rFonts w:ascii="Calibri" w:hAnsi="Calibri"/>
        </w:rPr>
      </w:pPr>
      <w:r>
        <w:rPr>
          <w:rFonts w:ascii="Calibri" w:hAnsi="Calibri"/>
        </w:rPr>
        <w:t xml:space="preserve">Determination </w:t>
      </w:r>
      <w:r w:rsidR="009F1318">
        <w:rPr>
          <w:rFonts w:ascii="Calibri" w:hAnsi="Calibri"/>
        </w:rPr>
        <w:t xml:space="preserve">6 </w:t>
      </w:r>
      <w:r>
        <w:rPr>
          <w:rFonts w:ascii="Calibri" w:hAnsi="Calibri"/>
        </w:rPr>
        <w:t>of 201</w:t>
      </w:r>
      <w:r w:rsidR="009F1318">
        <w:rPr>
          <w:rFonts w:ascii="Calibri" w:hAnsi="Calibri"/>
        </w:rPr>
        <w:t>7</w:t>
      </w:r>
      <w:r w:rsidR="005B63E5">
        <w:rPr>
          <w:rFonts w:ascii="Calibri" w:hAnsi="Calibri"/>
        </w:rPr>
        <w:t xml:space="preserve"> commences on the date of legal effect of the MCMAP</w:t>
      </w:r>
      <w:r w:rsidR="009F1318">
        <w:rPr>
          <w:rFonts w:ascii="Calibri" w:hAnsi="Calibri"/>
        </w:rPr>
        <w:t>.</w:t>
      </w:r>
    </w:p>
    <w:p w:rsidR="005F1678" w:rsidRDefault="005F1678" w:rsidP="00F641BC"/>
    <w:p w:rsidR="007E48DA" w:rsidRDefault="007E48DA" w:rsidP="00F641BC"/>
    <w:p w:rsidR="005F1678" w:rsidRDefault="005F1678" w:rsidP="00F641BC"/>
    <w:p w:rsidR="005B63E5" w:rsidRPr="00F853F9" w:rsidRDefault="005B63E5" w:rsidP="005B63E5">
      <w:pPr>
        <w:tabs>
          <w:tab w:val="left" w:pos="4253"/>
          <w:tab w:val="left" w:leader="dot" w:pos="8222"/>
        </w:tabs>
      </w:pPr>
      <w:r w:rsidRPr="00F853F9">
        <w:t>Anne Cahill Lambert AM</w:t>
      </w:r>
      <w:r w:rsidRPr="00F853F9">
        <w:tab/>
      </w:r>
    </w:p>
    <w:p w:rsidR="005B63E5" w:rsidRPr="00F853F9" w:rsidRDefault="005B63E5" w:rsidP="005B63E5">
      <w:pPr>
        <w:tabs>
          <w:tab w:val="left" w:pos="4253"/>
          <w:tab w:val="left" w:leader="dot" w:pos="8222"/>
        </w:tabs>
      </w:pPr>
      <w:r w:rsidRPr="00F853F9">
        <w:t>Chair</w:t>
      </w:r>
      <w:r w:rsidRPr="00F853F9">
        <w:tab/>
        <w:t>.................................................................</w:t>
      </w:r>
    </w:p>
    <w:p w:rsidR="005B63E5" w:rsidRPr="00F853F9" w:rsidRDefault="005B63E5" w:rsidP="005B63E5">
      <w:pPr>
        <w:tabs>
          <w:tab w:val="left" w:pos="4253"/>
          <w:tab w:val="left" w:leader="dot" w:pos="8222"/>
        </w:tabs>
      </w:pPr>
    </w:p>
    <w:p w:rsidR="005B63E5" w:rsidRDefault="005B63E5" w:rsidP="005B63E5">
      <w:pPr>
        <w:tabs>
          <w:tab w:val="left" w:pos="4253"/>
          <w:tab w:val="left" w:leader="dot" w:pos="8222"/>
        </w:tabs>
      </w:pPr>
    </w:p>
    <w:p w:rsidR="005B63E5" w:rsidRPr="00F853F9" w:rsidRDefault="005B63E5" w:rsidP="005B63E5">
      <w:pPr>
        <w:tabs>
          <w:tab w:val="left" w:pos="4253"/>
          <w:tab w:val="left" w:leader="dot" w:pos="8222"/>
        </w:tabs>
      </w:pPr>
      <w:r w:rsidRPr="00F853F9">
        <w:t>Dr Colin Adrian</w:t>
      </w:r>
      <w:r w:rsidRPr="00F853F9">
        <w:tab/>
      </w:r>
    </w:p>
    <w:p w:rsidR="005B63E5" w:rsidRPr="00F853F9" w:rsidRDefault="005B63E5" w:rsidP="005B63E5">
      <w:pPr>
        <w:tabs>
          <w:tab w:val="left" w:pos="4253"/>
          <w:tab w:val="left" w:leader="dot" w:pos="8222"/>
        </w:tabs>
      </w:pPr>
      <w:r w:rsidRPr="00F853F9">
        <w:t>Member</w:t>
      </w:r>
      <w:r w:rsidRPr="00F853F9">
        <w:tab/>
        <w:t>.................................................................</w:t>
      </w:r>
    </w:p>
    <w:p w:rsidR="005B63E5" w:rsidRPr="00F853F9" w:rsidRDefault="005B63E5" w:rsidP="005B63E5">
      <w:pPr>
        <w:tabs>
          <w:tab w:val="left" w:pos="4253"/>
          <w:tab w:val="left" w:leader="dot" w:pos="8222"/>
        </w:tabs>
      </w:pPr>
    </w:p>
    <w:p w:rsidR="005B63E5" w:rsidRDefault="005B63E5" w:rsidP="005B63E5">
      <w:pPr>
        <w:tabs>
          <w:tab w:val="left" w:pos="4253"/>
          <w:tab w:val="left" w:leader="dot" w:pos="8222"/>
        </w:tabs>
      </w:pPr>
    </w:p>
    <w:p w:rsidR="005B63E5" w:rsidRDefault="00287FD5" w:rsidP="005B63E5">
      <w:pPr>
        <w:tabs>
          <w:tab w:val="left" w:pos="4253"/>
          <w:tab w:val="left" w:leader="dot" w:pos="8222"/>
        </w:tabs>
      </w:pPr>
      <w:r>
        <w:rPr>
          <w:noProof/>
          <w:lang w:eastAsia="en-AU"/>
        </w:rPr>
        <w:drawing>
          <wp:inline distT="0" distB="0" distL="0" distR="0">
            <wp:extent cx="5722620" cy="1150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22620" cy="1150620"/>
                    </a:xfrm>
                    <a:prstGeom prst="rect">
                      <a:avLst/>
                    </a:prstGeom>
                    <a:noFill/>
                    <a:ln w="9525">
                      <a:noFill/>
                      <a:miter lim="800000"/>
                      <a:headEnd/>
                      <a:tailEnd/>
                    </a:ln>
                  </pic:spPr>
                </pic:pic>
              </a:graphicData>
            </a:graphic>
          </wp:inline>
        </w:drawing>
      </w:r>
    </w:p>
    <w:p w:rsidR="00F641BC" w:rsidRDefault="00F641BC" w:rsidP="00F641BC"/>
    <w:p w:rsidR="00F641BC" w:rsidRPr="005C628D" w:rsidRDefault="005B63E5" w:rsidP="005F1678">
      <w:pPr>
        <w:jc w:val="right"/>
        <w:rPr>
          <w:szCs w:val="24"/>
        </w:rPr>
      </w:pPr>
      <w:r>
        <w:t>March</w:t>
      </w:r>
      <w:r w:rsidR="009F1318">
        <w:t xml:space="preserve"> </w:t>
      </w:r>
      <w:r w:rsidR="00381CD8">
        <w:t>201</w:t>
      </w:r>
      <w:r w:rsidR="009F1318">
        <w:t>7</w:t>
      </w:r>
    </w:p>
    <w:sectPr w:rsidR="00F641BC" w:rsidRPr="005C628D" w:rsidSect="003306B6">
      <w:footerReference w:type="even" r:id="rId10"/>
      <w:pgSz w:w="11907" w:h="16840" w:code="9"/>
      <w:pgMar w:top="1440" w:right="1440" w:bottom="70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F31" w:rsidRDefault="00546F31" w:rsidP="00DE7D35">
      <w:r>
        <w:separator/>
      </w:r>
    </w:p>
  </w:endnote>
  <w:endnote w:type="continuationSeparator" w:id="0">
    <w:p w:rsidR="00546F31" w:rsidRDefault="00546F31" w:rsidP="00DE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F31" w:rsidRDefault="002558D7">
    <w:pPr>
      <w:pStyle w:val="Footer"/>
      <w:framePr w:wrap="around" w:vAnchor="text" w:hAnchor="margin" w:xAlign="right" w:y="1"/>
      <w:rPr>
        <w:rStyle w:val="PageNumber"/>
      </w:rPr>
    </w:pPr>
    <w:r>
      <w:rPr>
        <w:rStyle w:val="PageNumber"/>
      </w:rPr>
      <w:fldChar w:fldCharType="begin"/>
    </w:r>
    <w:r w:rsidR="00546F31">
      <w:rPr>
        <w:rStyle w:val="PageNumber"/>
      </w:rPr>
      <w:instrText xml:space="preserve">PAGE  </w:instrText>
    </w:r>
    <w:r>
      <w:rPr>
        <w:rStyle w:val="PageNumber"/>
      </w:rPr>
      <w:fldChar w:fldCharType="end"/>
    </w:r>
  </w:p>
  <w:p w:rsidR="00546F31" w:rsidRDefault="00546F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F31" w:rsidRDefault="00546F31" w:rsidP="00DE7D35">
      <w:r>
        <w:separator/>
      </w:r>
    </w:p>
  </w:footnote>
  <w:footnote w:type="continuationSeparator" w:id="0">
    <w:p w:rsidR="00546F31" w:rsidRDefault="00546F31" w:rsidP="00DE7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nsid w:val="0D4B228C"/>
    <w:multiLevelType w:val="singleLevel"/>
    <w:tmpl w:val="EFA4F642"/>
    <w:lvl w:ilvl="0">
      <w:start w:val="1"/>
      <w:numFmt w:val="decimal"/>
      <w:lvlText w:val="%1."/>
      <w:lvlJc w:val="left"/>
      <w:pPr>
        <w:tabs>
          <w:tab w:val="num" w:pos="360"/>
        </w:tabs>
        <w:ind w:left="360" w:hanging="360"/>
      </w:pPr>
    </w:lvl>
  </w:abstractNum>
  <w:abstractNum w:abstractNumId="6">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E76253"/>
    <w:multiLevelType w:val="hybridMultilevel"/>
    <w:tmpl w:val="93664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nsid w:val="346308F9"/>
    <w:multiLevelType w:val="singleLevel"/>
    <w:tmpl w:val="0C09000F"/>
    <w:lvl w:ilvl="0">
      <w:start w:val="1"/>
      <w:numFmt w:val="decimal"/>
      <w:lvlText w:val="%1."/>
      <w:lvlJc w:val="left"/>
      <w:pPr>
        <w:tabs>
          <w:tab w:val="num" w:pos="360"/>
        </w:tabs>
        <w:ind w:left="360" w:hanging="360"/>
      </w:pPr>
    </w:lvl>
  </w:abstractNum>
  <w:abstractNum w:abstractNumId="14">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36185B"/>
    <w:multiLevelType w:val="singleLevel"/>
    <w:tmpl w:val="0C09000F"/>
    <w:lvl w:ilvl="0">
      <w:start w:val="1"/>
      <w:numFmt w:val="decimal"/>
      <w:lvlText w:val="%1."/>
      <w:lvlJc w:val="left"/>
      <w:pPr>
        <w:tabs>
          <w:tab w:val="num" w:pos="360"/>
        </w:tabs>
        <w:ind w:left="360" w:hanging="360"/>
      </w:pPr>
    </w:lvl>
  </w:abstractNum>
  <w:abstractNum w:abstractNumId="22">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230D4D"/>
    <w:multiLevelType w:val="singleLevel"/>
    <w:tmpl w:val="0C09000F"/>
    <w:lvl w:ilvl="0">
      <w:start w:val="1"/>
      <w:numFmt w:val="decimal"/>
      <w:lvlText w:val="%1."/>
      <w:lvlJc w:val="left"/>
      <w:pPr>
        <w:tabs>
          <w:tab w:val="num" w:pos="360"/>
        </w:tabs>
        <w:ind w:left="360" w:hanging="360"/>
      </w:pPr>
    </w:lvl>
  </w:abstractNum>
  <w:abstractNum w:abstractNumId="24">
    <w:nsid w:val="69703449"/>
    <w:multiLevelType w:val="singleLevel"/>
    <w:tmpl w:val="0C09000F"/>
    <w:lvl w:ilvl="0">
      <w:start w:val="1"/>
      <w:numFmt w:val="decimal"/>
      <w:lvlText w:val="%1."/>
      <w:lvlJc w:val="left"/>
      <w:pPr>
        <w:tabs>
          <w:tab w:val="num" w:pos="360"/>
        </w:tabs>
        <w:ind w:left="360" w:hanging="360"/>
      </w:pPr>
    </w:lvl>
  </w:abstractNum>
  <w:abstractNum w:abstractNumId="25">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num>
  <w:num w:numId="2">
    <w:abstractNumId w:val="13"/>
  </w:num>
  <w:num w:numId="3">
    <w:abstractNumId w:val="21"/>
  </w:num>
  <w:num w:numId="4">
    <w:abstractNumId w:val="5"/>
  </w:num>
  <w:num w:numId="5">
    <w:abstractNumId w:val="23"/>
  </w:num>
  <w:num w:numId="6">
    <w:abstractNumId w:val="24"/>
  </w:num>
  <w:num w:numId="7">
    <w:abstractNumId w:val="30"/>
  </w:num>
  <w:num w:numId="8">
    <w:abstractNumId w:val="4"/>
  </w:num>
  <w:num w:numId="9">
    <w:abstractNumId w:val="12"/>
  </w:num>
  <w:num w:numId="10">
    <w:abstractNumId w:val="27"/>
  </w:num>
  <w:num w:numId="11">
    <w:abstractNumId w:val="1"/>
  </w:num>
  <w:num w:numId="12">
    <w:abstractNumId w:val="30"/>
  </w:num>
  <w:num w:numId="13">
    <w:abstractNumId w:val="30"/>
  </w:num>
  <w:num w:numId="14">
    <w:abstractNumId w:val="30"/>
  </w:num>
  <w:num w:numId="15">
    <w:abstractNumId w:val="11"/>
  </w:num>
  <w:num w:numId="16">
    <w:abstractNumId w:val="30"/>
  </w:num>
  <w:num w:numId="17">
    <w:abstractNumId w:val="30"/>
  </w:num>
  <w:num w:numId="18">
    <w:abstractNumId w:val="30"/>
  </w:num>
  <w:num w:numId="19">
    <w:abstractNumId w:val="30"/>
  </w:num>
  <w:num w:numId="20">
    <w:abstractNumId w:val="0"/>
  </w:num>
  <w:num w:numId="21">
    <w:abstractNumId w:val="30"/>
    <w:lvlOverride w:ilvl="0">
      <w:startOverride w:val="6"/>
    </w:lvlOverride>
  </w:num>
  <w:num w:numId="22">
    <w:abstractNumId w:val="30"/>
    <w:lvlOverride w:ilvl="0">
      <w:startOverride w:val="4"/>
    </w:lvlOverride>
    <w:lvlOverride w:ilvl="1">
      <w:startOverride w:val="1"/>
    </w:lvlOverride>
  </w:num>
  <w:num w:numId="23">
    <w:abstractNumId w:val="18"/>
  </w:num>
  <w:num w:numId="24">
    <w:abstractNumId w:val="25"/>
  </w:num>
  <w:num w:numId="25">
    <w:abstractNumId w:val="3"/>
  </w:num>
  <w:num w:numId="26">
    <w:abstractNumId w:val="8"/>
  </w:num>
  <w:num w:numId="27">
    <w:abstractNumId w:val="30"/>
    <w:lvlOverride w:ilvl="0">
      <w:startOverride w:val="2"/>
    </w:lvlOverride>
    <w:lvlOverride w:ilvl="1">
      <w:startOverride w:val="2"/>
    </w:lvlOverride>
  </w:num>
  <w:num w:numId="28">
    <w:abstractNumId w:val="6"/>
  </w:num>
  <w:num w:numId="29">
    <w:abstractNumId w:val="17"/>
  </w:num>
  <w:num w:numId="30">
    <w:abstractNumId w:val="20"/>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9"/>
  </w:num>
  <w:num w:numId="34">
    <w:abstractNumId w:val="7"/>
  </w:num>
  <w:num w:numId="35">
    <w:abstractNumId w:val="16"/>
  </w:num>
  <w:num w:numId="36">
    <w:abstractNumId w:val="28"/>
  </w:num>
  <w:num w:numId="37">
    <w:abstractNumId w:val="2"/>
  </w:num>
  <w:num w:numId="38">
    <w:abstractNumId w:val="26"/>
  </w:num>
  <w:num w:numId="39">
    <w:abstractNumId w:val="22"/>
  </w:num>
  <w:num w:numId="40">
    <w:abstractNumId w:val="9"/>
  </w:num>
  <w:num w:numId="41">
    <w:abstractNumId w:val="10"/>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93BF4"/>
    <w:rsid w:val="00096697"/>
    <w:rsid w:val="000A2860"/>
    <w:rsid w:val="000B2C06"/>
    <w:rsid w:val="000B4828"/>
    <w:rsid w:val="000C235A"/>
    <w:rsid w:val="000D360F"/>
    <w:rsid w:val="000E3982"/>
    <w:rsid w:val="000E65E0"/>
    <w:rsid w:val="000E6E31"/>
    <w:rsid w:val="000F13B2"/>
    <w:rsid w:val="000F6016"/>
    <w:rsid w:val="000F63B9"/>
    <w:rsid w:val="000F6615"/>
    <w:rsid w:val="000F6E40"/>
    <w:rsid w:val="00100E89"/>
    <w:rsid w:val="0010591C"/>
    <w:rsid w:val="00105CBE"/>
    <w:rsid w:val="001119B8"/>
    <w:rsid w:val="00116F63"/>
    <w:rsid w:val="001253CC"/>
    <w:rsid w:val="0013322C"/>
    <w:rsid w:val="001409BE"/>
    <w:rsid w:val="001526C0"/>
    <w:rsid w:val="00154D4F"/>
    <w:rsid w:val="00156FFC"/>
    <w:rsid w:val="00165F53"/>
    <w:rsid w:val="0017001A"/>
    <w:rsid w:val="00172F92"/>
    <w:rsid w:val="0017568D"/>
    <w:rsid w:val="0017754A"/>
    <w:rsid w:val="00182AA3"/>
    <w:rsid w:val="00184CF6"/>
    <w:rsid w:val="0018689C"/>
    <w:rsid w:val="00187029"/>
    <w:rsid w:val="00191808"/>
    <w:rsid w:val="001A119E"/>
    <w:rsid w:val="001B7670"/>
    <w:rsid w:val="001C6DCE"/>
    <w:rsid w:val="001F733D"/>
    <w:rsid w:val="001F7515"/>
    <w:rsid w:val="0020397B"/>
    <w:rsid w:val="00204FD9"/>
    <w:rsid w:val="002074A8"/>
    <w:rsid w:val="00211B7A"/>
    <w:rsid w:val="00212202"/>
    <w:rsid w:val="00215327"/>
    <w:rsid w:val="002173F8"/>
    <w:rsid w:val="00222405"/>
    <w:rsid w:val="00224428"/>
    <w:rsid w:val="00224E69"/>
    <w:rsid w:val="00230441"/>
    <w:rsid w:val="0023156B"/>
    <w:rsid w:val="002558D7"/>
    <w:rsid w:val="0025648E"/>
    <w:rsid w:val="0025728A"/>
    <w:rsid w:val="002602A2"/>
    <w:rsid w:val="00270893"/>
    <w:rsid w:val="002721E1"/>
    <w:rsid w:val="00275BA0"/>
    <w:rsid w:val="00275F57"/>
    <w:rsid w:val="00276328"/>
    <w:rsid w:val="00276385"/>
    <w:rsid w:val="002829B2"/>
    <w:rsid w:val="00287FD5"/>
    <w:rsid w:val="00294FE9"/>
    <w:rsid w:val="002A370C"/>
    <w:rsid w:val="002A7012"/>
    <w:rsid w:val="002B2EED"/>
    <w:rsid w:val="002B33A0"/>
    <w:rsid w:val="002B5966"/>
    <w:rsid w:val="002B6D40"/>
    <w:rsid w:val="002C419F"/>
    <w:rsid w:val="002D1042"/>
    <w:rsid w:val="002E31AC"/>
    <w:rsid w:val="002F6102"/>
    <w:rsid w:val="002F6ACB"/>
    <w:rsid w:val="002F752E"/>
    <w:rsid w:val="003240FF"/>
    <w:rsid w:val="0032775F"/>
    <w:rsid w:val="00327C01"/>
    <w:rsid w:val="003306B6"/>
    <w:rsid w:val="00337646"/>
    <w:rsid w:val="0034228F"/>
    <w:rsid w:val="0034324C"/>
    <w:rsid w:val="0034418F"/>
    <w:rsid w:val="00344857"/>
    <w:rsid w:val="00352C36"/>
    <w:rsid w:val="00355254"/>
    <w:rsid w:val="00357E75"/>
    <w:rsid w:val="00357FED"/>
    <w:rsid w:val="0036043F"/>
    <w:rsid w:val="003819D5"/>
    <w:rsid w:val="00381CD8"/>
    <w:rsid w:val="003834D6"/>
    <w:rsid w:val="003906A5"/>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4079D4"/>
    <w:rsid w:val="00420A17"/>
    <w:rsid w:val="004255ED"/>
    <w:rsid w:val="00444EEB"/>
    <w:rsid w:val="004538A5"/>
    <w:rsid w:val="00453A44"/>
    <w:rsid w:val="004545CA"/>
    <w:rsid w:val="00456A3B"/>
    <w:rsid w:val="004641DC"/>
    <w:rsid w:val="00471065"/>
    <w:rsid w:val="0048374B"/>
    <w:rsid w:val="00483FB9"/>
    <w:rsid w:val="00490F77"/>
    <w:rsid w:val="004A79EE"/>
    <w:rsid w:val="004C3F50"/>
    <w:rsid w:val="004E0627"/>
    <w:rsid w:val="004E1D5B"/>
    <w:rsid w:val="004E3C0A"/>
    <w:rsid w:val="004F3E40"/>
    <w:rsid w:val="004F72EE"/>
    <w:rsid w:val="004F74D5"/>
    <w:rsid w:val="004F75FD"/>
    <w:rsid w:val="00501164"/>
    <w:rsid w:val="00514E7E"/>
    <w:rsid w:val="00525D6A"/>
    <w:rsid w:val="00537FC5"/>
    <w:rsid w:val="00543559"/>
    <w:rsid w:val="005451D4"/>
    <w:rsid w:val="00546F31"/>
    <w:rsid w:val="00546FDC"/>
    <w:rsid w:val="005547F1"/>
    <w:rsid w:val="005609B0"/>
    <w:rsid w:val="00562105"/>
    <w:rsid w:val="005652A8"/>
    <w:rsid w:val="005665CC"/>
    <w:rsid w:val="00583062"/>
    <w:rsid w:val="005917CE"/>
    <w:rsid w:val="00595E95"/>
    <w:rsid w:val="00597D49"/>
    <w:rsid w:val="005A192F"/>
    <w:rsid w:val="005A43CE"/>
    <w:rsid w:val="005B63E5"/>
    <w:rsid w:val="005B6ADD"/>
    <w:rsid w:val="005C628D"/>
    <w:rsid w:val="005D6942"/>
    <w:rsid w:val="005E3C83"/>
    <w:rsid w:val="005E4C73"/>
    <w:rsid w:val="005E68DA"/>
    <w:rsid w:val="005F1678"/>
    <w:rsid w:val="005F65ED"/>
    <w:rsid w:val="00600B98"/>
    <w:rsid w:val="006043BA"/>
    <w:rsid w:val="00604BE8"/>
    <w:rsid w:val="00605F3D"/>
    <w:rsid w:val="00622A9B"/>
    <w:rsid w:val="00626FCD"/>
    <w:rsid w:val="006347CE"/>
    <w:rsid w:val="00643D5E"/>
    <w:rsid w:val="006446AC"/>
    <w:rsid w:val="00647565"/>
    <w:rsid w:val="00653DBE"/>
    <w:rsid w:val="00657AA3"/>
    <w:rsid w:val="00663B55"/>
    <w:rsid w:val="0066407C"/>
    <w:rsid w:val="006832C5"/>
    <w:rsid w:val="00690F74"/>
    <w:rsid w:val="006940C8"/>
    <w:rsid w:val="00694C2E"/>
    <w:rsid w:val="006952B7"/>
    <w:rsid w:val="006A5444"/>
    <w:rsid w:val="006C384A"/>
    <w:rsid w:val="006C7BE2"/>
    <w:rsid w:val="006E0AA7"/>
    <w:rsid w:val="006F101F"/>
    <w:rsid w:val="006F53F2"/>
    <w:rsid w:val="006F73C2"/>
    <w:rsid w:val="006F7634"/>
    <w:rsid w:val="007102A9"/>
    <w:rsid w:val="00724712"/>
    <w:rsid w:val="007377A6"/>
    <w:rsid w:val="00743E35"/>
    <w:rsid w:val="00752E8A"/>
    <w:rsid w:val="00762CD9"/>
    <w:rsid w:val="007810FF"/>
    <w:rsid w:val="00793B65"/>
    <w:rsid w:val="0079572D"/>
    <w:rsid w:val="007C16C1"/>
    <w:rsid w:val="007E48DA"/>
    <w:rsid w:val="007E7C34"/>
    <w:rsid w:val="007F4B12"/>
    <w:rsid w:val="008039DD"/>
    <w:rsid w:val="008109D6"/>
    <w:rsid w:val="0081147F"/>
    <w:rsid w:val="008118E1"/>
    <w:rsid w:val="0081472D"/>
    <w:rsid w:val="00816E2E"/>
    <w:rsid w:val="008204EE"/>
    <w:rsid w:val="00834598"/>
    <w:rsid w:val="008358EE"/>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E0D37"/>
    <w:rsid w:val="008E3A25"/>
    <w:rsid w:val="008E6C0F"/>
    <w:rsid w:val="008F33DD"/>
    <w:rsid w:val="008F404C"/>
    <w:rsid w:val="00900C83"/>
    <w:rsid w:val="009022E2"/>
    <w:rsid w:val="00914FD3"/>
    <w:rsid w:val="0094179B"/>
    <w:rsid w:val="0096027D"/>
    <w:rsid w:val="00961737"/>
    <w:rsid w:val="00962328"/>
    <w:rsid w:val="0096696F"/>
    <w:rsid w:val="009673CC"/>
    <w:rsid w:val="00974E09"/>
    <w:rsid w:val="00976DC3"/>
    <w:rsid w:val="00981ECE"/>
    <w:rsid w:val="00984405"/>
    <w:rsid w:val="00991146"/>
    <w:rsid w:val="009956FB"/>
    <w:rsid w:val="009A165E"/>
    <w:rsid w:val="009A313C"/>
    <w:rsid w:val="009B1214"/>
    <w:rsid w:val="009B2361"/>
    <w:rsid w:val="009B5F0B"/>
    <w:rsid w:val="009B6858"/>
    <w:rsid w:val="009B7B7C"/>
    <w:rsid w:val="009C1E47"/>
    <w:rsid w:val="009D5789"/>
    <w:rsid w:val="009D64D9"/>
    <w:rsid w:val="009D7737"/>
    <w:rsid w:val="009E59F1"/>
    <w:rsid w:val="009E7A0D"/>
    <w:rsid w:val="009F1318"/>
    <w:rsid w:val="009F36AD"/>
    <w:rsid w:val="00A011B7"/>
    <w:rsid w:val="00A026E3"/>
    <w:rsid w:val="00A05615"/>
    <w:rsid w:val="00A07DEA"/>
    <w:rsid w:val="00A1093A"/>
    <w:rsid w:val="00A1151D"/>
    <w:rsid w:val="00A14DB6"/>
    <w:rsid w:val="00A24B17"/>
    <w:rsid w:val="00A31967"/>
    <w:rsid w:val="00A33D75"/>
    <w:rsid w:val="00A358AA"/>
    <w:rsid w:val="00A41965"/>
    <w:rsid w:val="00A424A7"/>
    <w:rsid w:val="00A436F6"/>
    <w:rsid w:val="00A46336"/>
    <w:rsid w:val="00A53528"/>
    <w:rsid w:val="00A605D5"/>
    <w:rsid w:val="00A63641"/>
    <w:rsid w:val="00A76999"/>
    <w:rsid w:val="00A76E5C"/>
    <w:rsid w:val="00A80327"/>
    <w:rsid w:val="00A80A26"/>
    <w:rsid w:val="00A830FE"/>
    <w:rsid w:val="00A942CB"/>
    <w:rsid w:val="00A94328"/>
    <w:rsid w:val="00A95801"/>
    <w:rsid w:val="00AA02D4"/>
    <w:rsid w:val="00AA1466"/>
    <w:rsid w:val="00AA2886"/>
    <w:rsid w:val="00AA64D6"/>
    <w:rsid w:val="00AA6D0E"/>
    <w:rsid w:val="00AB5FCD"/>
    <w:rsid w:val="00AB6EFA"/>
    <w:rsid w:val="00AC52CF"/>
    <w:rsid w:val="00AD0145"/>
    <w:rsid w:val="00AD44CA"/>
    <w:rsid w:val="00AE0FFA"/>
    <w:rsid w:val="00AE5DD1"/>
    <w:rsid w:val="00AE7595"/>
    <w:rsid w:val="00AF19B9"/>
    <w:rsid w:val="00AF5B12"/>
    <w:rsid w:val="00AF7D38"/>
    <w:rsid w:val="00B03A31"/>
    <w:rsid w:val="00B04709"/>
    <w:rsid w:val="00B121E8"/>
    <w:rsid w:val="00B26252"/>
    <w:rsid w:val="00B312EA"/>
    <w:rsid w:val="00B331A6"/>
    <w:rsid w:val="00B34170"/>
    <w:rsid w:val="00B351F2"/>
    <w:rsid w:val="00B44EA5"/>
    <w:rsid w:val="00B51348"/>
    <w:rsid w:val="00B515EA"/>
    <w:rsid w:val="00B5746C"/>
    <w:rsid w:val="00B60506"/>
    <w:rsid w:val="00B67387"/>
    <w:rsid w:val="00B77CBA"/>
    <w:rsid w:val="00B80F13"/>
    <w:rsid w:val="00B830B0"/>
    <w:rsid w:val="00B87B1B"/>
    <w:rsid w:val="00B91FD3"/>
    <w:rsid w:val="00B97942"/>
    <w:rsid w:val="00BA75EE"/>
    <w:rsid w:val="00BB0383"/>
    <w:rsid w:val="00BC329A"/>
    <w:rsid w:val="00BC60C7"/>
    <w:rsid w:val="00BD0A11"/>
    <w:rsid w:val="00BD0D13"/>
    <w:rsid w:val="00BD4D21"/>
    <w:rsid w:val="00BD71C6"/>
    <w:rsid w:val="00BD739F"/>
    <w:rsid w:val="00BD7CC8"/>
    <w:rsid w:val="00BE04F1"/>
    <w:rsid w:val="00BE7B5C"/>
    <w:rsid w:val="00BF2D0A"/>
    <w:rsid w:val="00C02F35"/>
    <w:rsid w:val="00C111F3"/>
    <w:rsid w:val="00C1238C"/>
    <w:rsid w:val="00C1418F"/>
    <w:rsid w:val="00C303F5"/>
    <w:rsid w:val="00C312EA"/>
    <w:rsid w:val="00C40C64"/>
    <w:rsid w:val="00C4163B"/>
    <w:rsid w:val="00C45DD2"/>
    <w:rsid w:val="00C553A2"/>
    <w:rsid w:val="00C56C5B"/>
    <w:rsid w:val="00C57DEF"/>
    <w:rsid w:val="00C73623"/>
    <w:rsid w:val="00C74C20"/>
    <w:rsid w:val="00C75094"/>
    <w:rsid w:val="00C77C5F"/>
    <w:rsid w:val="00C84A85"/>
    <w:rsid w:val="00C92F26"/>
    <w:rsid w:val="00C953AA"/>
    <w:rsid w:val="00C953C3"/>
    <w:rsid w:val="00C955B1"/>
    <w:rsid w:val="00C97110"/>
    <w:rsid w:val="00CB04DF"/>
    <w:rsid w:val="00CC6AC9"/>
    <w:rsid w:val="00CC6DDA"/>
    <w:rsid w:val="00CD4CF7"/>
    <w:rsid w:val="00CD711A"/>
    <w:rsid w:val="00CE3A03"/>
    <w:rsid w:val="00CE5479"/>
    <w:rsid w:val="00CF13DD"/>
    <w:rsid w:val="00CF4AB4"/>
    <w:rsid w:val="00D01FC9"/>
    <w:rsid w:val="00D06B77"/>
    <w:rsid w:val="00D12B22"/>
    <w:rsid w:val="00D13220"/>
    <w:rsid w:val="00D15015"/>
    <w:rsid w:val="00D20A9E"/>
    <w:rsid w:val="00D21AF1"/>
    <w:rsid w:val="00D26C64"/>
    <w:rsid w:val="00D321EC"/>
    <w:rsid w:val="00D32B1E"/>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3C93"/>
    <w:rsid w:val="00DD3F90"/>
    <w:rsid w:val="00DD4E55"/>
    <w:rsid w:val="00DD6681"/>
    <w:rsid w:val="00DE36C6"/>
    <w:rsid w:val="00DE3900"/>
    <w:rsid w:val="00DE7D35"/>
    <w:rsid w:val="00E0122C"/>
    <w:rsid w:val="00E05CC5"/>
    <w:rsid w:val="00E07013"/>
    <w:rsid w:val="00E14938"/>
    <w:rsid w:val="00E157E2"/>
    <w:rsid w:val="00E175F6"/>
    <w:rsid w:val="00E24AE5"/>
    <w:rsid w:val="00E25C21"/>
    <w:rsid w:val="00E30308"/>
    <w:rsid w:val="00E3265B"/>
    <w:rsid w:val="00E34E78"/>
    <w:rsid w:val="00E47957"/>
    <w:rsid w:val="00E5362A"/>
    <w:rsid w:val="00E554CB"/>
    <w:rsid w:val="00E61730"/>
    <w:rsid w:val="00E61EFF"/>
    <w:rsid w:val="00E62A1D"/>
    <w:rsid w:val="00E663DD"/>
    <w:rsid w:val="00E73DB3"/>
    <w:rsid w:val="00E76A22"/>
    <w:rsid w:val="00E76B0F"/>
    <w:rsid w:val="00E870B1"/>
    <w:rsid w:val="00E91A88"/>
    <w:rsid w:val="00E94683"/>
    <w:rsid w:val="00EA2638"/>
    <w:rsid w:val="00EB2828"/>
    <w:rsid w:val="00EB4CCB"/>
    <w:rsid w:val="00EB6096"/>
    <w:rsid w:val="00ED3550"/>
    <w:rsid w:val="00ED405F"/>
    <w:rsid w:val="00ED6D5A"/>
    <w:rsid w:val="00ED73A5"/>
    <w:rsid w:val="00EE09D9"/>
    <w:rsid w:val="00EE3EF5"/>
    <w:rsid w:val="00EF4C85"/>
    <w:rsid w:val="00F12C8B"/>
    <w:rsid w:val="00F14E88"/>
    <w:rsid w:val="00F1557D"/>
    <w:rsid w:val="00F157C9"/>
    <w:rsid w:val="00F358CD"/>
    <w:rsid w:val="00F45F5D"/>
    <w:rsid w:val="00F47DBF"/>
    <w:rsid w:val="00F5112B"/>
    <w:rsid w:val="00F54B34"/>
    <w:rsid w:val="00F60B71"/>
    <w:rsid w:val="00F61D2D"/>
    <w:rsid w:val="00F641BC"/>
    <w:rsid w:val="00F6578D"/>
    <w:rsid w:val="00F703A5"/>
    <w:rsid w:val="00F716E8"/>
    <w:rsid w:val="00F74823"/>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D6F02"/>
    <w:rsid w:val="00FF5819"/>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rsid w:val="0023156B"/>
    <w:pPr>
      <w:tabs>
        <w:tab w:val="left" w:pos="2880"/>
      </w:tabs>
      <w:spacing w:before="120" w:after="60" w:line="240" w:lineRule="exact"/>
    </w:pPr>
    <w:rPr>
      <w:rFonts w:ascii="Arial" w:hAnsi="Arial"/>
      <w:sz w:val="18"/>
    </w:rPr>
  </w:style>
  <w:style w:type="character" w:customStyle="1" w:styleId="FooterChar">
    <w:name w:val="Footer Char"/>
    <w:link w:val="Footer"/>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semiHidden/>
    <w:unhideWhenUsed/>
    <w:rsid w:val="00352C36"/>
    <w:rPr>
      <w:sz w:val="20"/>
    </w:rPr>
  </w:style>
  <w:style w:type="character" w:customStyle="1" w:styleId="CommentTextChar">
    <w:name w:val="Comment Text Char"/>
    <w:basedOn w:val="DefaultParagraphFont"/>
    <w:link w:val="CommentText"/>
    <w:uiPriority w:val="99"/>
    <w:semiHidden/>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s>
</file>

<file path=word/webSettings.xml><?xml version="1.0" encoding="utf-8"?>
<w:webSettings xmlns:r="http://schemas.openxmlformats.org/officeDocument/2006/relationships" xmlns:w="http://schemas.openxmlformats.org/wordprocessingml/2006/main">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A834-66AC-49B8-A01A-526E2925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10284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jacob collins</cp:lastModifiedBy>
  <cp:revision>3</cp:revision>
  <cp:lastPrinted>2017-02-27T01:17:00Z</cp:lastPrinted>
  <dcterms:created xsi:type="dcterms:W3CDTF">2017-03-07T02:58:00Z</dcterms:created>
  <dcterms:modified xsi:type="dcterms:W3CDTF">2017-03-14T02:22:00Z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