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29590" w14:textId="77777777"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3C337A63" wp14:editId="1DEB0D92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6BB08C74" w14:textId="77777777"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6F09387F" w14:textId="5B6FDD60" w:rsidR="00D56A6B" w:rsidRPr="008D28B2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8D28B2">
        <w:t xml:space="preserve">Determination </w:t>
      </w:r>
      <w:r w:rsidR="009D58BF" w:rsidRPr="008D28B2">
        <w:t>16</w:t>
      </w:r>
      <w:r w:rsidR="00CC036B" w:rsidRPr="008D28B2">
        <w:t xml:space="preserve"> </w:t>
      </w:r>
      <w:r w:rsidRPr="008D28B2">
        <w:t xml:space="preserve">of </w:t>
      </w:r>
      <w:r w:rsidR="00D02D9B" w:rsidRPr="008D28B2">
        <w:t>20</w:t>
      </w:r>
      <w:r w:rsidR="00A74F92" w:rsidRPr="008D28B2">
        <w:t>20</w:t>
      </w:r>
      <w:r w:rsidR="00C95B39" w:rsidRPr="008D28B2">
        <w:t xml:space="preserve"> </w:t>
      </w:r>
    </w:p>
    <w:p w14:paraId="4FC951CD" w14:textId="77777777" w:rsidR="009E4C67" w:rsidRPr="003B1A08" w:rsidRDefault="009E4C67" w:rsidP="008E31D4">
      <w:r w:rsidRPr="003B1A08">
        <w:t xml:space="preserve">made under the </w:t>
      </w:r>
    </w:p>
    <w:p w14:paraId="79541470" w14:textId="77777777" w:rsidR="009E4C67" w:rsidRPr="000D1005" w:rsidRDefault="007F3DA2" w:rsidP="008E31D4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 w:rsidR="000D1005">
        <w:rPr>
          <w:rFonts w:cs="Arial"/>
          <w:b/>
        </w:rPr>
        <w:t>, section 10 (Inquiries about holders of certain positions)</w:t>
      </w:r>
    </w:p>
    <w:p w14:paraId="29A10D44" w14:textId="77777777"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14:paraId="2286B7DB" w14:textId="77777777"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25481158" w14:textId="77777777" w:rsidR="00C11250" w:rsidRDefault="009E4C67" w:rsidP="00625249">
      <w:pPr>
        <w:pStyle w:val="Heading2"/>
        <w:spacing w:after="0"/>
      </w:pPr>
      <w:r>
        <w:t>Background</w:t>
      </w:r>
    </w:p>
    <w:p w14:paraId="58CE2D11" w14:textId="76F00361" w:rsidR="00C11250" w:rsidRDefault="006A5F59" w:rsidP="00F4595C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 xml:space="preserve">must inquire into and determine the remuneration, allowances and other entitlements to be paid to the </w:t>
      </w:r>
      <w:bookmarkStart w:id="1" w:name="_Hlk49515351"/>
      <w:r>
        <w:t xml:space="preserve">holders of Judicial positions </w:t>
      </w:r>
      <w:bookmarkEnd w:id="1"/>
      <w:r>
        <w:t>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</w:t>
      </w:r>
      <w:r w:rsidR="00125E3B">
        <w:t xml:space="preserve">Associate Judge </w:t>
      </w:r>
      <w:r w:rsidR="009766A1">
        <w:t>and Acting J</w:t>
      </w:r>
      <w:r>
        <w:t>udges.</w:t>
      </w:r>
      <w:r w:rsidR="00F6462E">
        <w:t xml:space="preserve"> </w:t>
      </w:r>
      <w:r w:rsidR="00DF6B06">
        <w:t>For the Chief Justice, t</w:t>
      </w:r>
      <w:r w:rsidR="00293EEE">
        <w:t>h</w:t>
      </w:r>
      <w:r w:rsidR="00AC12D1">
        <w:t>is</w:t>
      </w:r>
      <w:r w:rsidR="00293EEE">
        <w:t xml:space="preserve"> entitlement </w:t>
      </w:r>
      <w:r w:rsidR="00AC12D1">
        <w:t xml:space="preserve">is </w:t>
      </w:r>
      <w:r w:rsidR="00293EEE">
        <w:t xml:space="preserve">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14:paraId="78A3C5AE" w14:textId="77777777" w:rsidR="00F4595C" w:rsidRPr="009D58BF" w:rsidRDefault="00076CA5" w:rsidP="009216A4">
      <w:pPr>
        <w:spacing w:before="120"/>
      </w:pPr>
      <w:r w:rsidRPr="009D58BF">
        <w:rPr>
          <w:b/>
        </w:rPr>
        <w:t>Consideration</w:t>
      </w:r>
      <w:r w:rsidR="00F610F8" w:rsidRPr="009D58BF">
        <w:rPr>
          <w:b/>
        </w:rPr>
        <w:t>s</w:t>
      </w:r>
    </w:p>
    <w:p w14:paraId="6D0D2341" w14:textId="7FAE47A3" w:rsidR="00143279" w:rsidRPr="009D58BF" w:rsidRDefault="00D738C1" w:rsidP="00143279">
      <w:pPr>
        <w:spacing w:before="120" w:after="60"/>
        <w:rPr>
          <w:szCs w:val="24"/>
        </w:rPr>
      </w:pPr>
      <w:r w:rsidRPr="009D58BF">
        <w:rPr>
          <w:szCs w:val="24"/>
        </w:rPr>
        <w:t xml:space="preserve">Chief Justice Helen Murrell wrote </w:t>
      </w:r>
      <w:r w:rsidR="009320A6" w:rsidRPr="009D58BF">
        <w:rPr>
          <w:szCs w:val="24"/>
        </w:rPr>
        <w:t xml:space="preserve">to the </w:t>
      </w:r>
      <w:r w:rsidRPr="009D58BF">
        <w:rPr>
          <w:szCs w:val="24"/>
        </w:rPr>
        <w:t xml:space="preserve">Tribunal to request </w:t>
      </w:r>
      <w:r w:rsidR="00AF1F0B" w:rsidRPr="009D58BF">
        <w:rPr>
          <w:szCs w:val="24"/>
        </w:rPr>
        <w:t xml:space="preserve">an </w:t>
      </w:r>
      <w:r w:rsidR="00D111E9" w:rsidRPr="009D58BF">
        <w:rPr>
          <w:szCs w:val="24"/>
        </w:rPr>
        <w:t>out-of-</w:t>
      </w:r>
      <w:r w:rsidRPr="009D58BF">
        <w:rPr>
          <w:szCs w:val="24"/>
        </w:rPr>
        <w:t>session consideration on a number of matters in relation to the current ACT Supreme Court Judicial Positions Determination 7 of 2020</w:t>
      </w:r>
      <w:r w:rsidR="009320A6" w:rsidRPr="009D58BF">
        <w:rPr>
          <w:szCs w:val="24"/>
        </w:rPr>
        <w:t xml:space="preserve">. </w:t>
      </w:r>
    </w:p>
    <w:p w14:paraId="72228D94" w14:textId="77777777" w:rsidR="00AF1F0B" w:rsidRPr="009D58BF" w:rsidRDefault="004E5081" w:rsidP="00143279">
      <w:pPr>
        <w:spacing w:before="120" w:after="60"/>
      </w:pPr>
      <w:r w:rsidRPr="009D58BF">
        <w:t>An acting judge is current</w:t>
      </w:r>
      <w:r w:rsidR="000F6F50" w:rsidRPr="009D58BF">
        <w:t>ly</w:t>
      </w:r>
      <w:r w:rsidRPr="009D58BF">
        <w:t xml:space="preserve"> entitled to be paid remuneration calculated at the rate of 1/230 of the annual remuneration paid to a judge of the ACT Supreme Court per day. </w:t>
      </w:r>
    </w:p>
    <w:p w14:paraId="03B889DA" w14:textId="5BFF3485" w:rsidR="004E5081" w:rsidRPr="009D58BF" w:rsidRDefault="004E5081" w:rsidP="00143279">
      <w:pPr>
        <w:spacing w:before="120" w:after="60"/>
      </w:pPr>
      <w:r w:rsidRPr="009D58BF">
        <w:t xml:space="preserve">The Chief Justice has advised that </w:t>
      </w:r>
      <w:r w:rsidR="000F6F50" w:rsidRPr="009D58BF">
        <w:t xml:space="preserve">acting judges often sit for significantly </w:t>
      </w:r>
      <w:r w:rsidR="00D111E9" w:rsidRPr="009D58BF">
        <w:t>fewer</w:t>
      </w:r>
      <w:r w:rsidR="000F6F50" w:rsidRPr="009D58BF">
        <w:t xml:space="preserve"> hours than half a day but are entitled to a daily rate.  </w:t>
      </w:r>
    </w:p>
    <w:p w14:paraId="1A594169" w14:textId="16B02661" w:rsidR="00D738C1" w:rsidRPr="009D58BF" w:rsidRDefault="00D738C1" w:rsidP="00143279">
      <w:pPr>
        <w:spacing w:before="120" w:after="60"/>
      </w:pPr>
      <w:r w:rsidRPr="009D58BF">
        <w:t xml:space="preserve">The Tribunal met on 16 December 2020 and considered the Chief Justice’s </w:t>
      </w:r>
      <w:r w:rsidR="009320A6" w:rsidRPr="009D58BF">
        <w:t xml:space="preserve">submission. </w:t>
      </w:r>
      <w:r w:rsidRPr="009D58BF">
        <w:rPr>
          <w:szCs w:val="24"/>
        </w:rPr>
        <w:t xml:space="preserve">The Tribunal </w:t>
      </w:r>
      <w:r w:rsidR="009320A6" w:rsidRPr="009D58BF">
        <w:rPr>
          <w:szCs w:val="24"/>
        </w:rPr>
        <w:t xml:space="preserve">sought advice from the </w:t>
      </w:r>
      <w:r w:rsidR="009320A6" w:rsidRPr="009D58BF">
        <w:t>Justice and Community Safety Directorate</w:t>
      </w:r>
      <w:r w:rsidR="009320A6" w:rsidRPr="009D58BF">
        <w:rPr>
          <w:szCs w:val="24"/>
        </w:rPr>
        <w:t xml:space="preserve"> and </w:t>
      </w:r>
      <w:r w:rsidRPr="009D58BF">
        <w:rPr>
          <w:szCs w:val="24"/>
        </w:rPr>
        <w:t xml:space="preserve">also discussed the </w:t>
      </w:r>
      <w:r w:rsidR="009320A6" w:rsidRPr="009D58BF">
        <w:rPr>
          <w:szCs w:val="24"/>
        </w:rPr>
        <w:t xml:space="preserve">matters raised by the Chief Justice </w:t>
      </w:r>
      <w:r w:rsidRPr="009D58BF">
        <w:rPr>
          <w:szCs w:val="24"/>
        </w:rPr>
        <w:t>with</w:t>
      </w:r>
      <w:r w:rsidR="009320A6" w:rsidRPr="009D58BF">
        <w:rPr>
          <w:szCs w:val="24"/>
        </w:rPr>
        <w:t xml:space="preserve"> an official from the</w:t>
      </w:r>
      <w:r w:rsidRPr="009D58BF">
        <w:rPr>
          <w:szCs w:val="24"/>
        </w:rPr>
        <w:t xml:space="preserve"> </w:t>
      </w:r>
      <w:r w:rsidRPr="009D58BF">
        <w:t>Justice and Community Safety Directorate.</w:t>
      </w:r>
    </w:p>
    <w:p w14:paraId="6471D898" w14:textId="490557FB" w:rsidR="00B74CF4" w:rsidRPr="009D58BF" w:rsidRDefault="00B74CF4" w:rsidP="001C3DA2">
      <w:pPr>
        <w:spacing w:before="120"/>
        <w:rPr>
          <w:b/>
        </w:rPr>
      </w:pPr>
      <w:r w:rsidRPr="009D58BF">
        <w:rPr>
          <w:b/>
        </w:rPr>
        <w:t>Decision</w:t>
      </w:r>
    </w:p>
    <w:p w14:paraId="2199784A" w14:textId="6E5E1720" w:rsidR="005473F1" w:rsidRDefault="005473F1" w:rsidP="005473F1">
      <w:pPr>
        <w:spacing w:before="120" w:after="60"/>
      </w:pPr>
      <w:r w:rsidRPr="009D58BF">
        <w:t xml:space="preserve">The Tribunal has decided </w:t>
      </w:r>
      <w:r w:rsidR="000F6F50" w:rsidRPr="009D58BF">
        <w:t>that if an acting judge</w:t>
      </w:r>
      <w:r w:rsidR="007352AF">
        <w:t xml:space="preserve"> </w:t>
      </w:r>
      <w:r w:rsidR="00F6623F">
        <w:t xml:space="preserve">who </w:t>
      </w:r>
      <w:r w:rsidR="007352AF">
        <w:t xml:space="preserve">is appointed </w:t>
      </w:r>
      <w:r w:rsidR="007352AF" w:rsidRPr="0018324E">
        <w:t>after 1 January 2021</w:t>
      </w:r>
      <w:r w:rsidR="007352AF">
        <w:t xml:space="preserve"> </w:t>
      </w:r>
      <w:r w:rsidR="000F6F50" w:rsidRPr="009D58BF">
        <w:t xml:space="preserve">works </w:t>
      </w:r>
      <w:r w:rsidR="00D111E9" w:rsidRPr="009D58BF">
        <w:t xml:space="preserve">fewer than </w:t>
      </w:r>
      <w:r w:rsidR="000F6F50" w:rsidRPr="009D58BF">
        <w:t xml:space="preserve">3 hours </w:t>
      </w:r>
      <w:r w:rsidR="00D111E9" w:rsidRPr="009D58BF">
        <w:t xml:space="preserve">in a day </w:t>
      </w:r>
      <w:r w:rsidR="000F6F50" w:rsidRPr="009D58BF">
        <w:t>they are entitled to half the daily remuneration rate. Acting judges who</w:t>
      </w:r>
      <w:r w:rsidR="007352AF">
        <w:t xml:space="preserve"> are </w:t>
      </w:r>
      <w:r w:rsidR="007352AF" w:rsidRPr="0018324E">
        <w:t>appointed after 1 January 2021</w:t>
      </w:r>
      <w:r w:rsidR="007352AF">
        <w:t xml:space="preserve"> and</w:t>
      </w:r>
      <w:r w:rsidR="000F6F50" w:rsidRPr="009D58BF">
        <w:t xml:space="preserve"> work for 3 hours or more will be entitled to </w:t>
      </w:r>
      <w:r w:rsidR="009C1E92" w:rsidRPr="009D58BF">
        <w:t xml:space="preserve">the full daily </w:t>
      </w:r>
      <w:r w:rsidR="007352AF">
        <w:t xml:space="preserve">remuneration </w:t>
      </w:r>
      <w:r w:rsidR="009C1E92" w:rsidRPr="009D58BF">
        <w:t xml:space="preserve">rate. </w:t>
      </w:r>
      <w:r w:rsidR="009320A6" w:rsidRPr="009D58BF">
        <w:t xml:space="preserve">This is to be consistent with the similar provisions for Special Magistrates </w:t>
      </w:r>
      <w:r w:rsidR="009C1E92" w:rsidRPr="009D58BF">
        <w:t xml:space="preserve">who undertake </w:t>
      </w:r>
      <w:r w:rsidR="009320A6" w:rsidRPr="009D58BF">
        <w:rPr>
          <w:szCs w:val="24"/>
        </w:rPr>
        <w:t>judicial duties for 3 hours or more per day</w:t>
      </w:r>
      <w:r w:rsidR="009C1E92" w:rsidRPr="009D58BF">
        <w:rPr>
          <w:szCs w:val="24"/>
        </w:rPr>
        <w:t>.</w:t>
      </w:r>
      <w:r w:rsidR="0018324E">
        <w:rPr>
          <w:szCs w:val="24"/>
        </w:rPr>
        <w:t xml:space="preserve"> </w:t>
      </w:r>
      <w:r w:rsidR="007352AF">
        <w:t xml:space="preserve">Acting judges appointed before 1 January 2021 will continue to be paid in accordance with </w:t>
      </w:r>
      <w:r w:rsidR="007352AF" w:rsidRPr="007352AF">
        <w:t>Determination 7 of 2020 for the remainder of their terms.</w:t>
      </w:r>
    </w:p>
    <w:p w14:paraId="6B8E700A" w14:textId="4B045B47" w:rsidR="009320A6" w:rsidRPr="007352AF" w:rsidRDefault="009320A6" w:rsidP="003C2146">
      <w:pPr>
        <w:spacing w:before="120" w:after="60"/>
      </w:pPr>
      <w:r w:rsidRPr="009D58BF">
        <w:lastRenderedPageBreak/>
        <w:t xml:space="preserve">The Tribunal also decided to provide an </w:t>
      </w:r>
      <w:r w:rsidRPr="007352AF">
        <w:t xml:space="preserve">additional payment for the Associate Judge when acting as a judge. </w:t>
      </w:r>
      <w:r w:rsidR="00D111E9" w:rsidRPr="007352AF">
        <w:t>Previous determinations have not covered this circumstance.</w:t>
      </w:r>
      <w:r w:rsidR="009F3D4D" w:rsidRPr="007352AF">
        <w:t xml:space="preserve"> </w:t>
      </w:r>
      <w:r w:rsidRPr="007352AF">
        <w:t>The Associate Judge’s total remuneration must not exceed t</w:t>
      </w:r>
      <w:r w:rsidRPr="009D58BF">
        <w:t>hat paid to a judge of the ACT Supreme Court</w:t>
      </w:r>
      <w:r w:rsidRPr="007352AF">
        <w:t xml:space="preserve">. </w:t>
      </w:r>
    </w:p>
    <w:p w14:paraId="5D279E63" w14:textId="77777777" w:rsidR="009320A6" w:rsidRPr="009D58BF" w:rsidRDefault="009320A6" w:rsidP="003C2146">
      <w:pPr>
        <w:spacing w:before="120" w:after="60"/>
        <w:rPr>
          <w:szCs w:val="24"/>
        </w:rPr>
      </w:pPr>
    </w:p>
    <w:p w14:paraId="39BC19B5" w14:textId="77777777" w:rsidR="009E4C67" w:rsidRPr="009D58BF" w:rsidRDefault="009D0FEC" w:rsidP="00625249">
      <w:pPr>
        <w:ind w:left="360"/>
        <w:jc w:val="right"/>
        <w:rPr>
          <w:szCs w:val="24"/>
        </w:rPr>
      </w:pPr>
      <w:r w:rsidRPr="009D58BF">
        <w:rPr>
          <w:szCs w:val="24"/>
        </w:rPr>
        <w:t xml:space="preserve">December </w:t>
      </w:r>
      <w:r w:rsidR="00A74F92" w:rsidRPr="009D58BF">
        <w:rPr>
          <w:szCs w:val="24"/>
        </w:rPr>
        <w:t>2020</w:t>
      </w:r>
    </w:p>
    <w:p w14:paraId="6E22BCDC" w14:textId="508DA570" w:rsidR="00143279" w:rsidRPr="009D58BF" w:rsidRDefault="00143279">
      <w:pPr>
        <w:rPr>
          <w:szCs w:val="24"/>
        </w:rPr>
      </w:pPr>
      <w:r w:rsidRPr="009D58BF">
        <w:rPr>
          <w:szCs w:val="24"/>
        </w:rPr>
        <w:br w:type="page"/>
      </w:r>
    </w:p>
    <w:p w14:paraId="45B446D2" w14:textId="77777777"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5D745934" wp14:editId="538EFE73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300DCCB8" w14:textId="77777777" w:rsidR="00896DBC" w:rsidRPr="003B1A08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1C736DF0" w14:textId="307102BF" w:rsidR="00896DBC" w:rsidRPr="00844136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  <w:rPr>
          <w:color w:val="000000" w:themeColor="text1"/>
        </w:rPr>
      </w:pPr>
      <w:r w:rsidRPr="008D28B2">
        <w:t xml:space="preserve">Determination </w:t>
      </w:r>
      <w:r w:rsidR="009D58BF" w:rsidRPr="008D28B2">
        <w:t>16</w:t>
      </w:r>
      <w:r w:rsidRPr="008D28B2">
        <w:t xml:space="preserve"> of 2</w:t>
      </w:r>
      <w:r w:rsidRPr="00844136">
        <w:rPr>
          <w:color w:val="000000" w:themeColor="text1"/>
        </w:rPr>
        <w:t>0</w:t>
      </w:r>
      <w:r w:rsidR="00A74F92">
        <w:rPr>
          <w:color w:val="000000" w:themeColor="text1"/>
        </w:rPr>
        <w:t>20</w:t>
      </w:r>
    </w:p>
    <w:p w14:paraId="134D416B" w14:textId="77777777" w:rsidR="009E4C67" w:rsidRPr="003B1A08" w:rsidRDefault="009E4C67" w:rsidP="008E31D4">
      <w:r w:rsidRPr="003B1A08">
        <w:t xml:space="preserve">made under the </w:t>
      </w:r>
    </w:p>
    <w:p w14:paraId="15D36650" w14:textId="77777777" w:rsidR="00076CA5" w:rsidRPr="000D1005" w:rsidRDefault="00076CA5" w:rsidP="00076CA5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6A08C6A1" w14:textId="77777777" w:rsidR="009E4C67" w:rsidRPr="003B1A08" w:rsidRDefault="009E4C67" w:rsidP="009E4C67">
      <w:pPr>
        <w:pStyle w:val="N-line3"/>
        <w:pBdr>
          <w:bottom w:val="none" w:sz="0" w:space="0" w:color="auto"/>
        </w:pBdr>
      </w:pPr>
    </w:p>
    <w:p w14:paraId="6DB8F7D6" w14:textId="77777777"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6C08B56A" w14:textId="77777777" w:rsidR="00C11250" w:rsidRDefault="007F3DA2">
      <w:pPr>
        <w:pStyle w:val="Heading2"/>
        <w:spacing w:before="120" w:after="60"/>
      </w:pPr>
      <w:r w:rsidRPr="007F3DA2">
        <w:t>1. Commencement</w:t>
      </w:r>
    </w:p>
    <w:p w14:paraId="25249A45" w14:textId="0A55B73F" w:rsidR="00C11250" w:rsidRPr="009D58BF" w:rsidRDefault="00535602" w:rsidP="00DF1C00">
      <w:pPr>
        <w:spacing w:before="120" w:after="240"/>
      </w:pPr>
      <w:r w:rsidRPr="009D58BF">
        <w:t xml:space="preserve">This instrument </w:t>
      </w:r>
      <w:r w:rsidR="00CD6D68" w:rsidRPr="009D58BF">
        <w:t xml:space="preserve">commences on </w:t>
      </w:r>
      <w:r w:rsidR="008D28B2">
        <w:t>the date of signature</w:t>
      </w:r>
      <w:r w:rsidR="0096745A" w:rsidRPr="009D58BF">
        <w:t>.</w:t>
      </w:r>
    </w:p>
    <w:p w14:paraId="789B366B" w14:textId="77777777" w:rsidR="00C11250" w:rsidRPr="00A32CC2" w:rsidRDefault="007F3DA2">
      <w:pPr>
        <w:pStyle w:val="Heading2"/>
        <w:spacing w:before="120" w:after="60"/>
      </w:pPr>
      <w:r w:rsidRPr="00A32CC2">
        <w:t xml:space="preserve">2. </w:t>
      </w:r>
      <w:r w:rsidR="0081643F" w:rsidRPr="00A32CC2">
        <w:t xml:space="preserve">Remuneration </w:t>
      </w:r>
    </w:p>
    <w:p w14:paraId="75838E7E" w14:textId="5B1B6E60" w:rsidR="00C11250" w:rsidRPr="00A32CC2" w:rsidRDefault="00DF1C00" w:rsidP="00A01167">
      <w:pPr>
        <w:spacing w:before="120" w:after="240"/>
        <w:ind w:left="567" w:hanging="567"/>
      </w:pPr>
      <w:r w:rsidRPr="00A32CC2">
        <w:t>2.1</w:t>
      </w:r>
      <w:r w:rsidR="00A01167" w:rsidRPr="00A32CC2">
        <w:tab/>
      </w:r>
      <w:r w:rsidR="007A4970" w:rsidRPr="00A32CC2">
        <w:t xml:space="preserve">The </w:t>
      </w:r>
      <w:r w:rsidR="00FB4BFB" w:rsidRPr="00A32CC2">
        <w:t>benchmark</w:t>
      </w:r>
      <w:r w:rsidR="007A4970" w:rsidRPr="00A32CC2">
        <w:t xml:space="preserve"> </w:t>
      </w:r>
      <w:r w:rsidR="008035CE" w:rsidRPr="00A32CC2">
        <w:t xml:space="preserve">is </w:t>
      </w:r>
      <w:r w:rsidR="001015F3" w:rsidRPr="00A32CC2">
        <w:t xml:space="preserve">$468,020 </w:t>
      </w:r>
      <w:r w:rsidR="00EE7426" w:rsidRPr="00A32CC2">
        <w:t xml:space="preserve">(being </w:t>
      </w:r>
      <w:r w:rsidR="0081643F" w:rsidRPr="00A32CC2">
        <w:t xml:space="preserve">the remuneration payable to a Federal Court </w:t>
      </w:r>
      <w:r w:rsidR="006537A6" w:rsidRPr="00A32CC2">
        <w:t xml:space="preserve">Judge and </w:t>
      </w:r>
      <w:r w:rsidR="0081643F" w:rsidRPr="00A32CC2">
        <w:t>ACT Supreme Court Judge</w:t>
      </w:r>
      <w:r w:rsidR="005511DA" w:rsidRPr="00A32CC2">
        <w:t xml:space="preserve"> </w:t>
      </w:r>
      <w:r w:rsidR="0020190A" w:rsidRPr="00A32CC2">
        <w:t>on</w:t>
      </w:r>
      <w:r w:rsidR="007D72F3" w:rsidRPr="00A32CC2">
        <w:t xml:space="preserve"> 1 </w:t>
      </w:r>
      <w:r w:rsidR="00380FF3" w:rsidRPr="00A32CC2">
        <w:t xml:space="preserve">July </w:t>
      </w:r>
      <w:r w:rsidR="00896DBC" w:rsidRPr="00A32CC2">
        <w:t>201</w:t>
      </w:r>
      <w:r w:rsidR="00756603" w:rsidRPr="00A32CC2">
        <w:t>9</w:t>
      </w:r>
      <w:r w:rsidR="00EE7426" w:rsidRPr="00A32CC2">
        <w:t>)</w:t>
      </w:r>
      <w:r w:rsidR="007A4970" w:rsidRPr="00A32CC2">
        <w:t>.</w:t>
      </w:r>
      <w:r w:rsidR="001015F3" w:rsidRPr="00A32CC2">
        <w:t xml:space="preserve"> </w:t>
      </w:r>
    </w:p>
    <w:p w14:paraId="0883F59B" w14:textId="0D6C0A24" w:rsidR="00C11250" w:rsidRPr="00A32CC2" w:rsidRDefault="007232A0">
      <w:pPr>
        <w:pStyle w:val="Heading2"/>
        <w:spacing w:before="120" w:after="60"/>
        <w:rPr>
          <w:b w:val="0"/>
          <w:i/>
        </w:rPr>
      </w:pPr>
      <w:r w:rsidRPr="00A32CC2">
        <w:rPr>
          <w:b w:val="0"/>
          <w:i/>
        </w:rPr>
        <w:t>Chief Justice of the Supreme Court</w:t>
      </w:r>
    </w:p>
    <w:p w14:paraId="4971DE3A" w14:textId="35D59123" w:rsidR="00FA7ED7" w:rsidRPr="00A32CC2" w:rsidRDefault="00DF1C00" w:rsidP="00A01167">
      <w:pPr>
        <w:spacing w:before="120" w:after="240"/>
        <w:ind w:left="567" w:hanging="567"/>
      </w:pPr>
      <w:r w:rsidRPr="00A32CC2">
        <w:t>2.2</w:t>
      </w:r>
      <w:r w:rsidR="00A01167" w:rsidRPr="00A32CC2">
        <w:tab/>
      </w:r>
      <w:r w:rsidR="007A4970" w:rsidRPr="00A32CC2">
        <w:t>The Chief Justice of the Supreme Court is entitled to an allowance</w:t>
      </w:r>
      <w:r w:rsidR="0081643F" w:rsidRPr="00A32CC2">
        <w:t xml:space="preserve"> of </w:t>
      </w:r>
      <w:r w:rsidR="00896DBC" w:rsidRPr="00A32CC2">
        <w:t>$</w:t>
      </w:r>
      <w:r w:rsidR="001015F3" w:rsidRPr="00A32CC2">
        <w:t>46,8</w:t>
      </w:r>
      <w:r w:rsidR="00AA4FAF" w:rsidRPr="00A32CC2">
        <w:t>02</w:t>
      </w:r>
      <w:r w:rsidR="00896DBC" w:rsidRPr="00A32CC2">
        <w:t xml:space="preserve"> </w:t>
      </w:r>
      <w:r w:rsidR="00267E35" w:rsidRPr="00A32CC2">
        <w:t xml:space="preserve">per annum </w:t>
      </w:r>
      <w:r w:rsidR="003B1FF4" w:rsidRPr="00A32CC2">
        <w:t>in addition to the benchmark</w:t>
      </w:r>
      <w:r w:rsidR="0081643F" w:rsidRPr="00A32CC2">
        <w:t>.</w:t>
      </w:r>
      <w:r w:rsidR="007A4970" w:rsidRPr="00A32CC2">
        <w:t xml:space="preserve"> </w:t>
      </w:r>
    </w:p>
    <w:p w14:paraId="7FC103DA" w14:textId="580F6362" w:rsidR="00C11250" w:rsidRPr="00A32CC2" w:rsidRDefault="005A64DB">
      <w:pPr>
        <w:pStyle w:val="Heading2"/>
        <w:spacing w:before="120" w:after="60"/>
        <w:rPr>
          <w:b w:val="0"/>
          <w:i/>
        </w:rPr>
      </w:pPr>
      <w:r w:rsidRPr="00A32CC2">
        <w:rPr>
          <w:b w:val="0"/>
          <w:i/>
        </w:rPr>
        <w:t>Associate Judge</w:t>
      </w:r>
      <w:r w:rsidR="007232A0" w:rsidRPr="00A32CC2">
        <w:rPr>
          <w:b w:val="0"/>
          <w:i/>
        </w:rPr>
        <w:t xml:space="preserve"> of the ACT Supreme Court </w:t>
      </w:r>
    </w:p>
    <w:p w14:paraId="4A313352" w14:textId="3493E55C" w:rsidR="00C11250" w:rsidRPr="00A32CC2" w:rsidRDefault="00DF1C00" w:rsidP="00A01167">
      <w:pPr>
        <w:spacing w:before="120" w:after="240"/>
        <w:ind w:left="567" w:hanging="567"/>
      </w:pPr>
      <w:r w:rsidRPr="00A32CC2">
        <w:t>2.3</w:t>
      </w:r>
      <w:r w:rsidR="00A01167" w:rsidRPr="00A32CC2">
        <w:tab/>
      </w:r>
      <w:r w:rsidR="005A64DB" w:rsidRPr="00A32CC2">
        <w:t>The Associate Judge</w:t>
      </w:r>
      <w:r w:rsidR="003B1FF4" w:rsidRPr="00A32CC2">
        <w:t xml:space="preserve"> of the </w:t>
      </w:r>
      <w:r w:rsidR="00241DD2" w:rsidRPr="00A32CC2">
        <w:t xml:space="preserve">ACT </w:t>
      </w:r>
      <w:r w:rsidR="003B1FF4" w:rsidRPr="00A32CC2">
        <w:t xml:space="preserve">Supreme Court is entitled </w:t>
      </w:r>
      <w:bookmarkStart w:id="2" w:name="_Hlk57671020"/>
      <w:r w:rsidR="003B1FF4" w:rsidRPr="00A32CC2">
        <w:t xml:space="preserve">to remuneration of </w:t>
      </w:r>
      <w:r w:rsidR="00896DBC" w:rsidRPr="00A32CC2">
        <w:t>$</w:t>
      </w:r>
      <w:r w:rsidR="001015F3" w:rsidRPr="00A32CC2">
        <w:t>430,578</w:t>
      </w:r>
      <w:r w:rsidR="00A01167" w:rsidRPr="00A32CC2">
        <w:t xml:space="preserve"> </w:t>
      </w:r>
      <w:r w:rsidR="00267E35" w:rsidRPr="00A32CC2">
        <w:t>per annum</w:t>
      </w:r>
      <w:bookmarkEnd w:id="2"/>
      <w:r w:rsidR="003B1FF4" w:rsidRPr="00A32CC2">
        <w:t>.</w:t>
      </w:r>
    </w:p>
    <w:p w14:paraId="51C031A1" w14:textId="3E1463B8" w:rsidR="00C11250" w:rsidRPr="009D58BF" w:rsidRDefault="003C3D49">
      <w:pPr>
        <w:pStyle w:val="Heading2"/>
        <w:spacing w:before="120" w:after="60"/>
        <w:rPr>
          <w:b w:val="0"/>
          <w:i/>
        </w:rPr>
      </w:pPr>
      <w:r w:rsidRPr="009D58BF">
        <w:rPr>
          <w:b w:val="0"/>
          <w:i/>
        </w:rPr>
        <w:t>Acting Judge</w:t>
      </w:r>
    </w:p>
    <w:p w14:paraId="2F425CB7" w14:textId="46693571" w:rsidR="00E71600" w:rsidRPr="009D58BF" w:rsidRDefault="00E71600" w:rsidP="00AB21B2">
      <w:pPr>
        <w:ind w:left="567" w:hanging="567"/>
      </w:pPr>
      <w:r w:rsidRPr="009D58BF">
        <w:t>2.4</w:t>
      </w:r>
      <w:r w:rsidRPr="009D58BF">
        <w:tab/>
        <w:t>Subsection</w:t>
      </w:r>
      <w:r w:rsidR="00D111E9" w:rsidRPr="009D58BF">
        <w:t>s</w:t>
      </w:r>
      <w:r w:rsidRPr="009D58BF">
        <w:t xml:space="preserve"> 2.5 to 2.8 do not apply to an Associate Judge who acts as a Judge.</w:t>
      </w:r>
    </w:p>
    <w:p w14:paraId="15A4F2EC" w14:textId="26F3EDB1" w:rsidR="001A4B4B" w:rsidRPr="009D58BF" w:rsidRDefault="00DF1C00" w:rsidP="001A4B4B">
      <w:pPr>
        <w:spacing w:before="120" w:after="120"/>
        <w:ind w:left="567" w:hanging="567"/>
      </w:pPr>
      <w:r w:rsidRPr="009D58BF">
        <w:t>2.</w:t>
      </w:r>
      <w:r w:rsidR="00E71600" w:rsidRPr="009D58BF">
        <w:t>5</w:t>
      </w:r>
      <w:r w:rsidR="00A01167" w:rsidRPr="009D58BF">
        <w:tab/>
      </w:r>
      <w:r w:rsidR="00132A9D" w:rsidRPr="009D58BF">
        <w:t>If a</w:t>
      </w:r>
      <w:r w:rsidR="00093D63" w:rsidRPr="009D58BF">
        <w:t>n A</w:t>
      </w:r>
      <w:r w:rsidR="003C3D49" w:rsidRPr="009D58BF">
        <w:t>cting Judge</w:t>
      </w:r>
      <w:r w:rsidR="0018324E">
        <w:t xml:space="preserve">, </w:t>
      </w:r>
      <w:r w:rsidR="0018324E" w:rsidRPr="0018324E">
        <w:t>who is appointed after 1 January 2021</w:t>
      </w:r>
      <w:r w:rsidR="0018324E">
        <w:t>,</w:t>
      </w:r>
      <w:r w:rsidR="00132A9D" w:rsidRPr="009D58BF">
        <w:t xml:space="preserve"> undertakes judicial duties for </w:t>
      </w:r>
      <w:r w:rsidR="00D738C1" w:rsidRPr="009D58BF">
        <w:t>3</w:t>
      </w:r>
      <w:r w:rsidR="00132A9D" w:rsidRPr="009D58BF">
        <w:t xml:space="preserve"> hours or more on any given day, they are</w:t>
      </w:r>
      <w:r w:rsidR="003C3D49" w:rsidRPr="009D58BF">
        <w:t xml:space="preserve"> entitled to</w:t>
      </w:r>
      <w:r w:rsidR="00132A9D" w:rsidRPr="009D58BF">
        <w:t xml:space="preserve"> the daily remuneration calculated at the rate of</w:t>
      </w:r>
      <w:r w:rsidR="003C3D49" w:rsidRPr="009D58BF">
        <w:t xml:space="preserve"> 1/230 of the </w:t>
      </w:r>
      <w:r w:rsidR="00267E35" w:rsidRPr="009D58BF">
        <w:t xml:space="preserve">annual </w:t>
      </w:r>
      <w:r w:rsidR="003C3D49" w:rsidRPr="009D58BF">
        <w:t>remuneration paid</w:t>
      </w:r>
      <w:r w:rsidR="008035CE" w:rsidRPr="009D58BF">
        <w:t>, from time to time,</w:t>
      </w:r>
      <w:r w:rsidR="003C3D49" w:rsidRPr="009D58BF">
        <w:t xml:space="preserve"> to a judge of the ACT Supreme Court.</w:t>
      </w:r>
      <w:r w:rsidR="001A4B4B" w:rsidRPr="009D58BF">
        <w:rPr>
          <w:szCs w:val="24"/>
        </w:rPr>
        <w:t xml:space="preserve"> </w:t>
      </w:r>
    </w:p>
    <w:p w14:paraId="0C4C41AF" w14:textId="75D304D4" w:rsidR="001A4B4B" w:rsidRPr="009D58BF" w:rsidRDefault="001A4B4B" w:rsidP="001A4B4B">
      <w:pPr>
        <w:spacing w:before="120" w:after="120"/>
        <w:ind w:left="567" w:hanging="567"/>
      </w:pPr>
      <w:r w:rsidRPr="009D58BF">
        <w:t>2.</w:t>
      </w:r>
      <w:r w:rsidR="00E71600" w:rsidRPr="009D58BF">
        <w:t>6</w:t>
      </w:r>
      <w:r w:rsidRPr="009D58BF">
        <w:tab/>
        <w:t>If an Acting Judge</w:t>
      </w:r>
      <w:r w:rsidR="0018324E">
        <w:t xml:space="preserve">, </w:t>
      </w:r>
      <w:r w:rsidR="0018324E" w:rsidRPr="0018324E">
        <w:t>who is appointed after 1 January 2021</w:t>
      </w:r>
      <w:r w:rsidR="0018324E">
        <w:t>,</w:t>
      </w:r>
      <w:r w:rsidRPr="009D58BF">
        <w:t xml:space="preserve"> undertakes judicial duties for </w:t>
      </w:r>
      <w:r w:rsidR="00D111E9" w:rsidRPr="009D58BF">
        <w:t xml:space="preserve">fewer than </w:t>
      </w:r>
      <w:r w:rsidR="00D738C1" w:rsidRPr="009D58BF">
        <w:t>3</w:t>
      </w:r>
      <w:r w:rsidRPr="009D58BF">
        <w:t xml:space="preserve"> hours</w:t>
      </w:r>
      <w:r w:rsidR="00D111E9" w:rsidRPr="009D58BF">
        <w:t xml:space="preserve"> on any given day</w:t>
      </w:r>
      <w:r w:rsidRPr="009D58BF">
        <w:t xml:space="preserve">, they are entitled to </w:t>
      </w:r>
      <w:r w:rsidR="007C14CA" w:rsidRPr="009D58BF">
        <w:t>half</w:t>
      </w:r>
      <w:r w:rsidRPr="009D58BF">
        <w:t xml:space="preserve"> of the daily remuneration rate.</w:t>
      </w:r>
    </w:p>
    <w:p w14:paraId="61A88A2E" w14:textId="574D7399" w:rsidR="00D111E9" w:rsidRPr="009D58BF" w:rsidRDefault="001A4B4B" w:rsidP="001A4B4B">
      <w:pPr>
        <w:spacing w:before="120" w:after="240"/>
        <w:ind w:left="567" w:hanging="567"/>
        <w:rPr>
          <w:szCs w:val="24"/>
        </w:rPr>
      </w:pPr>
      <w:r w:rsidRPr="009D58BF">
        <w:rPr>
          <w:szCs w:val="24"/>
        </w:rPr>
        <w:t>2.</w:t>
      </w:r>
      <w:r w:rsidR="00E71600" w:rsidRPr="009D58BF">
        <w:rPr>
          <w:szCs w:val="24"/>
        </w:rPr>
        <w:t>7</w:t>
      </w:r>
      <w:r w:rsidRPr="009D58BF">
        <w:rPr>
          <w:szCs w:val="24"/>
        </w:rPr>
        <w:tab/>
      </w:r>
      <w:r w:rsidR="00D111E9" w:rsidRPr="009D58BF">
        <w:rPr>
          <w:szCs w:val="24"/>
        </w:rPr>
        <w:t xml:space="preserve">The Chief Justice may include reasonable travelling time other than for travel between the person’s home and principal place of work in the number of hours in a given day in which the Chief Justice determines that the Acting Judge has undertaken judicial duties. </w:t>
      </w:r>
    </w:p>
    <w:p w14:paraId="1D3FA8BC" w14:textId="494C103B" w:rsidR="001A4B4B" w:rsidRPr="009D58BF" w:rsidRDefault="00D111E9" w:rsidP="001A4B4B">
      <w:pPr>
        <w:spacing w:before="120" w:after="240"/>
        <w:ind w:left="567" w:hanging="567"/>
      </w:pPr>
      <w:r w:rsidRPr="009D58BF">
        <w:lastRenderedPageBreak/>
        <w:t>2.8</w:t>
      </w:r>
      <w:r w:rsidRPr="009D58BF">
        <w:tab/>
      </w:r>
      <w:r w:rsidR="001A4B4B" w:rsidRPr="009D58BF">
        <w:rPr>
          <w:b/>
          <w:bCs/>
        </w:rPr>
        <w:t>Judicial duties</w:t>
      </w:r>
      <w:r w:rsidR="001A4B4B" w:rsidRPr="009D58BF">
        <w:t xml:space="preserve"> includes the following:</w:t>
      </w:r>
    </w:p>
    <w:p w14:paraId="2E38EC7F" w14:textId="4F182B59" w:rsidR="001A4B4B" w:rsidRPr="009D58BF" w:rsidRDefault="001A4B4B" w:rsidP="001A4B4B">
      <w:pPr>
        <w:pStyle w:val="ColorfulList-Accent11"/>
        <w:spacing w:before="120" w:after="60"/>
        <w:ind w:left="1134" w:hanging="425"/>
        <w:rPr>
          <w:szCs w:val="24"/>
        </w:rPr>
      </w:pPr>
      <w:r w:rsidRPr="009D58BF">
        <w:rPr>
          <w:szCs w:val="24"/>
        </w:rPr>
        <w:t>•</w:t>
      </w:r>
      <w:r w:rsidRPr="009D58BF">
        <w:rPr>
          <w:szCs w:val="24"/>
        </w:rPr>
        <w:tab/>
        <w:t>court sitting time, as listed by the Chief Justice;</w:t>
      </w:r>
    </w:p>
    <w:p w14:paraId="58D58074" w14:textId="26DB0395" w:rsidR="001A4B4B" w:rsidRPr="009D58BF" w:rsidRDefault="001A4B4B" w:rsidP="001A4B4B">
      <w:pPr>
        <w:pStyle w:val="ColorfulList-Accent11"/>
        <w:spacing w:before="120" w:after="60"/>
        <w:ind w:left="1134" w:hanging="425"/>
        <w:rPr>
          <w:szCs w:val="24"/>
        </w:rPr>
      </w:pPr>
      <w:r w:rsidRPr="009D58BF">
        <w:rPr>
          <w:szCs w:val="24"/>
        </w:rPr>
        <w:t>•</w:t>
      </w:r>
      <w:r w:rsidRPr="009D58BF">
        <w:rPr>
          <w:szCs w:val="24"/>
        </w:rPr>
        <w:tab/>
        <w:t xml:space="preserve">preparation, decision writing and judicial education approved by the </w:t>
      </w:r>
      <w:r w:rsidRPr="009D58BF">
        <w:rPr>
          <w:szCs w:val="24"/>
        </w:rPr>
        <w:br/>
        <w:t>Chief Justice;</w:t>
      </w:r>
      <w:r w:rsidR="00E71600" w:rsidRPr="009D58BF">
        <w:rPr>
          <w:szCs w:val="24"/>
        </w:rPr>
        <w:t xml:space="preserve"> and</w:t>
      </w:r>
    </w:p>
    <w:p w14:paraId="11ADC473" w14:textId="5FF93F6D" w:rsidR="001A4B4B" w:rsidRPr="009D58BF" w:rsidRDefault="001A4B4B" w:rsidP="001A4B4B">
      <w:pPr>
        <w:pStyle w:val="ColorfulList-Accent11"/>
        <w:spacing w:before="120" w:after="60"/>
        <w:ind w:left="1134" w:hanging="425"/>
        <w:rPr>
          <w:szCs w:val="24"/>
        </w:rPr>
      </w:pPr>
      <w:r w:rsidRPr="009D58BF">
        <w:rPr>
          <w:szCs w:val="24"/>
        </w:rPr>
        <w:t>•</w:t>
      </w:r>
      <w:r w:rsidRPr="009D58BF">
        <w:rPr>
          <w:szCs w:val="24"/>
        </w:rPr>
        <w:tab/>
        <w:t>reasonable travelling time other than for travel between the person’s home and principal place of work.</w:t>
      </w:r>
    </w:p>
    <w:p w14:paraId="6FBA9135" w14:textId="0B8B8728" w:rsidR="00132A9D" w:rsidRPr="009D58BF" w:rsidRDefault="001A4B4B" w:rsidP="007C14CA">
      <w:pPr>
        <w:spacing w:before="120" w:after="240"/>
        <w:ind w:left="567" w:hanging="567"/>
      </w:pPr>
      <w:r w:rsidRPr="009D58BF">
        <w:t>2.</w:t>
      </w:r>
      <w:r w:rsidR="00D111E9" w:rsidRPr="009D58BF">
        <w:t>9</w:t>
      </w:r>
      <w:r w:rsidRPr="009D58BF">
        <w:tab/>
        <w:t>In any 12 month period, total remuneration paid to an Acting judge must not exceed that paid to a judge of the ACT Supreme Court.</w:t>
      </w:r>
    </w:p>
    <w:p w14:paraId="1DAA6FC5" w14:textId="5B3C12E3" w:rsidR="0017263D" w:rsidRPr="009D58BF" w:rsidRDefault="0017263D" w:rsidP="0017263D">
      <w:pPr>
        <w:pStyle w:val="Heading2"/>
        <w:spacing w:before="120" w:after="60"/>
        <w:rPr>
          <w:b w:val="0"/>
          <w:i/>
        </w:rPr>
      </w:pPr>
      <w:r w:rsidRPr="009D58BF">
        <w:rPr>
          <w:b w:val="0"/>
          <w:i/>
        </w:rPr>
        <w:t>Associate Judge acts as a Judge</w:t>
      </w:r>
    </w:p>
    <w:p w14:paraId="2D9078C5" w14:textId="5BE2EED9" w:rsidR="00C06AC3" w:rsidRPr="009D58BF" w:rsidRDefault="0017263D" w:rsidP="0017263D">
      <w:pPr>
        <w:spacing w:before="120" w:after="240"/>
        <w:ind w:left="567" w:hanging="567"/>
      </w:pPr>
      <w:r w:rsidRPr="009D58BF">
        <w:t>2.</w:t>
      </w:r>
      <w:r w:rsidR="00D111E9" w:rsidRPr="009D58BF">
        <w:t>10</w:t>
      </w:r>
      <w:r w:rsidRPr="009D58BF">
        <w:tab/>
        <w:t xml:space="preserve">If the Associate Judge acts as a Judge on any given day, in addition to </w:t>
      </w:r>
      <w:r w:rsidR="00C06AC3" w:rsidRPr="009D58BF">
        <w:t xml:space="preserve">their </w:t>
      </w:r>
      <w:r w:rsidR="009953B2" w:rsidRPr="009D58BF">
        <w:t>salary</w:t>
      </w:r>
      <w:r w:rsidR="00C06AC3" w:rsidRPr="009D58BF">
        <w:t xml:space="preserve"> payable as the Associate Judge, </w:t>
      </w:r>
      <w:r w:rsidRPr="009D58BF">
        <w:t>they are entitled to a payment equal to the difference between</w:t>
      </w:r>
      <w:r w:rsidR="00C06AC3" w:rsidRPr="009D58BF">
        <w:t>:</w:t>
      </w:r>
    </w:p>
    <w:p w14:paraId="0005920D" w14:textId="17532D54" w:rsidR="00C06AC3" w:rsidRPr="009D58BF" w:rsidRDefault="0017263D" w:rsidP="00C06AC3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9D58BF">
        <w:t xml:space="preserve">the </w:t>
      </w:r>
      <w:r w:rsidR="009953B2" w:rsidRPr="009D58BF">
        <w:t>amount of</w:t>
      </w:r>
      <w:r w:rsidR="00C06AC3" w:rsidRPr="009D58BF">
        <w:t xml:space="preserve"> salary</w:t>
      </w:r>
      <w:r w:rsidR="009953B2" w:rsidRPr="009D58BF">
        <w:t xml:space="preserve"> payable</w:t>
      </w:r>
      <w:r w:rsidR="00C06AC3" w:rsidRPr="009D58BF">
        <w:t xml:space="preserve"> </w:t>
      </w:r>
      <w:r w:rsidR="009953B2" w:rsidRPr="009D58BF">
        <w:t>(inclusive of superannuation) to</w:t>
      </w:r>
      <w:r w:rsidRPr="009D58BF">
        <w:t xml:space="preserve"> a Judge of the ACT Supreme Court</w:t>
      </w:r>
      <w:r w:rsidR="009953B2" w:rsidRPr="009D58BF">
        <w:t xml:space="preserve"> on that day; </w:t>
      </w:r>
      <w:r w:rsidR="00C06AC3" w:rsidRPr="009D58BF">
        <w:t>and</w:t>
      </w:r>
    </w:p>
    <w:p w14:paraId="33ECC766" w14:textId="2BF1E528" w:rsidR="0017263D" w:rsidRPr="009D58BF" w:rsidRDefault="0017263D" w:rsidP="00C06AC3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9D58BF">
        <w:t>the</w:t>
      </w:r>
      <w:r w:rsidR="00C06AC3" w:rsidRPr="009D58BF">
        <w:t xml:space="preserve"> </w:t>
      </w:r>
      <w:r w:rsidR="009953B2" w:rsidRPr="009D58BF">
        <w:t>amount of</w:t>
      </w:r>
      <w:r w:rsidR="00C06AC3" w:rsidRPr="009D58BF">
        <w:t xml:space="preserve"> salary </w:t>
      </w:r>
      <w:r w:rsidR="009953B2" w:rsidRPr="009D58BF">
        <w:t>payable (inclusive of superannuation) to</w:t>
      </w:r>
      <w:r w:rsidR="00C06AC3" w:rsidRPr="009D58BF">
        <w:t xml:space="preserve"> an</w:t>
      </w:r>
      <w:r w:rsidRPr="009D58BF">
        <w:t xml:space="preserve"> Associate Judge</w:t>
      </w:r>
      <w:r w:rsidR="00C06AC3" w:rsidRPr="009D58BF">
        <w:t xml:space="preserve"> of the ACT Supreme Court</w:t>
      </w:r>
      <w:r w:rsidR="000356E9" w:rsidRPr="009D58BF">
        <w:t xml:space="preserve"> </w:t>
      </w:r>
      <w:r w:rsidR="009953B2" w:rsidRPr="009D58BF">
        <w:t>not acting as a Judge on that day</w:t>
      </w:r>
      <w:r w:rsidRPr="009D58BF">
        <w:t>.</w:t>
      </w:r>
    </w:p>
    <w:p w14:paraId="1DF7AB05" w14:textId="04D4B7E2" w:rsidR="00D738C1" w:rsidRPr="009D58BF" w:rsidRDefault="00D738C1" w:rsidP="00D738C1">
      <w:pPr>
        <w:ind w:left="567" w:hanging="567"/>
      </w:pPr>
      <w:r w:rsidRPr="009D58BF">
        <w:t>2.</w:t>
      </w:r>
      <w:r w:rsidR="00D111E9" w:rsidRPr="009D58BF">
        <w:t>11</w:t>
      </w:r>
      <w:r w:rsidRPr="009D58BF">
        <w:tab/>
        <w:t>In any 12 month period, total remuneration paid to the Associate judge must not exceed that paid to a judge of the ACT Supreme Court.</w:t>
      </w:r>
    </w:p>
    <w:p w14:paraId="1ED13615" w14:textId="77777777" w:rsidR="00C11250" w:rsidRDefault="003C3D49">
      <w:pPr>
        <w:pStyle w:val="Heading2"/>
        <w:spacing w:before="120" w:after="60"/>
      </w:pPr>
      <w:r>
        <w:t xml:space="preserve">3. </w:t>
      </w:r>
      <w:r w:rsidRPr="00E320F8">
        <w:t xml:space="preserve">Salary </w:t>
      </w:r>
      <w:r w:rsidR="00FA7ED7">
        <w:t>packaging for the Associate Judge</w:t>
      </w:r>
    </w:p>
    <w:p w14:paraId="5B1497B2" w14:textId="28CA2DCC" w:rsidR="00C11250" w:rsidRPr="004F5CE6" w:rsidRDefault="004F5CE6" w:rsidP="004F5CE6">
      <w:pPr>
        <w:keepNext/>
        <w:keepLines/>
        <w:tabs>
          <w:tab w:val="left" w:pos="567"/>
        </w:tabs>
        <w:spacing w:before="120" w:after="60"/>
      </w:pPr>
      <w:r>
        <w:t>3.1</w:t>
      </w:r>
      <w:r>
        <w:tab/>
      </w:r>
      <w:r w:rsidR="00FA7ED7" w:rsidRPr="004F5CE6">
        <w:t>The Associate Judge</w:t>
      </w:r>
      <w:r w:rsidR="003C3D49" w:rsidRPr="004F5CE6">
        <w:t xml:space="preserve"> may elect to take remuneration mentioned as:</w:t>
      </w:r>
    </w:p>
    <w:p w14:paraId="400C8039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14:paraId="3A9FEE83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a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14:paraId="248DEF55" w14:textId="5B5BFDD5" w:rsidR="00C11250" w:rsidRDefault="003C3D49" w:rsidP="004F5CE6">
      <w:pPr>
        <w:keepNext/>
        <w:keepLines/>
        <w:tabs>
          <w:tab w:val="left" w:pos="567"/>
        </w:tabs>
        <w:spacing w:before="120" w:after="60"/>
      </w:pPr>
      <w:r>
        <w:t>3.2</w:t>
      </w:r>
      <w:r w:rsidR="004F5CE6">
        <w:tab/>
      </w:r>
      <w:r>
        <w:t>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14:paraId="74235E40" w14:textId="77777777" w:rsidR="00C11250" w:rsidRDefault="003C3D49" w:rsidP="00DF1C00">
      <w:pPr>
        <w:numPr>
          <w:ilvl w:val="2"/>
          <w:numId w:val="14"/>
        </w:numPr>
        <w:tabs>
          <w:tab w:val="clear" w:pos="720"/>
          <w:tab w:val="left" w:pos="1134"/>
        </w:tabs>
        <w:spacing w:before="120" w:after="60"/>
        <w:ind w:hanging="11"/>
      </w:pPr>
      <w:r w:rsidRPr="00BF6FC8">
        <w:t>taxation laws and guidelines issued by</w:t>
      </w:r>
      <w:r>
        <w:t xml:space="preserve"> the Australian Taxation Office; and</w:t>
      </w:r>
    </w:p>
    <w:p w14:paraId="0BE3BD4E" w14:textId="77777777"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14:paraId="3AE21D26" w14:textId="7B35DC1C" w:rsidR="00C11250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3.3 </w:t>
      </w:r>
      <w:r w:rsidR="00CB08BF">
        <w:tab/>
      </w:r>
      <w:r>
        <w:t>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  <w:r w:rsidR="00A01167">
        <w:t xml:space="preserve"> </w:t>
      </w:r>
    </w:p>
    <w:p w14:paraId="0F84FD0B" w14:textId="7C3A4678" w:rsidR="00C11250" w:rsidRDefault="00A01167" w:rsidP="00A01167">
      <w:pPr>
        <w:tabs>
          <w:tab w:val="left" w:pos="426"/>
        </w:tabs>
        <w:spacing w:before="120" w:after="240"/>
        <w:ind w:left="425" w:hanging="425"/>
      </w:pPr>
      <w:r>
        <w:t>3.4</w:t>
      </w:r>
      <w:r>
        <w:tab/>
      </w:r>
      <w:r w:rsidR="003C3D49">
        <w:t>S</w:t>
      </w:r>
      <w:r w:rsidR="003C3D49" w:rsidRPr="00BF6FC8">
        <w:t xml:space="preserve">alary for superannuation purposes is </w:t>
      </w:r>
      <w:r w:rsidR="003C3D49">
        <w:t xml:space="preserve">not </w:t>
      </w:r>
      <w:r w:rsidR="003C3D49" w:rsidRPr="00BF6FC8">
        <w:t>affected by salary packaging.</w:t>
      </w:r>
    </w:p>
    <w:p w14:paraId="350647DE" w14:textId="1F1A0C67"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</w:t>
      </w:r>
      <w:r w:rsidR="00076CA5">
        <w:t xml:space="preserve"> </w:t>
      </w:r>
      <w:r w:rsidRPr="003C3D49">
        <w:t>within</w:t>
      </w:r>
      <w:r w:rsidR="003C2146">
        <w:t xml:space="preserve"> and outside</w:t>
      </w:r>
      <w:r w:rsidRPr="003C3D49">
        <w:t xml:space="preserve"> Australia </w:t>
      </w:r>
    </w:p>
    <w:p w14:paraId="12B737DB" w14:textId="0F28A323" w:rsidR="003C2146" w:rsidRDefault="003C3D49" w:rsidP="00A01167">
      <w:pPr>
        <w:tabs>
          <w:tab w:val="left" w:pos="426"/>
        </w:tabs>
        <w:spacing w:before="120" w:after="120"/>
        <w:ind w:left="425" w:hanging="425"/>
      </w:pPr>
      <w:r>
        <w:t xml:space="preserve">4.1 </w:t>
      </w:r>
      <w:r w:rsidR="00CB08BF">
        <w:tab/>
      </w:r>
      <w:r w:rsidR="003C2146" w:rsidRPr="00AA7615">
        <w:t xml:space="preserve">The Associate Judge of the Supreme Court </w:t>
      </w:r>
      <w:r w:rsidR="00A32CC2">
        <w:t xml:space="preserve">is </w:t>
      </w:r>
      <w:r w:rsidR="003C2146" w:rsidRPr="00AA7615">
        <w:t xml:space="preserve">entitled to the </w:t>
      </w:r>
      <w:r w:rsidR="003C2146">
        <w:t xml:space="preserve">same </w:t>
      </w:r>
      <w:r w:rsidR="003C2146" w:rsidRPr="00AA7615">
        <w:t xml:space="preserve">travelling </w:t>
      </w:r>
      <w:r w:rsidR="003C2146">
        <w:t xml:space="preserve">allowance provisions </w:t>
      </w:r>
      <w:r w:rsidR="004C2674" w:rsidRPr="00BC7A33">
        <w:t>as</w:t>
      </w:r>
      <w:r w:rsidR="004C2674">
        <w:t xml:space="preserve"> </w:t>
      </w:r>
      <w:r w:rsidR="003C2146">
        <w:t xml:space="preserve">for other ACT Supreme Court Judges (being </w:t>
      </w:r>
      <w:r w:rsidR="00595CFC" w:rsidRPr="00BC7A33">
        <w:t xml:space="preserve">those of </w:t>
      </w:r>
      <w:r w:rsidR="003C2146">
        <w:t>a J</w:t>
      </w:r>
      <w:r w:rsidR="003C2146" w:rsidRPr="00AA7615">
        <w:t xml:space="preserve">udge </w:t>
      </w:r>
      <w:r w:rsidR="003C2146">
        <w:t xml:space="preserve">of the Federal Court of Australia), which </w:t>
      </w:r>
      <w:r w:rsidR="00595CFC" w:rsidRPr="00BC7A33">
        <w:t>are</w:t>
      </w:r>
      <w:r w:rsidR="003C2146">
        <w:t xml:space="preserve"> outlined in Commonwealth</w:t>
      </w:r>
      <w:r w:rsidR="003C2146" w:rsidRPr="00AA7615">
        <w:t xml:space="preserve"> Remuneration Tribunal Determinations </w:t>
      </w:r>
      <w:r w:rsidR="003C2146">
        <w:t xml:space="preserve">for Judicial and Related Offices, </w:t>
      </w:r>
      <w:r w:rsidR="003C2146" w:rsidRPr="00AA7615">
        <w:t>issued from time to time.</w:t>
      </w:r>
    </w:p>
    <w:p w14:paraId="4FFB336E" w14:textId="331104F4" w:rsidR="00C11250" w:rsidRPr="00A32CC2" w:rsidRDefault="003C3D49">
      <w:pPr>
        <w:pStyle w:val="Heading2"/>
        <w:spacing w:before="120" w:after="60"/>
      </w:pPr>
      <w:r w:rsidRPr="00A32CC2">
        <w:lastRenderedPageBreak/>
        <w:t xml:space="preserve">5. </w:t>
      </w:r>
      <w:r w:rsidR="003C2146" w:rsidRPr="00A32CC2">
        <w:t>Other entitlements</w:t>
      </w:r>
      <w:r w:rsidRPr="00A32CC2">
        <w:t xml:space="preserve"> </w:t>
      </w:r>
      <w:r w:rsidR="00F1021B" w:rsidRPr="00A32CC2">
        <w:t>for the Associate Judge</w:t>
      </w:r>
    </w:p>
    <w:p w14:paraId="72F0F4ED" w14:textId="63A20CA2" w:rsidR="00C11250" w:rsidRPr="00A32CC2" w:rsidRDefault="003C3D49" w:rsidP="00FB05AF">
      <w:pPr>
        <w:tabs>
          <w:tab w:val="left" w:pos="426"/>
        </w:tabs>
        <w:spacing w:before="120" w:after="60"/>
        <w:ind w:left="426" w:hanging="426"/>
      </w:pPr>
      <w:r w:rsidRPr="00A32CC2">
        <w:t xml:space="preserve">5.1 </w:t>
      </w:r>
      <w:r w:rsidR="00CB08BF" w:rsidRPr="00A32CC2">
        <w:tab/>
      </w:r>
      <w:r w:rsidR="003C2146" w:rsidRPr="00A32CC2">
        <w:t xml:space="preserve">Other entitlements </w:t>
      </w:r>
      <w:r w:rsidR="00F1021B" w:rsidRPr="00A32CC2">
        <w:t xml:space="preserve">for the Associate Judge </w:t>
      </w:r>
      <w:r w:rsidR="003C2146" w:rsidRPr="00A32CC2">
        <w:t xml:space="preserve">such as </w:t>
      </w:r>
      <w:r w:rsidR="00C15665" w:rsidRPr="00A32CC2">
        <w:t>vehicle, parking, relocation</w:t>
      </w:r>
      <w:r w:rsidR="008035CE" w:rsidRPr="00A32CC2">
        <w:t>, superannuation</w:t>
      </w:r>
      <w:r w:rsidR="00C15665" w:rsidRPr="00A32CC2">
        <w:t xml:space="preserve"> </w:t>
      </w:r>
      <w:r w:rsidR="003C2146" w:rsidRPr="00A32CC2">
        <w:t xml:space="preserve">and leave arrangements are outlined in the </w:t>
      </w:r>
      <w:r w:rsidR="00C15665" w:rsidRPr="00A32CC2">
        <w:rPr>
          <w:i/>
        </w:rPr>
        <w:t>Supreme Court (Master) Conditions of Appointment 2017 (No.1)</w:t>
      </w:r>
      <w:r w:rsidR="00C15665" w:rsidRPr="00A32CC2">
        <w:t>, NI2017</w:t>
      </w:r>
      <w:r w:rsidR="003C2146" w:rsidRPr="00A32CC2">
        <w:t>-</w:t>
      </w:r>
      <w:r w:rsidR="00C15665" w:rsidRPr="00A32CC2">
        <w:t>242</w:t>
      </w:r>
      <w:r w:rsidR="003C2146" w:rsidRPr="00A32CC2">
        <w:t>.</w:t>
      </w:r>
    </w:p>
    <w:p w14:paraId="4E34DBDF" w14:textId="7CCB7916" w:rsidR="00512B39" w:rsidRPr="00A32CC2" w:rsidRDefault="00512B39" w:rsidP="00512B39">
      <w:pPr>
        <w:pStyle w:val="Heading2"/>
        <w:spacing w:before="120" w:after="60"/>
      </w:pPr>
      <w:r w:rsidRPr="00A32CC2">
        <w:t xml:space="preserve">6. Travelling Allowance for an Acting Judge — within and outside Australia </w:t>
      </w:r>
    </w:p>
    <w:p w14:paraId="5CE3DAAB" w14:textId="4777FEE4" w:rsidR="00512B39" w:rsidRDefault="00512B39" w:rsidP="00512B39">
      <w:pPr>
        <w:tabs>
          <w:tab w:val="left" w:pos="426"/>
        </w:tabs>
        <w:spacing w:before="120" w:after="120"/>
        <w:ind w:left="425" w:hanging="425"/>
      </w:pPr>
      <w:r w:rsidRPr="00A32CC2">
        <w:t xml:space="preserve">6.1 </w:t>
      </w:r>
      <w:r w:rsidRPr="00A32CC2">
        <w:tab/>
        <w:t xml:space="preserve">An Acting Judge of the Supreme Court </w:t>
      </w:r>
      <w:r w:rsidR="00A32CC2">
        <w:t>is</w:t>
      </w:r>
      <w:r w:rsidR="00A32CC2" w:rsidRPr="00A32CC2">
        <w:t xml:space="preserve"> </w:t>
      </w:r>
      <w:r w:rsidRPr="00A32CC2">
        <w:t>entitled to the same travelling allowance provisions as for other ACT Supreme Court Judges (being those of a Judge of the Federal Court of Australia), which are outlined in Commonwealth Remuneration Tribunal Determinations for Judicial and Related Offices, issued from time to time.</w:t>
      </w:r>
    </w:p>
    <w:p w14:paraId="43872E9D" w14:textId="6A180807" w:rsidR="00DF1C00" w:rsidRPr="00A32CC2" w:rsidRDefault="00143279" w:rsidP="00DF1C00">
      <w:pPr>
        <w:pStyle w:val="Heading2"/>
        <w:spacing w:before="120" w:after="60"/>
      </w:pPr>
      <w:r>
        <w:t>7</w:t>
      </w:r>
      <w:r w:rsidR="00DF1C00" w:rsidRPr="00A32CC2">
        <w:t xml:space="preserve">. </w:t>
      </w:r>
      <w:r w:rsidR="004F5CE6" w:rsidRPr="00A32CC2">
        <w:t>Employer s</w:t>
      </w:r>
      <w:r w:rsidR="00A01167" w:rsidRPr="00A32CC2">
        <w:t xml:space="preserve">uperannuation </w:t>
      </w:r>
      <w:r w:rsidR="004F5CE6" w:rsidRPr="00A32CC2">
        <w:t xml:space="preserve">contribution – </w:t>
      </w:r>
      <w:r w:rsidR="00A01167" w:rsidRPr="00A32CC2">
        <w:t xml:space="preserve">Acting Judge </w:t>
      </w:r>
      <w:r w:rsidR="00DF1C00" w:rsidRPr="00A32CC2">
        <w:t xml:space="preserve"> </w:t>
      </w:r>
    </w:p>
    <w:p w14:paraId="34141095" w14:textId="06E09FED" w:rsidR="00DF1C00" w:rsidRPr="00A32CC2" w:rsidRDefault="00143279" w:rsidP="00DF1C00">
      <w:pPr>
        <w:spacing w:before="120" w:after="60"/>
      </w:pPr>
      <w:r>
        <w:t>7</w:t>
      </w:r>
      <w:r w:rsidR="00DF1C00" w:rsidRPr="00A32CC2">
        <w:t xml:space="preserve">.1 </w:t>
      </w:r>
      <w:r w:rsidR="00270450" w:rsidRPr="00A32CC2">
        <w:t>A</w:t>
      </w:r>
      <w:r w:rsidR="00DF1C00" w:rsidRPr="00A32CC2">
        <w:t xml:space="preserve">n Acting Judge of the Supreme Court </w:t>
      </w:r>
      <w:r w:rsidR="004F5CE6" w:rsidRPr="00A32CC2">
        <w:t>is only eligible for the employer’s superannuation contribution in this determination if their superannuation entitlements are not provided for elsewhere.</w:t>
      </w:r>
    </w:p>
    <w:p w14:paraId="2138AF43" w14:textId="00A1EA4D" w:rsidR="004F5CE6" w:rsidRPr="00A32CC2" w:rsidRDefault="0014327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>
        <w:t>7</w:t>
      </w:r>
      <w:r w:rsidR="004F5CE6" w:rsidRPr="00A32CC2">
        <w:t xml:space="preserve">.2 </w:t>
      </w:r>
      <w:r w:rsidR="004F5CE6" w:rsidRPr="00A32CC2">
        <w:tab/>
        <w:t xml:space="preserve">For </w:t>
      </w:r>
      <w:r w:rsidR="00512B39" w:rsidRPr="00A32CC2">
        <w:t>an Acting Judge</w:t>
      </w:r>
      <w:r w:rsidR="004F5CE6" w:rsidRPr="00A32CC2">
        <w:t>, who is a member of the Commonwealth Superannuation Scheme (CSS) or Public Sector Superannuation (PSS) Scheme:</w:t>
      </w:r>
    </w:p>
    <w:p w14:paraId="16A86653" w14:textId="77777777" w:rsidR="004F5CE6" w:rsidRPr="00A32CC2" w:rsidRDefault="004F5CE6" w:rsidP="004F5CE6">
      <w:pPr>
        <w:pStyle w:val="ColorfulList-Accent11"/>
        <w:numPr>
          <w:ilvl w:val="0"/>
          <w:numId w:val="18"/>
        </w:numPr>
        <w:spacing w:before="120" w:after="60"/>
      </w:pPr>
      <w:r w:rsidRPr="00A32CC2">
        <w:t>the person’s annual rate of remuneration for the purposes of the scheme is the base remuneration as provided in clause 2 of this Determination;</w:t>
      </w:r>
    </w:p>
    <w:p w14:paraId="556A2E7B" w14:textId="77777777" w:rsidR="004F5CE6" w:rsidRPr="00A32CC2" w:rsidRDefault="004F5CE6" w:rsidP="004F5CE6">
      <w:pPr>
        <w:pStyle w:val="ColorfulList-Accent11"/>
        <w:numPr>
          <w:ilvl w:val="0"/>
          <w:numId w:val="18"/>
        </w:numPr>
        <w:spacing w:before="120" w:after="60"/>
      </w:pPr>
      <w:r w:rsidRPr="00A32CC2">
        <w:t>the value attributed to the employer’s superannuation contribution is taken to be a notional 16% of the person’s base remuneration.</w:t>
      </w:r>
    </w:p>
    <w:p w14:paraId="65860497" w14:textId="2CD6D9B1" w:rsidR="004F5CE6" w:rsidRPr="00A32CC2" w:rsidRDefault="0014327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>
        <w:t>7</w:t>
      </w:r>
      <w:r w:rsidR="004F5CE6" w:rsidRPr="00A32CC2">
        <w:t xml:space="preserve">.3 </w:t>
      </w:r>
      <w:r w:rsidR="004F5CE6" w:rsidRPr="00A32CC2">
        <w:tab/>
        <w:t>For a</w:t>
      </w:r>
      <w:r w:rsidR="008035CE" w:rsidRPr="00A32CC2">
        <w:t>n Acting Judge</w:t>
      </w:r>
      <w:r w:rsidR="004F5CE6" w:rsidRPr="00A32CC2">
        <w:t xml:space="preserve"> who is not currently a member of the CSS or PSS but was a member of the PSS Accumulation Plan (</w:t>
      </w:r>
      <w:proofErr w:type="spellStart"/>
      <w:r w:rsidR="004F5CE6" w:rsidRPr="00A32CC2">
        <w:t>PSSap</w:t>
      </w:r>
      <w:proofErr w:type="spellEnd"/>
      <w:r w:rsidR="004F5CE6" w:rsidRPr="00A32CC2">
        <w:t>) until it closed to the Territory on 30 June 2006, and has maintained continuous employment with the Territory:</w:t>
      </w:r>
    </w:p>
    <w:p w14:paraId="616B01E0" w14:textId="77777777" w:rsidR="004F5CE6" w:rsidRPr="00A32CC2" w:rsidRDefault="004F5CE6" w:rsidP="004F5CE6">
      <w:pPr>
        <w:pStyle w:val="ColorfulList-Accent11"/>
        <w:numPr>
          <w:ilvl w:val="0"/>
          <w:numId w:val="19"/>
        </w:numPr>
        <w:spacing w:before="120" w:after="60"/>
      </w:pPr>
      <w:r w:rsidRPr="00A32CC2">
        <w:t>the value of the employer’s superannuation contribution is a notional 16% of the base remuneration as provided in clause 2 of this Determination; and</w:t>
      </w:r>
    </w:p>
    <w:p w14:paraId="6133D33A" w14:textId="77777777" w:rsidR="004F5CE6" w:rsidRPr="00A32CC2" w:rsidRDefault="004F5CE6" w:rsidP="004F5CE6">
      <w:pPr>
        <w:pStyle w:val="ColorfulList-Accent11"/>
        <w:numPr>
          <w:ilvl w:val="0"/>
          <w:numId w:val="19"/>
        </w:numPr>
        <w:spacing w:before="120" w:after="60"/>
      </w:pPr>
      <w:r w:rsidRPr="00A32CC2">
        <w:t>the employer will contribute that amount to an agreed superannuation fund nominated by the person appointed to an office in clause 2 of this Determination.</w:t>
      </w:r>
    </w:p>
    <w:p w14:paraId="1C3B44A5" w14:textId="06F640C0" w:rsidR="004F5CE6" w:rsidRPr="00A32CC2" w:rsidRDefault="0014327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>
        <w:t>7</w:t>
      </w:r>
      <w:r w:rsidR="004F5CE6" w:rsidRPr="00A32CC2">
        <w:t xml:space="preserve">.4 </w:t>
      </w:r>
      <w:r w:rsidR="004F5CE6" w:rsidRPr="00A32CC2">
        <w:tab/>
        <w:t>For a</w:t>
      </w:r>
      <w:r w:rsidR="008035CE" w:rsidRPr="00A32CC2">
        <w:t>n Acting Judge</w:t>
      </w:r>
      <w:r w:rsidR="004F5CE6" w:rsidRPr="00A32CC2">
        <w:t xml:space="preserve"> who is a member of any other superannuation fund, the employer’s superannuation contribution is to be made at a rate </w:t>
      </w:r>
      <w:r w:rsidR="009216A4">
        <w:t>equivalent to</w:t>
      </w:r>
      <w:r w:rsidR="004F5CE6" w:rsidRPr="00A32CC2">
        <w:t xml:space="preserve"> the Employer Superannuation Guarantee Charge Percentage as provided by the </w:t>
      </w:r>
      <w:r w:rsidR="004F5CE6" w:rsidRPr="00A32CC2">
        <w:rPr>
          <w:i/>
        </w:rPr>
        <w:t>Superannuation Guarantee (Administration) Act 1992</w:t>
      </w:r>
      <w:r w:rsidR="008035CE" w:rsidRPr="00A32CC2">
        <w:rPr>
          <w:i/>
        </w:rPr>
        <w:t xml:space="preserve"> </w:t>
      </w:r>
      <w:r w:rsidR="008035CE" w:rsidRPr="00A32CC2">
        <w:t>(which at the commencement of this Determination is 9.5%)</w:t>
      </w:r>
      <w:r w:rsidR="004F5CE6" w:rsidRPr="00A32CC2">
        <w:t>.</w:t>
      </w:r>
    </w:p>
    <w:p w14:paraId="28C528FD" w14:textId="25F11507" w:rsidR="004F5CE6" w:rsidRPr="00A32CC2" w:rsidRDefault="0014327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>
        <w:t>7</w:t>
      </w:r>
      <w:r w:rsidR="004F5CE6" w:rsidRPr="00A32CC2">
        <w:t xml:space="preserve">.5 </w:t>
      </w:r>
      <w:r w:rsidR="004F5CE6" w:rsidRPr="00A32CC2">
        <w:tab/>
      </w:r>
      <w:r w:rsidR="008035CE" w:rsidRPr="00A32CC2">
        <w:t>The employer provides an additional employer superannuation contribution.</w:t>
      </w:r>
      <w:r w:rsidR="00517C2B" w:rsidRPr="00A32CC2">
        <w:t xml:space="preserve"> The </w:t>
      </w:r>
      <w:r w:rsidR="008035CE" w:rsidRPr="00A32CC2">
        <w:t xml:space="preserve">additional </w:t>
      </w:r>
      <w:r w:rsidR="00517C2B" w:rsidRPr="00A32CC2">
        <w:t xml:space="preserve">employer superannuation contribution </w:t>
      </w:r>
      <w:r w:rsidR="008035CE" w:rsidRPr="00A32CC2">
        <w:t xml:space="preserve">is the same rate provided under </w:t>
      </w:r>
      <w:r w:rsidR="00292814">
        <w:t>clause</w:t>
      </w:r>
      <w:r w:rsidR="00A32CC2">
        <w:t xml:space="preserve"> </w:t>
      </w:r>
      <w:r w:rsidR="008035CE" w:rsidRPr="00A32CC2">
        <w:t>D7 of</w:t>
      </w:r>
      <w:r w:rsidR="00517C2B" w:rsidRPr="00A32CC2">
        <w:t xml:space="preserve"> the ACT Public Sector Administrative and Related Classifications Enterprise Agreement 2018-2021</w:t>
      </w:r>
      <w:r w:rsidR="008035CE" w:rsidRPr="00A32CC2">
        <w:t>, as follows:</w:t>
      </w:r>
    </w:p>
    <w:p w14:paraId="273624FB" w14:textId="77777777" w:rsidR="008035CE" w:rsidRPr="00A32CC2" w:rsidRDefault="008035CE" w:rsidP="008035CE">
      <w:pPr>
        <w:pStyle w:val="ColorfulList-Accent11"/>
        <w:tabs>
          <w:tab w:val="left" w:pos="426"/>
        </w:tabs>
        <w:spacing w:before="120" w:after="60"/>
        <w:ind w:left="852" w:hanging="426"/>
      </w:pPr>
      <w:r w:rsidRPr="00A32CC2">
        <w:t>(a)</w:t>
      </w:r>
      <w:r w:rsidRPr="00A32CC2">
        <w:tab/>
        <w:t>From 1 July 2019: 1.50%.</w:t>
      </w:r>
    </w:p>
    <w:p w14:paraId="76F2817F" w14:textId="63358A46" w:rsidR="008035CE" w:rsidRPr="00A32CC2" w:rsidRDefault="008035CE" w:rsidP="008035CE">
      <w:pPr>
        <w:pStyle w:val="ColorfulList-Accent11"/>
        <w:tabs>
          <w:tab w:val="left" w:pos="426"/>
        </w:tabs>
        <w:spacing w:before="120" w:after="60"/>
        <w:ind w:left="852" w:hanging="426"/>
      </w:pPr>
      <w:r w:rsidRPr="00A32CC2">
        <w:t>(b)</w:t>
      </w:r>
      <w:r w:rsidRPr="00A32CC2">
        <w:tab/>
        <w:t>From 1 July 2020: 2%.</w:t>
      </w:r>
    </w:p>
    <w:p w14:paraId="2EC22A7B" w14:textId="6F8CBDFD" w:rsidR="004F5CE6" w:rsidRPr="00A32CC2" w:rsidRDefault="00143279" w:rsidP="004F5CE6">
      <w:pPr>
        <w:pStyle w:val="ColorfulList-Accent11"/>
        <w:tabs>
          <w:tab w:val="left" w:pos="426"/>
        </w:tabs>
        <w:spacing w:before="120" w:after="60"/>
        <w:ind w:left="426" w:hanging="426"/>
      </w:pPr>
      <w:r>
        <w:t>7</w:t>
      </w:r>
      <w:r w:rsidR="004F5CE6" w:rsidRPr="00A32CC2">
        <w:t xml:space="preserve">.6 </w:t>
      </w:r>
      <w:r w:rsidR="004F5CE6" w:rsidRPr="00A32CC2">
        <w:tab/>
        <w:t xml:space="preserve">In respect of </w:t>
      </w:r>
      <w:r w:rsidR="008035CE" w:rsidRPr="00A32CC2">
        <w:t>an Acting Judge</w:t>
      </w:r>
      <w:r w:rsidR="004F5CE6" w:rsidRPr="00A32CC2">
        <w:t>, who is not a CSS or PSS member or appointed to or engaged by the Territory before 30 June 2006 and has maintained continuous employment with the Territory:</w:t>
      </w:r>
    </w:p>
    <w:p w14:paraId="69E48FD7" w14:textId="77777777" w:rsidR="004F5CE6" w:rsidRPr="00A32CC2" w:rsidRDefault="004F5CE6" w:rsidP="004F5CE6">
      <w:pPr>
        <w:pStyle w:val="ColorfulList-Accent11"/>
        <w:numPr>
          <w:ilvl w:val="0"/>
          <w:numId w:val="20"/>
        </w:numPr>
        <w:spacing w:before="120" w:after="60"/>
      </w:pPr>
      <w:r w:rsidRPr="00A32CC2">
        <w:lastRenderedPageBreak/>
        <w:t>if the person contributes 3% or more of their base remuneration component to an agreed superannuation fund in the form of employee contributions, the Territory will contribute an additional 1% employer superannuation contribution above the amount indicated in clause 6.5.</w:t>
      </w:r>
    </w:p>
    <w:p w14:paraId="006F1F2C" w14:textId="09A384BD" w:rsidR="004F5CE6" w:rsidRPr="00A32CC2" w:rsidRDefault="00143279" w:rsidP="004F5CE6">
      <w:pPr>
        <w:pStyle w:val="ColorfulList-Accent11"/>
        <w:tabs>
          <w:tab w:val="left" w:pos="426"/>
        </w:tabs>
        <w:spacing w:before="120" w:after="240"/>
        <w:ind w:left="425" w:hanging="425"/>
      </w:pPr>
      <w:r>
        <w:t>7</w:t>
      </w:r>
      <w:r w:rsidR="004F5CE6" w:rsidRPr="00A32CC2">
        <w:t xml:space="preserve">.7 </w:t>
      </w:r>
      <w:r w:rsidR="004F5CE6" w:rsidRPr="00A32CC2">
        <w:tab/>
        <w:t>The value of the employer’s superannuation contribution must not be paid in cash to the person appointed to an office in clause 2 of this Determination.</w:t>
      </w:r>
    </w:p>
    <w:p w14:paraId="005594E6" w14:textId="56E7748C" w:rsidR="00C11250" w:rsidRDefault="00143279" w:rsidP="00A01167">
      <w:pPr>
        <w:pStyle w:val="Heading2"/>
        <w:spacing w:before="240" w:after="60"/>
      </w:pPr>
      <w:r>
        <w:t>8</w:t>
      </w:r>
      <w:r w:rsidR="003C3D49" w:rsidRPr="003C3D49">
        <w:t>. Definitions</w:t>
      </w:r>
    </w:p>
    <w:p w14:paraId="6E3DF1E0" w14:textId="271EFBFB" w:rsidR="00C11250" w:rsidRDefault="00143279" w:rsidP="00FB05AF">
      <w:pPr>
        <w:tabs>
          <w:tab w:val="left" w:pos="567"/>
        </w:tabs>
        <w:spacing w:before="120" w:after="60"/>
        <w:ind w:left="567" w:hanging="567"/>
      </w:pPr>
      <w:r>
        <w:t>8</w:t>
      </w:r>
      <w:r w:rsidR="003C3D49">
        <w:t xml:space="preserve">.1 </w:t>
      </w:r>
      <w:r w:rsidR="00CB08BF">
        <w:tab/>
      </w:r>
      <w:r w:rsidR="003C3D49" w:rsidRPr="003C3D49">
        <w:t>In this Determination:</w:t>
      </w:r>
    </w:p>
    <w:p w14:paraId="597512AA" w14:textId="77777777" w:rsidR="00C11250" w:rsidRDefault="003C3D49">
      <w:pPr>
        <w:spacing w:before="120" w:after="60"/>
        <w:ind w:left="720"/>
        <w:rPr>
          <w:b/>
        </w:rPr>
      </w:pPr>
      <w:r w:rsidRPr="00FB05AF">
        <w:rPr>
          <w:b/>
          <w:i/>
        </w:rPr>
        <w:t>employer</w:t>
      </w:r>
      <w:r w:rsidRPr="003C3D49">
        <w:t xml:space="preserve"> means the Australian Capital Territory and includes any person authorised to act on behalf of the Australian Capital Territory.</w:t>
      </w:r>
    </w:p>
    <w:p w14:paraId="7B59E862" w14:textId="77777777" w:rsidR="00C11250" w:rsidRDefault="003C3D49" w:rsidP="008D5DF4">
      <w:pPr>
        <w:spacing w:before="120" w:after="60"/>
        <w:ind w:left="720"/>
      </w:pPr>
      <w:r w:rsidRPr="00FB05AF">
        <w:rPr>
          <w:b/>
          <w:i/>
        </w:rPr>
        <w:t>fringe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14:paraId="61C00F68" w14:textId="54983265" w:rsidR="00C11250" w:rsidRDefault="00143279" w:rsidP="00A01167">
      <w:pPr>
        <w:pStyle w:val="Heading2"/>
        <w:spacing w:before="240" w:after="60"/>
      </w:pPr>
      <w:r>
        <w:t>9</w:t>
      </w:r>
      <w:r w:rsidR="00AD7BB4" w:rsidRPr="007F3DA2">
        <w:t xml:space="preserve">. </w:t>
      </w:r>
      <w:r w:rsidR="00AD7BB4">
        <w:t>Revocation of previous determination</w:t>
      </w:r>
    </w:p>
    <w:p w14:paraId="2A4CB6AC" w14:textId="6E5EF1D2" w:rsidR="00680F31" w:rsidRPr="009D58BF" w:rsidRDefault="00143279" w:rsidP="009216A4">
      <w:pPr>
        <w:tabs>
          <w:tab w:val="left" w:pos="567"/>
        </w:tabs>
        <w:spacing w:before="120" w:after="60"/>
        <w:ind w:left="567" w:hanging="567"/>
      </w:pPr>
      <w:r w:rsidRPr="009D58BF">
        <w:t>9</w:t>
      </w:r>
      <w:r w:rsidR="009216A4" w:rsidRPr="009D58BF">
        <w:t>.1</w:t>
      </w:r>
      <w:r w:rsidR="002F757A" w:rsidRPr="009D58BF">
        <w:tab/>
      </w:r>
      <w:r w:rsidR="0018324E" w:rsidRPr="0018324E">
        <w:t>Determination 7 of 2020 other than in respect of the daily remuneration of an Acting Judge appointed before 1 January 2021 is revoked.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9D58BF" w:rsidRPr="009D58BF" w14:paraId="03F8A895" w14:textId="77777777" w:rsidTr="002046EC">
        <w:tc>
          <w:tcPr>
            <w:tcW w:w="4529" w:type="dxa"/>
          </w:tcPr>
          <w:p w14:paraId="26B73164" w14:textId="77777777" w:rsidR="00D60C23" w:rsidRPr="009D58BF" w:rsidRDefault="00D60C23" w:rsidP="002046EC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5CEE8498" w14:textId="77777777" w:rsidR="00D60C23" w:rsidRPr="009D58BF" w:rsidRDefault="00D60C23" w:rsidP="002046EC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9D58BF">
              <w:rPr>
                <w:szCs w:val="24"/>
              </w:rPr>
              <w:t>Ms Sandra Lambert AM</w:t>
            </w:r>
            <w:r w:rsidRPr="009D58BF">
              <w:rPr>
                <w:szCs w:val="24"/>
              </w:rPr>
              <w:tab/>
            </w:r>
          </w:p>
          <w:p w14:paraId="4561AF0F" w14:textId="77777777" w:rsidR="00D60C23" w:rsidRPr="009D58BF" w:rsidRDefault="00D60C23" w:rsidP="002046EC">
            <w:pPr>
              <w:tabs>
                <w:tab w:val="left" w:pos="7230"/>
              </w:tabs>
              <w:rPr>
                <w:szCs w:val="24"/>
              </w:rPr>
            </w:pPr>
            <w:r w:rsidRPr="009D58BF">
              <w:rPr>
                <w:szCs w:val="24"/>
              </w:rPr>
              <w:t>Chair</w:t>
            </w:r>
          </w:p>
          <w:p w14:paraId="4F85A53F" w14:textId="77777777" w:rsidR="00D60C23" w:rsidRPr="009D58BF" w:rsidRDefault="00D60C23" w:rsidP="002046EC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552130B6" w14:textId="77777777" w:rsidR="00D60C23" w:rsidRPr="009D58BF" w:rsidRDefault="00D60C23" w:rsidP="002046EC">
            <w:pPr>
              <w:tabs>
                <w:tab w:val="left" w:pos="4253"/>
                <w:tab w:val="left" w:leader="dot" w:pos="8222"/>
              </w:tabs>
              <w:spacing w:after="120"/>
              <w:rPr>
                <w:szCs w:val="24"/>
              </w:rPr>
            </w:pPr>
          </w:p>
        </w:tc>
        <w:tc>
          <w:tcPr>
            <w:tcW w:w="4488" w:type="dxa"/>
          </w:tcPr>
          <w:p w14:paraId="75569340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</w:pPr>
          </w:p>
          <w:p w14:paraId="155BF5FD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  <w:spacing w:before="120"/>
            </w:pPr>
            <w:r w:rsidRPr="009D58BF">
              <w:t xml:space="preserve"> </w:t>
            </w:r>
            <w:r w:rsidRPr="009D58BF">
              <w:br/>
              <w:t xml:space="preserve"> ................................................</w:t>
            </w:r>
          </w:p>
        </w:tc>
      </w:tr>
      <w:tr w:rsidR="009D58BF" w:rsidRPr="009D58BF" w14:paraId="59AA6D70" w14:textId="77777777" w:rsidTr="002046EC">
        <w:tc>
          <w:tcPr>
            <w:tcW w:w="4529" w:type="dxa"/>
          </w:tcPr>
          <w:p w14:paraId="7567FC0C" w14:textId="77777777" w:rsidR="00D60C23" w:rsidRPr="009D58BF" w:rsidRDefault="00D60C23" w:rsidP="002046EC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9D58BF">
              <w:rPr>
                <w:szCs w:val="24"/>
              </w:rPr>
              <w:t>Dr James Popple</w:t>
            </w:r>
            <w:r w:rsidRPr="009D58BF">
              <w:rPr>
                <w:szCs w:val="24"/>
              </w:rPr>
              <w:tab/>
            </w:r>
          </w:p>
          <w:p w14:paraId="313D40BC" w14:textId="77777777" w:rsidR="00D60C23" w:rsidRPr="009D58BF" w:rsidRDefault="00D60C23" w:rsidP="002046EC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9D58BF">
              <w:rPr>
                <w:szCs w:val="24"/>
              </w:rPr>
              <w:t>Member</w:t>
            </w:r>
          </w:p>
        </w:tc>
        <w:tc>
          <w:tcPr>
            <w:tcW w:w="4488" w:type="dxa"/>
          </w:tcPr>
          <w:p w14:paraId="15E94730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</w:pPr>
            <w:r w:rsidRPr="009D58BF">
              <w:t xml:space="preserve"> </w:t>
            </w:r>
          </w:p>
          <w:p w14:paraId="315CBC94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</w:pPr>
          </w:p>
          <w:p w14:paraId="4DBB3FD3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</w:pPr>
            <w:r w:rsidRPr="009D58BF">
              <w:t xml:space="preserve">  ...............................................</w:t>
            </w:r>
          </w:p>
          <w:p w14:paraId="238C5520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</w:pPr>
          </w:p>
        </w:tc>
      </w:tr>
      <w:tr w:rsidR="009D58BF" w:rsidRPr="009D58BF" w14:paraId="1591CAE4" w14:textId="77777777" w:rsidTr="002046EC">
        <w:tc>
          <w:tcPr>
            <w:tcW w:w="4529" w:type="dxa"/>
          </w:tcPr>
          <w:p w14:paraId="7A354018" w14:textId="77777777" w:rsidR="00D60C23" w:rsidRPr="009D58BF" w:rsidRDefault="00D60C23" w:rsidP="002046EC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67E8D3D3" w14:textId="77777777" w:rsidR="00D60C23" w:rsidRPr="009D58BF" w:rsidRDefault="00D60C23" w:rsidP="002046EC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6A133046" w14:textId="77777777" w:rsidR="00D60C23" w:rsidRPr="009D58BF" w:rsidRDefault="00D60C23" w:rsidP="002046EC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9D58BF">
              <w:rPr>
                <w:szCs w:val="24"/>
              </w:rPr>
              <w:t>Mr Dale Boucher PSM</w:t>
            </w:r>
            <w:r w:rsidRPr="009D58BF">
              <w:rPr>
                <w:szCs w:val="24"/>
              </w:rPr>
              <w:tab/>
            </w:r>
          </w:p>
          <w:p w14:paraId="7D2FD979" w14:textId="77777777" w:rsidR="00D60C23" w:rsidRPr="009D58BF" w:rsidRDefault="00D60C23" w:rsidP="002046EC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  <w:r w:rsidRPr="009D58BF">
              <w:rPr>
                <w:szCs w:val="24"/>
              </w:rPr>
              <w:t xml:space="preserve">Member </w:t>
            </w:r>
          </w:p>
        </w:tc>
        <w:tc>
          <w:tcPr>
            <w:tcW w:w="4488" w:type="dxa"/>
          </w:tcPr>
          <w:p w14:paraId="2FB6F450" w14:textId="77777777" w:rsidR="00D60C23" w:rsidRPr="009D58BF" w:rsidRDefault="00D60C23" w:rsidP="002046EC">
            <w:pPr>
              <w:tabs>
                <w:tab w:val="left" w:pos="4026"/>
                <w:tab w:val="left" w:pos="7230"/>
              </w:tabs>
            </w:pPr>
          </w:p>
          <w:p w14:paraId="18C7768F" w14:textId="77777777" w:rsidR="00D60C23" w:rsidRPr="009D58BF" w:rsidRDefault="00D60C23" w:rsidP="002046EC">
            <w:pPr>
              <w:tabs>
                <w:tab w:val="left" w:pos="4026"/>
                <w:tab w:val="left" w:pos="7230"/>
              </w:tabs>
            </w:pPr>
          </w:p>
          <w:p w14:paraId="371C0917" w14:textId="77777777" w:rsidR="00D60C23" w:rsidRPr="009D58BF" w:rsidRDefault="00D60C23" w:rsidP="002046EC">
            <w:pPr>
              <w:tabs>
                <w:tab w:val="left" w:pos="4026"/>
                <w:tab w:val="left" w:pos="7230"/>
              </w:tabs>
            </w:pPr>
          </w:p>
          <w:p w14:paraId="49959996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</w:pPr>
            <w:r w:rsidRPr="009D58BF">
              <w:t xml:space="preserve">  ...............................................</w:t>
            </w:r>
          </w:p>
          <w:p w14:paraId="0B31EE5B" w14:textId="77777777" w:rsidR="00D60C23" w:rsidRPr="009D58BF" w:rsidRDefault="00D60C23" w:rsidP="002046EC">
            <w:pPr>
              <w:tabs>
                <w:tab w:val="left" w:pos="3059"/>
                <w:tab w:val="left" w:pos="7230"/>
              </w:tabs>
            </w:pPr>
          </w:p>
        </w:tc>
      </w:tr>
    </w:tbl>
    <w:p w14:paraId="61CEA48A" w14:textId="58E3B95C" w:rsidR="00D60C23" w:rsidRPr="009D58BF" w:rsidRDefault="00F34E1B" w:rsidP="00D60C23">
      <w:pPr>
        <w:tabs>
          <w:tab w:val="left" w:pos="4320"/>
        </w:tabs>
        <w:jc w:val="right"/>
      </w:pPr>
      <w:r w:rsidRPr="009D58BF">
        <w:t xml:space="preserve">December </w:t>
      </w:r>
      <w:r w:rsidR="00D60C23" w:rsidRPr="009D58BF">
        <w:t>2020</w:t>
      </w:r>
    </w:p>
    <w:sectPr w:rsidR="00D60C23" w:rsidRPr="009D58BF" w:rsidSect="00DD7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49F6A" w14:textId="77777777" w:rsidR="006B3A4D" w:rsidRDefault="006B3A4D">
      <w:r>
        <w:separator/>
      </w:r>
    </w:p>
  </w:endnote>
  <w:endnote w:type="continuationSeparator" w:id="0">
    <w:p w14:paraId="02F50162" w14:textId="77777777" w:rsidR="006B3A4D" w:rsidRDefault="006B3A4D">
      <w:r>
        <w:continuationSeparator/>
      </w:r>
    </w:p>
  </w:endnote>
  <w:endnote w:type="continuationNotice" w:id="1">
    <w:p w14:paraId="755A0D42" w14:textId="77777777" w:rsidR="006B3A4D" w:rsidRDefault="006B3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BC6C5" w14:textId="77777777" w:rsidR="00804334" w:rsidRDefault="00804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55D5D" w14:textId="77777777" w:rsidR="00804334" w:rsidRDefault="00804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3650" w14:textId="4725CFC2" w:rsidR="00804334" w:rsidRPr="0082327D" w:rsidRDefault="00804334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650B10">
      <w:rPr>
        <w:rFonts w:ascii="Calibri" w:hAnsi="Calibri"/>
        <w:noProof/>
      </w:rPr>
      <w:t>6</w:t>
    </w:r>
    <w:r w:rsidRPr="00FD7D3F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8CFAC" w14:textId="77777777" w:rsidR="00804334" w:rsidRDefault="0080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D8776" w14:textId="77777777" w:rsidR="006B3A4D" w:rsidRDefault="006B3A4D">
      <w:r>
        <w:separator/>
      </w:r>
    </w:p>
  </w:footnote>
  <w:footnote w:type="continuationSeparator" w:id="0">
    <w:p w14:paraId="1B764D0C" w14:textId="77777777" w:rsidR="006B3A4D" w:rsidRDefault="006B3A4D">
      <w:r>
        <w:continuationSeparator/>
      </w:r>
    </w:p>
  </w:footnote>
  <w:footnote w:type="continuationNotice" w:id="1">
    <w:p w14:paraId="731A17FA" w14:textId="77777777" w:rsidR="006B3A4D" w:rsidRDefault="006B3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1509F" w14:textId="77777777" w:rsidR="00804334" w:rsidRDefault="00804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2909506"/>
      <w:docPartObj>
        <w:docPartGallery w:val="Watermarks"/>
        <w:docPartUnique/>
      </w:docPartObj>
    </w:sdtPr>
    <w:sdtEndPr/>
    <w:sdtContent>
      <w:p w14:paraId="2056D334" w14:textId="5D1F953F" w:rsidR="00804334" w:rsidRDefault="00A5162A">
        <w:pPr>
          <w:pStyle w:val="Header"/>
        </w:pPr>
        <w:r>
          <w:rPr>
            <w:noProof/>
          </w:rPr>
          <w:pict w14:anchorId="72C059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6F416" w14:textId="77777777" w:rsidR="00804334" w:rsidRDefault="00804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3DA"/>
    <w:multiLevelType w:val="multilevel"/>
    <w:tmpl w:val="AAB0C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14EF54AF"/>
    <w:multiLevelType w:val="multilevel"/>
    <w:tmpl w:val="29FC2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A6799F"/>
    <w:multiLevelType w:val="hybridMultilevel"/>
    <w:tmpl w:val="53EAB7E0"/>
    <w:lvl w:ilvl="0" w:tplc="BF0E131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8C21E2A"/>
    <w:multiLevelType w:val="hybridMultilevel"/>
    <w:tmpl w:val="B602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96721"/>
    <w:multiLevelType w:val="hybridMultilevel"/>
    <w:tmpl w:val="47E0EDC6"/>
    <w:lvl w:ilvl="0" w:tplc="DEFC09D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F26E8"/>
    <w:multiLevelType w:val="multilevel"/>
    <w:tmpl w:val="7D5E21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7"/>
  </w:num>
  <w:num w:numId="5">
    <w:abstractNumId w:val="12"/>
  </w:num>
  <w:num w:numId="6">
    <w:abstractNumId w:val="15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1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4"/>
  </w:num>
  <w:num w:numId="18">
    <w:abstractNumId w:val="7"/>
  </w:num>
  <w:num w:numId="19">
    <w:abstractNumId w:val="11"/>
  </w:num>
  <w:num w:numId="20">
    <w:abstractNumId w:val="1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44FC"/>
    <w:rsid w:val="0002104E"/>
    <w:rsid w:val="00024A89"/>
    <w:rsid w:val="000356E9"/>
    <w:rsid w:val="00045FE9"/>
    <w:rsid w:val="00047903"/>
    <w:rsid w:val="0005314A"/>
    <w:rsid w:val="000560A5"/>
    <w:rsid w:val="00056F1E"/>
    <w:rsid w:val="00060E78"/>
    <w:rsid w:val="000625FB"/>
    <w:rsid w:val="00071170"/>
    <w:rsid w:val="000739D1"/>
    <w:rsid w:val="00076CA5"/>
    <w:rsid w:val="00090EB5"/>
    <w:rsid w:val="000930D9"/>
    <w:rsid w:val="00093D63"/>
    <w:rsid w:val="000945B5"/>
    <w:rsid w:val="00094CC2"/>
    <w:rsid w:val="00094EA2"/>
    <w:rsid w:val="000A394D"/>
    <w:rsid w:val="000A3D97"/>
    <w:rsid w:val="000A54AA"/>
    <w:rsid w:val="000B4901"/>
    <w:rsid w:val="000B5975"/>
    <w:rsid w:val="000C0126"/>
    <w:rsid w:val="000C0FBA"/>
    <w:rsid w:val="000C255C"/>
    <w:rsid w:val="000D063D"/>
    <w:rsid w:val="000D1005"/>
    <w:rsid w:val="000D2E7C"/>
    <w:rsid w:val="000D71D2"/>
    <w:rsid w:val="000D7702"/>
    <w:rsid w:val="000E61C6"/>
    <w:rsid w:val="000F6F50"/>
    <w:rsid w:val="00100F10"/>
    <w:rsid w:val="001015F3"/>
    <w:rsid w:val="0010519E"/>
    <w:rsid w:val="0010590D"/>
    <w:rsid w:val="00107588"/>
    <w:rsid w:val="001077F1"/>
    <w:rsid w:val="0011446D"/>
    <w:rsid w:val="00124251"/>
    <w:rsid w:val="00125E3B"/>
    <w:rsid w:val="00132A9D"/>
    <w:rsid w:val="0013640A"/>
    <w:rsid w:val="001423CA"/>
    <w:rsid w:val="00142570"/>
    <w:rsid w:val="00143279"/>
    <w:rsid w:val="00145287"/>
    <w:rsid w:val="0014617C"/>
    <w:rsid w:val="00153E47"/>
    <w:rsid w:val="0015430B"/>
    <w:rsid w:val="001554F4"/>
    <w:rsid w:val="00155B9E"/>
    <w:rsid w:val="0016506F"/>
    <w:rsid w:val="00166597"/>
    <w:rsid w:val="001722DB"/>
    <w:rsid w:val="0017263D"/>
    <w:rsid w:val="001742F0"/>
    <w:rsid w:val="00175610"/>
    <w:rsid w:val="0018324E"/>
    <w:rsid w:val="001916BC"/>
    <w:rsid w:val="001A2EC1"/>
    <w:rsid w:val="001A4707"/>
    <w:rsid w:val="001A4B4B"/>
    <w:rsid w:val="001B1067"/>
    <w:rsid w:val="001B2A05"/>
    <w:rsid w:val="001C0C3B"/>
    <w:rsid w:val="001C3DA2"/>
    <w:rsid w:val="001C3DBB"/>
    <w:rsid w:val="001D2916"/>
    <w:rsid w:val="001F6D77"/>
    <w:rsid w:val="0020190A"/>
    <w:rsid w:val="002055BF"/>
    <w:rsid w:val="0021099D"/>
    <w:rsid w:val="00222DC6"/>
    <w:rsid w:val="00223CB9"/>
    <w:rsid w:val="002318F4"/>
    <w:rsid w:val="00235B3A"/>
    <w:rsid w:val="002366FC"/>
    <w:rsid w:val="00241DD2"/>
    <w:rsid w:val="00251993"/>
    <w:rsid w:val="00260EDD"/>
    <w:rsid w:val="002639F9"/>
    <w:rsid w:val="00267E35"/>
    <w:rsid w:val="00270450"/>
    <w:rsid w:val="002740B6"/>
    <w:rsid w:val="00282079"/>
    <w:rsid w:val="00287A77"/>
    <w:rsid w:val="00292814"/>
    <w:rsid w:val="00292964"/>
    <w:rsid w:val="00293EEE"/>
    <w:rsid w:val="002A134C"/>
    <w:rsid w:val="002A4ADA"/>
    <w:rsid w:val="002B0CAD"/>
    <w:rsid w:val="002B391E"/>
    <w:rsid w:val="002B7F06"/>
    <w:rsid w:val="002C0635"/>
    <w:rsid w:val="002C1258"/>
    <w:rsid w:val="002C15A4"/>
    <w:rsid w:val="002C2521"/>
    <w:rsid w:val="002C2963"/>
    <w:rsid w:val="002C3B13"/>
    <w:rsid w:val="002C4C5C"/>
    <w:rsid w:val="002C506A"/>
    <w:rsid w:val="002C590A"/>
    <w:rsid w:val="002C5A60"/>
    <w:rsid w:val="002D40AF"/>
    <w:rsid w:val="002D47D2"/>
    <w:rsid w:val="002E23E7"/>
    <w:rsid w:val="002E565F"/>
    <w:rsid w:val="002E64FC"/>
    <w:rsid w:val="002F757A"/>
    <w:rsid w:val="003019CD"/>
    <w:rsid w:val="00301E14"/>
    <w:rsid w:val="0030340C"/>
    <w:rsid w:val="003117E2"/>
    <w:rsid w:val="003169E3"/>
    <w:rsid w:val="00316C62"/>
    <w:rsid w:val="00320D9C"/>
    <w:rsid w:val="00322FBA"/>
    <w:rsid w:val="00330830"/>
    <w:rsid w:val="00332984"/>
    <w:rsid w:val="0033335A"/>
    <w:rsid w:val="00340D83"/>
    <w:rsid w:val="00342534"/>
    <w:rsid w:val="00343339"/>
    <w:rsid w:val="00347A7E"/>
    <w:rsid w:val="003500BA"/>
    <w:rsid w:val="00354E39"/>
    <w:rsid w:val="0036438B"/>
    <w:rsid w:val="00365F2D"/>
    <w:rsid w:val="0037076F"/>
    <w:rsid w:val="00373D11"/>
    <w:rsid w:val="003765D8"/>
    <w:rsid w:val="00380918"/>
    <w:rsid w:val="00380FF3"/>
    <w:rsid w:val="00381CF4"/>
    <w:rsid w:val="00383A02"/>
    <w:rsid w:val="00386D1A"/>
    <w:rsid w:val="00395907"/>
    <w:rsid w:val="003B0300"/>
    <w:rsid w:val="003B1A08"/>
    <w:rsid w:val="003B1FF4"/>
    <w:rsid w:val="003C2146"/>
    <w:rsid w:val="003C3D49"/>
    <w:rsid w:val="003C4C41"/>
    <w:rsid w:val="003D2D25"/>
    <w:rsid w:val="003D2D97"/>
    <w:rsid w:val="003D6355"/>
    <w:rsid w:val="003E65A3"/>
    <w:rsid w:val="003F0351"/>
    <w:rsid w:val="003F15E5"/>
    <w:rsid w:val="003F50FC"/>
    <w:rsid w:val="003F6771"/>
    <w:rsid w:val="004004FA"/>
    <w:rsid w:val="004310A4"/>
    <w:rsid w:val="00433BF4"/>
    <w:rsid w:val="00433C57"/>
    <w:rsid w:val="00437715"/>
    <w:rsid w:val="00441AA7"/>
    <w:rsid w:val="00443E59"/>
    <w:rsid w:val="004455DD"/>
    <w:rsid w:val="0045334E"/>
    <w:rsid w:val="0046117C"/>
    <w:rsid w:val="00464859"/>
    <w:rsid w:val="00470F0C"/>
    <w:rsid w:val="004714EA"/>
    <w:rsid w:val="00483DE6"/>
    <w:rsid w:val="0048412F"/>
    <w:rsid w:val="00487C2A"/>
    <w:rsid w:val="004A1A11"/>
    <w:rsid w:val="004A5804"/>
    <w:rsid w:val="004B14B2"/>
    <w:rsid w:val="004B66BB"/>
    <w:rsid w:val="004B688C"/>
    <w:rsid w:val="004B77CC"/>
    <w:rsid w:val="004C098E"/>
    <w:rsid w:val="004C2674"/>
    <w:rsid w:val="004C2A9A"/>
    <w:rsid w:val="004C42DA"/>
    <w:rsid w:val="004C6DE2"/>
    <w:rsid w:val="004D1C27"/>
    <w:rsid w:val="004E5081"/>
    <w:rsid w:val="004F0025"/>
    <w:rsid w:val="004F597E"/>
    <w:rsid w:val="004F5B87"/>
    <w:rsid w:val="004F5CE6"/>
    <w:rsid w:val="004F77CB"/>
    <w:rsid w:val="00505FB4"/>
    <w:rsid w:val="00510ECA"/>
    <w:rsid w:val="00512B39"/>
    <w:rsid w:val="00513C42"/>
    <w:rsid w:val="005152BC"/>
    <w:rsid w:val="00516063"/>
    <w:rsid w:val="00517C2B"/>
    <w:rsid w:val="00520023"/>
    <w:rsid w:val="005210C7"/>
    <w:rsid w:val="00521DCD"/>
    <w:rsid w:val="005238CB"/>
    <w:rsid w:val="005266AF"/>
    <w:rsid w:val="005306CC"/>
    <w:rsid w:val="00531C63"/>
    <w:rsid w:val="00535602"/>
    <w:rsid w:val="00537D80"/>
    <w:rsid w:val="00545DFF"/>
    <w:rsid w:val="005473F1"/>
    <w:rsid w:val="00547466"/>
    <w:rsid w:val="005511DA"/>
    <w:rsid w:val="00557E3B"/>
    <w:rsid w:val="005708C7"/>
    <w:rsid w:val="00570E76"/>
    <w:rsid w:val="00575293"/>
    <w:rsid w:val="00575A6D"/>
    <w:rsid w:val="005917EF"/>
    <w:rsid w:val="0059383C"/>
    <w:rsid w:val="00595CFC"/>
    <w:rsid w:val="005A0205"/>
    <w:rsid w:val="005A139C"/>
    <w:rsid w:val="005A6144"/>
    <w:rsid w:val="005A6309"/>
    <w:rsid w:val="005A64DB"/>
    <w:rsid w:val="005B10C2"/>
    <w:rsid w:val="005B14C3"/>
    <w:rsid w:val="005B596D"/>
    <w:rsid w:val="005C50FC"/>
    <w:rsid w:val="005E66E2"/>
    <w:rsid w:val="005E7713"/>
    <w:rsid w:val="005E7A3E"/>
    <w:rsid w:val="005F2A73"/>
    <w:rsid w:val="005F411E"/>
    <w:rsid w:val="00601E75"/>
    <w:rsid w:val="0060437E"/>
    <w:rsid w:val="00604506"/>
    <w:rsid w:val="00604F0B"/>
    <w:rsid w:val="006122F5"/>
    <w:rsid w:val="00614531"/>
    <w:rsid w:val="0061674A"/>
    <w:rsid w:val="00620D79"/>
    <w:rsid w:val="00625249"/>
    <w:rsid w:val="00630B59"/>
    <w:rsid w:val="006314DE"/>
    <w:rsid w:val="00634596"/>
    <w:rsid w:val="00645C2A"/>
    <w:rsid w:val="00650B10"/>
    <w:rsid w:val="00652206"/>
    <w:rsid w:val="006537A6"/>
    <w:rsid w:val="00666C38"/>
    <w:rsid w:val="00667C09"/>
    <w:rsid w:val="00667D31"/>
    <w:rsid w:val="00674580"/>
    <w:rsid w:val="00674BD0"/>
    <w:rsid w:val="00677B60"/>
    <w:rsid w:val="00680F31"/>
    <w:rsid w:val="00681AD5"/>
    <w:rsid w:val="00696C9B"/>
    <w:rsid w:val="00697229"/>
    <w:rsid w:val="006A034A"/>
    <w:rsid w:val="006A0AF4"/>
    <w:rsid w:val="006A198D"/>
    <w:rsid w:val="006A5149"/>
    <w:rsid w:val="006A5F59"/>
    <w:rsid w:val="006A7E03"/>
    <w:rsid w:val="006B1541"/>
    <w:rsid w:val="006B231A"/>
    <w:rsid w:val="006B2E82"/>
    <w:rsid w:val="006B3A4D"/>
    <w:rsid w:val="006C38FA"/>
    <w:rsid w:val="006D4069"/>
    <w:rsid w:val="006D6312"/>
    <w:rsid w:val="006E2F19"/>
    <w:rsid w:val="006E53A9"/>
    <w:rsid w:val="006E6165"/>
    <w:rsid w:val="006E7EE7"/>
    <w:rsid w:val="006F1565"/>
    <w:rsid w:val="0070081A"/>
    <w:rsid w:val="007022CA"/>
    <w:rsid w:val="007101E4"/>
    <w:rsid w:val="00712C57"/>
    <w:rsid w:val="00714C87"/>
    <w:rsid w:val="00722E3B"/>
    <w:rsid w:val="007232A0"/>
    <w:rsid w:val="00723FDC"/>
    <w:rsid w:val="00730C82"/>
    <w:rsid w:val="00730F49"/>
    <w:rsid w:val="007352AF"/>
    <w:rsid w:val="00741CBF"/>
    <w:rsid w:val="00743573"/>
    <w:rsid w:val="0075284A"/>
    <w:rsid w:val="007534BC"/>
    <w:rsid w:val="00756603"/>
    <w:rsid w:val="00764B49"/>
    <w:rsid w:val="00764C6F"/>
    <w:rsid w:val="00765FDA"/>
    <w:rsid w:val="00766086"/>
    <w:rsid w:val="00774F91"/>
    <w:rsid w:val="00790D28"/>
    <w:rsid w:val="00790EE7"/>
    <w:rsid w:val="007A4970"/>
    <w:rsid w:val="007B1718"/>
    <w:rsid w:val="007B2573"/>
    <w:rsid w:val="007B32AA"/>
    <w:rsid w:val="007B444B"/>
    <w:rsid w:val="007C14CA"/>
    <w:rsid w:val="007D187F"/>
    <w:rsid w:val="007D3374"/>
    <w:rsid w:val="007D72F3"/>
    <w:rsid w:val="007E6AB7"/>
    <w:rsid w:val="007F3BC7"/>
    <w:rsid w:val="007F3DA2"/>
    <w:rsid w:val="007F553F"/>
    <w:rsid w:val="00802958"/>
    <w:rsid w:val="00802ACA"/>
    <w:rsid w:val="008035CE"/>
    <w:rsid w:val="00804334"/>
    <w:rsid w:val="0080694B"/>
    <w:rsid w:val="00814E4F"/>
    <w:rsid w:val="0081643F"/>
    <w:rsid w:val="0081661C"/>
    <w:rsid w:val="0082327D"/>
    <w:rsid w:val="008275FC"/>
    <w:rsid w:val="008277D3"/>
    <w:rsid w:val="00844136"/>
    <w:rsid w:val="008616B2"/>
    <w:rsid w:val="00862D60"/>
    <w:rsid w:val="00865598"/>
    <w:rsid w:val="00867A92"/>
    <w:rsid w:val="00870068"/>
    <w:rsid w:val="00875E4A"/>
    <w:rsid w:val="00877EB0"/>
    <w:rsid w:val="00882C73"/>
    <w:rsid w:val="00893E45"/>
    <w:rsid w:val="0089656C"/>
    <w:rsid w:val="008966ED"/>
    <w:rsid w:val="00896DBC"/>
    <w:rsid w:val="008A209F"/>
    <w:rsid w:val="008B4239"/>
    <w:rsid w:val="008B6DDC"/>
    <w:rsid w:val="008C2937"/>
    <w:rsid w:val="008C43AB"/>
    <w:rsid w:val="008C5BE2"/>
    <w:rsid w:val="008C7DEE"/>
    <w:rsid w:val="008D0A3D"/>
    <w:rsid w:val="008D28B2"/>
    <w:rsid w:val="008D5909"/>
    <w:rsid w:val="008D5DF4"/>
    <w:rsid w:val="008D6946"/>
    <w:rsid w:val="008E2921"/>
    <w:rsid w:val="008E2ACA"/>
    <w:rsid w:val="008E31D4"/>
    <w:rsid w:val="008F42AC"/>
    <w:rsid w:val="00900D4B"/>
    <w:rsid w:val="00902A1E"/>
    <w:rsid w:val="00903A7E"/>
    <w:rsid w:val="00907CE5"/>
    <w:rsid w:val="0091032A"/>
    <w:rsid w:val="00910D69"/>
    <w:rsid w:val="009118FF"/>
    <w:rsid w:val="00916374"/>
    <w:rsid w:val="009216A4"/>
    <w:rsid w:val="009265E5"/>
    <w:rsid w:val="009320A6"/>
    <w:rsid w:val="009336E0"/>
    <w:rsid w:val="00935CB9"/>
    <w:rsid w:val="00946CD2"/>
    <w:rsid w:val="00947D3B"/>
    <w:rsid w:val="009532A9"/>
    <w:rsid w:val="00953A0F"/>
    <w:rsid w:val="00960FDB"/>
    <w:rsid w:val="00964233"/>
    <w:rsid w:val="00964A93"/>
    <w:rsid w:val="00967041"/>
    <w:rsid w:val="0096745A"/>
    <w:rsid w:val="009704C4"/>
    <w:rsid w:val="00970D74"/>
    <w:rsid w:val="009728F3"/>
    <w:rsid w:val="009734D5"/>
    <w:rsid w:val="009766A1"/>
    <w:rsid w:val="009859F7"/>
    <w:rsid w:val="00987B1A"/>
    <w:rsid w:val="00990719"/>
    <w:rsid w:val="009948C5"/>
    <w:rsid w:val="009953B2"/>
    <w:rsid w:val="009A108C"/>
    <w:rsid w:val="009B27C7"/>
    <w:rsid w:val="009B4B59"/>
    <w:rsid w:val="009C1E92"/>
    <w:rsid w:val="009C76B5"/>
    <w:rsid w:val="009D0FEC"/>
    <w:rsid w:val="009D1A1F"/>
    <w:rsid w:val="009D34D7"/>
    <w:rsid w:val="009D58BF"/>
    <w:rsid w:val="009E06F0"/>
    <w:rsid w:val="009E33F2"/>
    <w:rsid w:val="009E34DA"/>
    <w:rsid w:val="009E4C67"/>
    <w:rsid w:val="009E5715"/>
    <w:rsid w:val="009E5D52"/>
    <w:rsid w:val="009F295B"/>
    <w:rsid w:val="009F3D4D"/>
    <w:rsid w:val="00A01167"/>
    <w:rsid w:val="00A02717"/>
    <w:rsid w:val="00A033EC"/>
    <w:rsid w:val="00A06C78"/>
    <w:rsid w:val="00A262D0"/>
    <w:rsid w:val="00A2716C"/>
    <w:rsid w:val="00A32CC2"/>
    <w:rsid w:val="00A403CA"/>
    <w:rsid w:val="00A426FE"/>
    <w:rsid w:val="00A452F0"/>
    <w:rsid w:val="00A45EEE"/>
    <w:rsid w:val="00A5162A"/>
    <w:rsid w:val="00A517A4"/>
    <w:rsid w:val="00A545B9"/>
    <w:rsid w:val="00A54FA5"/>
    <w:rsid w:val="00A7057A"/>
    <w:rsid w:val="00A72561"/>
    <w:rsid w:val="00A74F92"/>
    <w:rsid w:val="00A77396"/>
    <w:rsid w:val="00A822E2"/>
    <w:rsid w:val="00A86E2D"/>
    <w:rsid w:val="00A874CC"/>
    <w:rsid w:val="00A90033"/>
    <w:rsid w:val="00A904F3"/>
    <w:rsid w:val="00AA4FAF"/>
    <w:rsid w:val="00AA7615"/>
    <w:rsid w:val="00AA7AE5"/>
    <w:rsid w:val="00AB21B2"/>
    <w:rsid w:val="00AC12D1"/>
    <w:rsid w:val="00AC3B40"/>
    <w:rsid w:val="00AC5560"/>
    <w:rsid w:val="00AC729A"/>
    <w:rsid w:val="00AD3C98"/>
    <w:rsid w:val="00AD5923"/>
    <w:rsid w:val="00AD7BB4"/>
    <w:rsid w:val="00AD7DB2"/>
    <w:rsid w:val="00AE56D9"/>
    <w:rsid w:val="00AE689E"/>
    <w:rsid w:val="00AE77C3"/>
    <w:rsid w:val="00AE7B83"/>
    <w:rsid w:val="00AF1F0B"/>
    <w:rsid w:val="00B00C69"/>
    <w:rsid w:val="00B05488"/>
    <w:rsid w:val="00B25138"/>
    <w:rsid w:val="00B2537A"/>
    <w:rsid w:val="00B258DD"/>
    <w:rsid w:val="00B2742E"/>
    <w:rsid w:val="00B40DE4"/>
    <w:rsid w:val="00B41C52"/>
    <w:rsid w:val="00B46077"/>
    <w:rsid w:val="00B47E19"/>
    <w:rsid w:val="00B51DDB"/>
    <w:rsid w:val="00B543C2"/>
    <w:rsid w:val="00B5505E"/>
    <w:rsid w:val="00B634A3"/>
    <w:rsid w:val="00B72AC7"/>
    <w:rsid w:val="00B7359A"/>
    <w:rsid w:val="00B74CF4"/>
    <w:rsid w:val="00B75783"/>
    <w:rsid w:val="00B8383B"/>
    <w:rsid w:val="00B849C9"/>
    <w:rsid w:val="00B91851"/>
    <w:rsid w:val="00B94E3B"/>
    <w:rsid w:val="00B960E0"/>
    <w:rsid w:val="00B96ECC"/>
    <w:rsid w:val="00B97AEA"/>
    <w:rsid w:val="00B97BF2"/>
    <w:rsid w:val="00BA762F"/>
    <w:rsid w:val="00BB066A"/>
    <w:rsid w:val="00BB07AE"/>
    <w:rsid w:val="00BB089E"/>
    <w:rsid w:val="00BB118E"/>
    <w:rsid w:val="00BB3DB3"/>
    <w:rsid w:val="00BB7044"/>
    <w:rsid w:val="00BC21DF"/>
    <w:rsid w:val="00BC2ABD"/>
    <w:rsid w:val="00BC6AEE"/>
    <w:rsid w:val="00BC7A33"/>
    <w:rsid w:val="00BD0D94"/>
    <w:rsid w:val="00BD6EDE"/>
    <w:rsid w:val="00BE3052"/>
    <w:rsid w:val="00BE4B52"/>
    <w:rsid w:val="00BF1833"/>
    <w:rsid w:val="00C03DBD"/>
    <w:rsid w:val="00C05120"/>
    <w:rsid w:val="00C06AC3"/>
    <w:rsid w:val="00C070D1"/>
    <w:rsid w:val="00C10C16"/>
    <w:rsid w:val="00C10E1A"/>
    <w:rsid w:val="00C11250"/>
    <w:rsid w:val="00C12504"/>
    <w:rsid w:val="00C15665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1FA1"/>
    <w:rsid w:val="00C82612"/>
    <w:rsid w:val="00C901B8"/>
    <w:rsid w:val="00C94C28"/>
    <w:rsid w:val="00C95B39"/>
    <w:rsid w:val="00CA682D"/>
    <w:rsid w:val="00CB0848"/>
    <w:rsid w:val="00CB08BF"/>
    <w:rsid w:val="00CB545A"/>
    <w:rsid w:val="00CB7D64"/>
    <w:rsid w:val="00CC036B"/>
    <w:rsid w:val="00CC0BA1"/>
    <w:rsid w:val="00CC4206"/>
    <w:rsid w:val="00CC4A40"/>
    <w:rsid w:val="00CC57FE"/>
    <w:rsid w:val="00CC5C68"/>
    <w:rsid w:val="00CC6AAD"/>
    <w:rsid w:val="00CD6D68"/>
    <w:rsid w:val="00CE0DDE"/>
    <w:rsid w:val="00CE2B20"/>
    <w:rsid w:val="00CF2E46"/>
    <w:rsid w:val="00D003B9"/>
    <w:rsid w:val="00D02CE0"/>
    <w:rsid w:val="00D02D9B"/>
    <w:rsid w:val="00D107EF"/>
    <w:rsid w:val="00D111E9"/>
    <w:rsid w:val="00D12281"/>
    <w:rsid w:val="00D12844"/>
    <w:rsid w:val="00D24A6F"/>
    <w:rsid w:val="00D268C8"/>
    <w:rsid w:val="00D423A3"/>
    <w:rsid w:val="00D44865"/>
    <w:rsid w:val="00D452F4"/>
    <w:rsid w:val="00D56A6B"/>
    <w:rsid w:val="00D60C23"/>
    <w:rsid w:val="00D6128B"/>
    <w:rsid w:val="00D63E1D"/>
    <w:rsid w:val="00D738C1"/>
    <w:rsid w:val="00D9673E"/>
    <w:rsid w:val="00D9699C"/>
    <w:rsid w:val="00DA1BE7"/>
    <w:rsid w:val="00DA3F08"/>
    <w:rsid w:val="00DA50F3"/>
    <w:rsid w:val="00DA5569"/>
    <w:rsid w:val="00DA6A18"/>
    <w:rsid w:val="00DA6D73"/>
    <w:rsid w:val="00DB2430"/>
    <w:rsid w:val="00DB35EF"/>
    <w:rsid w:val="00DB64EB"/>
    <w:rsid w:val="00DC011D"/>
    <w:rsid w:val="00DC35CF"/>
    <w:rsid w:val="00DD17B5"/>
    <w:rsid w:val="00DD1F0B"/>
    <w:rsid w:val="00DD30D2"/>
    <w:rsid w:val="00DD73BE"/>
    <w:rsid w:val="00DE0D05"/>
    <w:rsid w:val="00DE6EB1"/>
    <w:rsid w:val="00DF0AB8"/>
    <w:rsid w:val="00DF0D48"/>
    <w:rsid w:val="00DF1C00"/>
    <w:rsid w:val="00DF2CA8"/>
    <w:rsid w:val="00DF2F32"/>
    <w:rsid w:val="00DF6B06"/>
    <w:rsid w:val="00DF73B5"/>
    <w:rsid w:val="00E01D93"/>
    <w:rsid w:val="00E1008A"/>
    <w:rsid w:val="00E14F84"/>
    <w:rsid w:val="00E16907"/>
    <w:rsid w:val="00E27F08"/>
    <w:rsid w:val="00E32058"/>
    <w:rsid w:val="00E33098"/>
    <w:rsid w:val="00E34CA3"/>
    <w:rsid w:val="00E356CE"/>
    <w:rsid w:val="00E35C4B"/>
    <w:rsid w:val="00E35CA9"/>
    <w:rsid w:val="00E36389"/>
    <w:rsid w:val="00E43087"/>
    <w:rsid w:val="00E546CC"/>
    <w:rsid w:val="00E56DDD"/>
    <w:rsid w:val="00E602AE"/>
    <w:rsid w:val="00E61D6D"/>
    <w:rsid w:val="00E71600"/>
    <w:rsid w:val="00E7244F"/>
    <w:rsid w:val="00E76FE2"/>
    <w:rsid w:val="00E80AA9"/>
    <w:rsid w:val="00E924D1"/>
    <w:rsid w:val="00EA1A9E"/>
    <w:rsid w:val="00EA576E"/>
    <w:rsid w:val="00EA7871"/>
    <w:rsid w:val="00EB5EE4"/>
    <w:rsid w:val="00EC16D9"/>
    <w:rsid w:val="00EE7426"/>
    <w:rsid w:val="00EF3FD7"/>
    <w:rsid w:val="00F1021B"/>
    <w:rsid w:val="00F215BD"/>
    <w:rsid w:val="00F328E5"/>
    <w:rsid w:val="00F34E1B"/>
    <w:rsid w:val="00F35025"/>
    <w:rsid w:val="00F35A9C"/>
    <w:rsid w:val="00F412B1"/>
    <w:rsid w:val="00F44CAD"/>
    <w:rsid w:val="00F4595C"/>
    <w:rsid w:val="00F47A99"/>
    <w:rsid w:val="00F50BB9"/>
    <w:rsid w:val="00F532B1"/>
    <w:rsid w:val="00F53DC7"/>
    <w:rsid w:val="00F610F8"/>
    <w:rsid w:val="00F6462E"/>
    <w:rsid w:val="00F64856"/>
    <w:rsid w:val="00F6623F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05AF"/>
    <w:rsid w:val="00FB27BD"/>
    <w:rsid w:val="00FB3B06"/>
    <w:rsid w:val="00FB4BFB"/>
    <w:rsid w:val="00FB7E3C"/>
    <w:rsid w:val="00FC1A46"/>
    <w:rsid w:val="00FC1AD2"/>
    <w:rsid w:val="00FC5C65"/>
    <w:rsid w:val="00FD37E1"/>
    <w:rsid w:val="00FD5D11"/>
    <w:rsid w:val="00FD7A63"/>
    <w:rsid w:val="00FE11B6"/>
    <w:rsid w:val="00FE384A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47EFB699"/>
  <w15:docId w15:val="{43D9AB54-A4F4-4BBD-96F9-4C9B6461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  <w:style w:type="paragraph" w:customStyle="1" w:styleId="Body">
    <w:name w:val="Body"/>
    <w:rsid w:val="009907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
</file>

<file path=customXml/itemProps1.xml><?xml version="1.0" encoding="utf-8"?>
<ds:datastoreItem xmlns:ds="http://schemas.openxmlformats.org/officeDocument/2006/customXml" ds:itemID="{AA79BCDD-9CC1-4285-8C71-4C939B2B9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0A2CE-6F4D-4BB6-9D34-626929CD1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10170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Ren, Ray</cp:lastModifiedBy>
  <cp:revision>5</cp:revision>
  <cp:lastPrinted>2018-11-14T22:38:00Z</cp:lastPrinted>
  <dcterms:created xsi:type="dcterms:W3CDTF">2020-12-23T05:09:00Z</dcterms:created>
  <dcterms:modified xsi:type="dcterms:W3CDTF">2021-02-09T03:59:00Z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