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1ACDA" w14:textId="77777777" w:rsidR="0023156B" w:rsidRPr="003B1A08" w:rsidRDefault="00C1238C" w:rsidP="0023156B">
      <w:pPr>
        <w:spacing w:before="120"/>
        <w:rPr>
          <w:rFonts w:cs="Arial"/>
          <w:sz w:val="28"/>
          <w:szCs w:val="28"/>
        </w:rPr>
      </w:pPr>
      <w:bookmarkStart w:id="0" w:name="_Toc44738651"/>
      <w:r>
        <w:rPr>
          <w:rFonts w:cs="Arial"/>
          <w:noProof/>
          <w:lang w:eastAsia="en-AU"/>
        </w:rPr>
        <w:drawing>
          <wp:inline distT="0" distB="0" distL="0" distR="0" wp14:anchorId="469EE560" wp14:editId="58D27BCD">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0023156B" w:rsidRPr="003B1A08">
        <w:rPr>
          <w:rFonts w:cs="Arial"/>
          <w:noProof/>
          <w:sz w:val="28"/>
          <w:szCs w:val="28"/>
          <w:lang w:eastAsia="en-AU"/>
        </w:rPr>
        <w:tab/>
      </w:r>
      <w:r w:rsidR="0023156B">
        <w:rPr>
          <w:rFonts w:cs="Arial"/>
          <w:noProof/>
          <w:sz w:val="28"/>
          <w:szCs w:val="28"/>
          <w:lang w:eastAsia="en-AU"/>
        </w:rPr>
        <w:t xml:space="preserve">      </w:t>
      </w:r>
      <w:r w:rsidR="0023156B" w:rsidRPr="003B1A08">
        <w:rPr>
          <w:rFonts w:cs="Arial"/>
          <w:sz w:val="28"/>
          <w:szCs w:val="28"/>
        </w:rPr>
        <w:t>Australian Capital Territory Remuneration Tribunal</w:t>
      </w:r>
    </w:p>
    <w:p w14:paraId="7200FF02" w14:textId="590B41CE" w:rsidR="00C953C3" w:rsidRPr="008879E2" w:rsidRDefault="00C953C3" w:rsidP="00C953C3">
      <w:pPr>
        <w:pStyle w:val="Heading1"/>
        <w:rPr>
          <w:color w:val="000000" w:themeColor="text1"/>
        </w:rPr>
      </w:pPr>
      <w:r w:rsidRPr="008879E2">
        <w:rPr>
          <w:color w:val="000000" w:themeColor="text1"/>
        </w:rPr>
        <w:t xml:space="preserve">Determination </w:t>
      </w:r>
      <w:r w:rsidR="00116DF4" w:rsidRPr="008879E2">
        <w:rPr>
          <w:color w:val="000000" w:themeColor="text1"/>
        </w:rPr>
        <w:t>13</w:t>
      </w:r>
      <w:r w:rsidR="00846EC5" w:rsidRPr="008879E2">
        <w:rPr>
          <w:color w:val="000000" w:themeColor="text1"/>
        </w:rPr>
        <w:t xml:space="preserve"> </w:t>
      </w:r>
      <w:r w:rsidR="00C4163B" w:rsidRPr="008879E2">
        <w:rPr>
          <w:color w:val="000000" w:themeColor="text1"/>
        </w:rPr>
        <w:t xml:space="preserve">of </w:t>
      </w:r>
      <w:r w:rsidR="00813DE0" w:rsidRPr="008879E2">
        <w:rPr>
          <w:color w:val="000000" w:themeColor="text1"/>
        </w:rPr>
        <w:t>2019</w:t>
      </w:r>
      <w:r w:rsidR="001026C3" w:rsidRPr="008879E2">
        <w:rPr>
          <w:color w:val="000000" w:themeColor="text1"/>
        </w:rPr>
        <w:t xml:space="preserve"> </w:t>
      </w:r>
      <w:r w:rsidR="00AA35D7" w:rsidRPr="008879E2">
        <w:rPr>
          <w:color w:val="000000" w:themeColor="text1"/>
        </w:rPr>
        <w:t xml:space="preserve"> </w:t>
      </w:r>
      <w:r w:rsidR="00B25071" w:rsidRPr="008879E2">
        <w:rPr>
          <w:color w:val="000000" w:themeColor="text1"/>
        </w:rPr>
        <w:t xml:space="preserve"> </w:t>
      </w:r>
    </w:p>
    <w:p w14:paraId="2B43EB6F" w14:textId="77777777" w:rsidR="0023156B" w:rsidRPr="003B1A08" w:rsidRDefault="0023156B" w:rsidP="0023156B">
      <w:pPr>
        <w:pStyle w:val="Heading1"/>
      </w:pPr>
      <w:r>
        <w:t xml:space="preserve">Part-time </w:t>
      </w:r>
      <w:r w:rsidR="00DC5E9B">
        <w:t>Public</w:t>
      </w:r>
      <w:r>
        <w:t xml:space="preserve"> Office Holders </w:t>
      </w:r>
    </w:p>
    <w:p w14:paraId="67ABD6F7" w14:textId="77777777" w:rsidR="0023156B" w:rsidRPr="003B1A08" w:rsidRDefault="0023156B" w:rsidP="005B6ADD">
      <w:r w:rsidRPr="003B1A08">
        <w:t xml:space="preserve">made under the </w:t>
      </w:r>
    </w:p>
    <w:p w14:paraId="4662B32C" w14:textId="77777777" w:rsidR="00351FF2" w:rsidRPr="000D1005" w:rsidRDefault="00351FF2" w:rsidP="00351FF2">
      <w:pPr>
        <w:rPr>
          <w:rFonts w:cs="Arial"/>
          <w:b/>
        </w:rPr>
      </w:pPr>
      <w:r w:rsidRPr="000D1005">
        <w:rPr>
          <w:rFonts w:cs="Arial"/>
          <w:b/>
        </w:rPr>
        <w:t>Remuneration Tribunal Act 1995</w:t>
      </w:r>
      <w:r>
        <w:rPr>
          <w:rFonts w:cs="Arial"/>
          <w:b/>
        </w:rPr>
        <w:t>, section 10 (Inquiries about holders of certain positions)</w:t>
      </w:r>
    </w:p>
    <w:p w14:paraId="538078F9" w14:textId="3032217E" w:rsidR="0023156B" w:rsidRPr="003B1A08" w:rsidRDefault="0023156B" w:rsidP="00351FF2">
      <w:pPr>
        <w:pStyle w:val="Heading1"/>
      </w:pPr>
      <w:r w:rsidRPr="003B1A08">
        <w:t>AC</w:t>
      </w:r>
      <w:r>
        <w:t>C</w:t>
      </w:r>
      <w:r w:rsidRPr="003B1A08">
        <w:t>OMPANYING STATEMENT</w:t>
      </w:r>
      <w:r w:rsidR="00867590">
        <w:t xml:space="preserve">  </w:t>
      </w:r>
    </w:p>
    <w:p w14:paraId="02ADC812" w14:textId="77777777" w:rsidR="0023156B" w:rsidRPr="003B1A08" w:rsidRDefault="0023156B" w:rsidP="00793B65">
      <w:pPr>
        <w:pStyle w:val="N-line3"/>
        <w:pBdr>
          <w:top w:val="single" w:sz="12" w:space="1" w:color="auto"/>
          <w:bottom w:val="none" w:sz="0" w:space="0" w:color="auto"/>
        </w:pBdr>
        <w:spacing w:before="120" w:after="60"/>
      </w:pPr>
    </w:p>
    <w:p w14:paraId="1246BCDD" w14:textId="77777777" w:rsidR="00376D1F" w:rsidRPr="00351FF2" w:rsidRDefault="00376D1F" w:rsidP="00376D1F">
      <w:pPr>
        <w:pStyle w:val="Heading3"/>
        <w:numPr>
          <w:ilvl w:val="0"/>
          <w:numId w:val="0"/>
        </w:numPr>
        <w:spacing w:before="120"/>
        <w:ind w:left="720" w:hanging="720"/>
        <w:rPr>
          <w:szCs w:val="24"/>
        </w:rPr>
      </w:pPr>
      <w:r w:rsidRPr="00351FF2">
        <w:rPr>
          <w:szCs w:val="24"/>
        </w:rPr>
        <w:t xml:space="preserve">Background </w:t>
      </w:r>
    </w:p>
    <w:p w14:paraId="3EC824E1" w14:textId="1CE93E4B" w:rsidR="00376D1F" w:rsidRPr="007E4C79" w:rsidRDefault="00376D1F" w:rsidP="00376D1F">
      <w:pPr>
        <w:spacing w:before="120" w:after="60"/>
        <w:rPr>
          <w:color w:val="000000" w:themeColor="text1"/>
        </w:rPr>
      </w:pPr>
      <w:r w:rsidRPr="002F0FAE">
        <w:t xml:space="preserve">Section 10 of the Remuneration Tribunal Act 1995 (the Act) provides for the Remuneration Tribunal (the Tribunal) to inquire into and determine the remuneration, allowances and other entitlements to be paid to a person holding a position or appointment mentioned in schedule 1 of the Act or specified in an instrument given to the Tribunal by the </w:t>
      </w:r>
      <w:r w:rsidRPr="007E4C79">
        <w:rPr>
          <w:color w:val="000000" w:themeColor="text1"/>
        </w:rPr>
        <w:t xml:space="preserve">Chief Minister. </w:t>
      </w:r>
    </w:p>
    <w:p w14:paraId="4E8B2D97" w14:textId="77777777" w:rsidR="00376D1F" w:rsidRPr="007E4C79" w:rsidRDefault="00376D1F" w:rsidP="00376D1F">
      <w:pPr>
        <w:pStyle w:val="Heading3"/>
        <w:numPr>
          <w:ilvl w:val="0"/>
          <w:numId w:val="0"/>
        </w:numPr>
        <w:spacing w:before="120"/>
        <w:ind w:left="720" w:hanging="720"/>
        <w:rPr>
          <w:color w:val="000000" w:themeColor="text1"/>
          <w:szCs w:val="24"/>
        </w:rPr>
      </w:pPr>
      <w:r w:rsidRPr="007E4C79">
        <w:rPr>
          <w:color w:val="000000" w:themeColor="text1"/>
          <w:szCs w:val="24"/>
        </w:rPr>
        <w:t xml:space="preserve">Considerations </w:t>
      </w:r>
    </w:p>
    <w:p w14:paraId="50BC7F70" w14:textId="5F714C06" w:rsidR="00F71FBA" w:rsidRPr="00DC4CE3" w:rsidRDefault="00F71FBA" w:rsidP="00F71FBA">
      <w:pPr>
        <w:spacing w:before="120" w:after="60"/>
        <w:rPr>
          <w:szCs w:val="24"/>
        </w:rPr>
      </w:pPr>
      <w:r w:rsidRPr="00DC4CE3">
        <w:t xml:space="preserve">The Tribunal’s 2019 review of remuneration and entitlements for part-time public office holders was advertised in August 2019. </w:t>
      </w:r>
      <w:r w:rsidRPr="00DC4CE3">
        <w:rPr>
          <w:szCs w:val="24"/>
        </w:rPr>
        <w:t xml:space="preserve">The Tribunal received submissions from the Aboriginal and Torres Strait Islander Elected Body, ACT Public Cemeteries Board, </w:t>
      </w:r>
      <w:r w:rsidR="00B353FA">
        <w:rPr>
          <w:szCs w:val="24"/>
        </w:rPr>
        <w:br/>
      </w:r>
      <w:r w:rsidRPr="00DC4CE3">
        <w:rPr>
          <w:szCs w:val="24"/>
        </w:rPr>
        <w:t xml:space="preserve">ACT Children and Young People Death Review Committee, Racing Appeals Tribunal, Radiation Council and the Sentence Administration Board. </w:t>
      </w:r>
      <w:r w:rsidR="00912464">
        <w:rPr>
          <w:szCs w:val="24"/>
        </w:rPr>
        <w:t xml:space="preserve">A Government Submission was also received form the Chief Minister. </w:t>
      </w:r>
    </w:p>
    <w:p w14:paraId="7D8C2EBC" w14:textId="49D69BC3" w:rsidR="00F71FBA" w:rsidRPr="00DC4CE3" w:rsidRDefault="00F71FBA" w:rsidP="00DC4CE3">
      <w:pPr>
        <w:spacing w:before="120" w:after="60"/>
        <w:rPr>
          <w:szCs w:val="24"/>
        </w:rPr>
      </w:pPr>
      <w:r w:rsidRPr="00DC4CE3">
        <w:rPr>
          <w:szCs w:val="24"/>
        </w:rPr>
        <w:t>In addition, the Tribunal received two referrals from the Chief Minister. One</w:t>
      </w:r>
      <w:r w:rsidR="00DC4CE3" w:rsidRPr="00DC4CE3">
        <w:rPr>
          <w:szCs w:val="24"/>
        </w:rPr>
        <w:t xml:space="preserve"> referral related</w:t>
      </w:r>
      <w:r w:rsidRPr="00DC4CE3">
        <w:rPr>
          <w:szCs w:val="24"/>
        </w:rPr>
        <w:t xml:space="preserve"> to </w:t>
      </w:r>
      <w:r w:rsidR="00DC4CE3" w:rsidRPr="00DC4CE3">
        <w:rPr>
          <w:szCs w:val="24"/>
        </w:rPr>
        <w:t xml:space="preserve">two members of the ACT Judicial Council that are appointed by the Executive. The other referral related to a new board, the </w:t>
      </w:r>
      <w:r w:rsidRPr="00DC4CE3">
        <w:rPr>
          <w:szCs w:val="24"/>
        </w:rPr>
        <w:t>Major Projects Canberra Independent Advisory Boards</w:t>
      </w:r>
      <w:r w:rsidR="00DC4CE3" w:rsidRPr="00DC4CE3">
        <w:rPr>
          <w:szCs w:val="24"/>
        </w:rPr>
        <w:t>.</w:t>
      </w:r>
    </w:p>
    <w:p w14:paraId="6897977E" w14:textId="1EC56602" w:rsidR="00F71FBA" w:rsidRDefault="00F71FBA" w:rsidP="00F71FBA">
      <w:pPr>
        <w:spacing w:before="120" w:after="60"/>
      </w:pPr>
      <w:r>
        <w:t>The Tribunal met on 21-22 October 2019 and this determination sets out the Tribunal’s decision</w:t>
      </w:r>
      <w:r w:rsidR="00B353FA">
        <w:t>s</w:t>
      </w:r>
      <w:r>
        <w:t xml:space="preserve"> following the review. Treasury officials provided a comprehensive briefing to the Tribunal on the prevailing economic circumstances for 2019 and forecasts for the coming years.</w:t>
      </w:r>
    </w:p>
    <w:p w14:paraId="3ECAA6DC" w14:textId="5B269D70" w:rsidR="00DC4CE3" w:rsidRPr="0077128F" w:rsidRDefault="00DC4CE3" w:rsidP="00B45C09">
      <w:pPr>
        <w:spacing w:before="120" w:after="60"/>
        <w:rPr>
          <w:color w:val="FF0000"/>
          <w:szCs w:val="24"/>
        </w:rPr>
      </w:pPr>
      <w:r w:rsidRPr="00912464">
        <w:rPr>
          <w:szCs w:val="24"/>
        </w:rPr>
        <w:t xml:space="preserve">The Tribunal met with the </w:t>
      </w:r>
      <w:r w:rsidR="00B353FA">
        <w:rPr>
          <w:szCs w:val="24"/>
        </w:rPr>
        <w:t>C</w:t>
      </w:r>
      <w:r w:rsidRPr="00912464">
        <w:rPr>
          <w:szCs w:val="24"/>
        </w:rPr>
        <w:t xml:space="preserve">hair of the Aboriginal and Torres Strait Islander Elected Body, the Chair of the ACT Public Cemeteries Board, the Chair of the Racing Appeals Tribunal, </w:t>
      </w:r>
      <w:r w:rsidR="00912464" w:rsidRPr="00912464">
        <w:rPr>
          <w:szCs w:val="24"/>
        </w:rPr>
        <w:t xml:space="preserve">the Deputy Chair of the </w:t>
      </w:r>
      <w:r w:rsidRPr="00912464">
        <w:rPr>
          <w:szCs w:val="24"/>
        </w:rPr>
        <w:t>Radiation Council and the</w:t>
      </w:r>
      <w:r w:rsidR="00912464" w:rsidRPr="00912464">
        <w:rPr>
          <w:szCs w:val="24"/>
        </w:rPr>
        <w:t xml:space="preserve"> Chair and Deputy Chair of the </w:t>
      </w:r>
      <w:r w:rsidRPr="00912464">
        <w:rPr>
          <w:szCs w:val="24"/>
        </w:rPr>
        <w:t>Sentence Administration Board</w:t>
      </w:r>
      <w:r w:rsidR="00912464" w:rsidRPr="00912464">
        <w:rPr>
          <w:szCs w:val="24"/>
        </w:rPr>
        <w:t>. The Tribunal also had discussions with the Chief Minster and the relevant ACT Government directorate officials in relation to the above entities from whom submissions were received.</w:t>
      </w:r>
      <w:r w:rsidR="0077128F">
        <w:rPr>
          <w:szCs w:val="24"/>
        </w:rPr>
        <w:t xml:space="preserve"> </w:t>
      </w:r>
    </w:p>
    <w:p w14:paraId="6FA27BE9" w14:textId="73D6E4B3" w:rsidR="00912464" w:rsidRDefault="00912464" w:rsidP="00F71FBA">
      <w:pPr>
        <w:spacing w:before="120" w:after="60"/>
        <w:rPr>
          <w:szCs w:val="24"/>
        </w:rPr>
      </w:pPr>
      <w:r>
        <w:rPr>
          <w:szCs w:val="24"/>
        </w:rPr>
        <w:lastRenderedPageBreak/>
        <w:t>In making its decision, the Tribunal considered the l</w:t>
      </w:r>
      <w:r w:rsidRPr="00912464">
        <w:rPr>
          <w:szCs w:val="24"/>
        </w:rPr>
        <w:t>evel of responsibility and the type of work</w:t>
      </w:r>
      <w:r>
        <w:rPr>
          <w:szCs w:val="24"/>
        </w:rPr>
        <w:t xml:space="preserve"> </w:t>
      </w:r>
      <w:r w:rsidRPr="00912464">
        <w:rPr>
          <w:szCs w:val="24"/>
        </w:rPr>
        <w:t>performed</w:t>
      </w:r>
      <w:r>
        <w:rPr>
          <w:szCs w:val="24"/>
        </w:rPr>
        <w:t xml:space="preserve"> by office holders, their </w:t>
      </w:r>
      <w:r w:rsidRPr="00912464">
        <w:rPr>
          <w:szCs w:val="24"/>
        </w:rPr>
        <w:t>impact on the ACT community</w:t>
      </w:r>
      <w:r>
        <w:rPr>
          <w:szCs w:val="24"/>
        </w:rPr>
        <w:t xml:space="preserve"> and levels of remuneration and other entitlements for similar roles in other states or territories. </w:t>
      </w:r>
    </w:p>
    <w:p w14:paraId="36E7EA58" w14:textId="54186F33" w:rsidR="00F71FBA" w:rsidRPr="006D251E" w:rsidRDefault="00F71FBA" w:rsidP="00F71FBA">
      <w:pPr>
        <w:spacing w:before="120" w:after="60"/>
      </w:pPr>
      <w:r w:rsidRPr="006D251E">
        <w:rPr>
          <w:szCs w:val="24"/>
        </w:rPr>
        <w:t xml:space="preserve">In considering the level of increase, the Tribunal has had regard to a range of economic factors and the previous increases applied to </w:t>
      </w:r>
      <w:r>
        <w:rPr>
          <w:szCs w:val="24"/>
        </w:rPr>
        <w:t xml:space="preserve">part-time public officer holders and other </w:t>
      </w:r>
      <w:r w:rsidRPr="006D251E">
        <w:rPr>
          <w:szCs w:val="24"/>
        </w:rPr>
        <w:t>statutory officer holders within the Tribunal’s jurisdiction. The Tribunal</w:t>
      </w:r>
      <w:r>
        <w:rPr>
          <w:szCs w:val="24"/>
        </w:rPr>
        <w:t xml:space="preserve"> </w:t>
      </w:r>
      <w:r w:rsidR="00912464">
        <w:rPr>
          <w:szCs w:val="24"/>
        </w:rPr>
        <w:t xml:space="preserve">also </w:t>
      </w:r>
      <w:r>
        <w:rPr>
          <w:szCs w:val="24"/>
        </w:rPr>
        <w:t xml:space="preserve">noted the </w:t>
      </w:r>
      <w:r w:rsidRPr="006D251E">
        <w:t>Government’s election commitment to ensure that public officials continue to see their wages increase at a rate equivalent to the Consumer Price Index.</w:t>
      </w:r>
    </w:p>
    <w:p w14:paraId="1C140A4B" w14:textId="77777777" w:rsidR="00376D1F" w:rsidRPr="007E4C79" w:rsidRDefault="00376D1F" w:rsidP="00376D1F">
      <w:pPr>
        <w:pStyle w:val="Heading3"/>
        <w:numPr>
          <w:ilvl w:val="0"/>
          <w:numId w:val="0"/>
        </w:numPr>
        <w:spacing w:before="120"/>
        <w:ind w:left="720" w:hanging="720"/>
        <w:rPr>
          <w:color w:val="000000" w:themeColor="text1"/>
          <w:szCs w:val="24"/>
        </w:rPr>
      </w:pPr>
      <w:r w:rsidRPr="007E4C79">
        <w:rPr>
          <w:color w:val="000000" w:themeColor="text1"/>
          <w:szCs w:val="24"/>
        </w:rPr>
        <w:t xml:space="preserve">Decision </w:t>
      </w:r>
    </w:p>
    <w:p w14:paraId="70C05CBE" w14:textId="37175DA2" w:rsidR="001672DB" w:rsidRPr="00F71FBA" w:rsidRDefault="001672DB" w:rsidP="00DC4CE3">
      <w:pPr>
        <w:spacing w:before="120" w:after="60"/>
        <w:rPr>
          <w:u w:val="single"/>
        </w:rPr>
      </w:pPr>
      <w:r w:rsidRPr="00F71FBA">
        <w:rPr>
          <w:u w:val="single"/>
        </w:rPr>
        <w:t>ACT Judicial Council</w:t>
      </w:r>
    </w:p>
    <w:p w14:paraId="166FE02D" w14:textId="3D509F87" w:rsidR="001672DB" w:rsidRPr="00F71FBA" w:rsidRDefault="001672DB" w:rsidP="0006071F">
      <w:r w:rsidRPr="00F71FBA">
        <w:t xml:space="preserve">The Tribunal decided that the Legal Practitioner </w:t>
      </w:r>
      <w:r w:rsidR="00B353FA">
        <w:t xml:space="preserve">and </w:t>
      </w:r>
      <w:r w:rsidR="00B353FA" w:rsidRPr="00F71FBA">
        <w:t xml:space="preserve">Community Representative </w:t>
      </w:r>
      <w:r w:rsidRPr="00F71FBA">
        <w:t>be remunerated at $</w:t>
      </w:r>
      <w:r w:rsidR="00B353FA">
        <w:t>780</w:t>
      </w:r>
      <w:r w:rsidRPr="00F71FBA">
        <w:t xml:space="preserve"> per diem </w:t>
      </w:r>
      <w:r w:rsidR="00B353FA">
        <w:t>from 1 November 2019</w:t>
      </w:r>
      <w:r w:rsidRPr="00F71FBA">
        <w:t xml:space="preserve">. </w:t>
      </w:r>
    </w:p>
    <w:p w14:paraId="65922C1B" w14:textId="77777777" w:rsidR="001672DB" w:rsidRPr="00F71FBA" w:rsidRDefault="001672DB" w:rsidP="0006071F"/>
    <w:p w14:paraId="4EEB7955" w14:textId="37761B11" w:rsidR="001672DB" w:rsidRPr="00F71FBA" w:rsidRDefault="001672DB" w:rsidP="0006071F">
      <w:pPr>
        <w:rPr>
          <w:u w:val="single"/>
        </w:rPr>
      </w:pPr>
      <w:r w:rsidRPr="00F71FBA">
        <w:rPr>
          <w:u w:val="single"/>
        </w:rPr>
        <w:t>Major Projects Canberra Independent Advisory Boards</w:t>
      </w:r>
    </w:p>
    <w:p w14:paraId="48F91E89" w14:textId="70BD5BEE" w:rsidR="001672DB" w:rsidRPr="00C50EE1" w:rsidRDefault="004D1E14" w:rsidP="0006071F">
      <w:pPr>
        <w:rPr>
          <w:color w:val="000000" w:themeColor="text1"/>
        </w:rPr>
      </w:pPr>
      <w:r w:rsidRPr="00F71FBA">
        <w:t xml:space="preserve">The </w:t>
      </w:r>
      <w:r w:rsidRPr="00C50EE1">
        <w:rPr>
          <w:color w:val="000000" w:themeColor="text1"/>
        </w:rPr>
        <w:t xml:space="preserve">Tribunal decided that the Major Projects Canberra Independent Advisory Board Chair will be remunerated at $81,090 per annum and a Member at $48,665 per annum.  </w:t>
      </w:r>
    </w:p>
    <w:p w14:paraId="6D5283A6" w14:textId="77777777" w:rsidR="004D1E14" w:rsidRPr="00C50EE1" w:rsidRDefault="004D1E14" w:rsidP="0006071F">
      <w:pPr>
        <w:rPr>
          <w:color w:val="000000" w:themeColor="text1"/>
        </w:rPr>
      </w:pPr>
    </w:p>
    <w:p w14:paraId="3E7E648A" w14:textId="10463733" w:rsidR="0006071F" w:rsidRPr="00C50EE1" w:rsidRDefault="0006071F" w:rsidP="0006071F">
      <w:pPr>
        <w:rPr>
          <w:color w:val="000000" w:themeColor="text1"/>
          <w:u w:val="single"/>
        </w:rPr>
      </w:pPr>
      <w:r w:rsidRPr="00C50EE1">
        <w:rPr>
          <w:color w:val="000000" w:themeColor="text1"/>
          <w:u w:val="single"/>
        </w:rPr>
        <w:t>Aboriginal and Torres Strait Islander Elected Body</w:t>
      </w:r>
    </w:p>
    <w:p w14:paraId="09195487" w14:textId="54F7AB8A" w:rsidR="00A90FBE" w:rsidRPr="00C50EE1" w:rsidRDefault="0077128F" w:rsidP="005D12E8">
      <w:pPr>
        <w:rPr>
          <w:color w:val="000000" w:themeColor="text1"/>
          <w:szCs w:val="24"/>
        </w:rPr>
      </w:pPr>
      <w:r w:rsidRPr="00C50EE1">
        <w:rPr>
          <w:color w:val="000000" w:themeColor="text1"/>
          <w:szCs w:val="24"/>
        </w:rPr>
        <w:t xml:space="preserve">The Tribunal noted the statutory review of the Aboriginal and Torres Strait Islander Elected Body Act 2008 in 2015 and subsequent legislative amendment to the Act in 2017, which extended the functions of the </w:t>
      </w:r>
      <w:r w:rsidR="00386AE0" w:rsidRPr="00C50EE1">
        <w:rPr>
          <w:color w:val="000000" w:themeColor="text1"/>
          <w:szCs w:val="24"/>
        </w:rPr>
        <w:t>Elected Body</w:t>
      </w:r>
      <w:r w:rsidRPr="00C50EE1">
        <w:rPr>
          <w:color w:val="000000" w:themeColor="text1"/>
          <w:szCs w:val="24"/>
        </w:rPr>
        <w:t xml:space="preserve"> to formally establish the hearing process and to allow more comprehensive community and stakeholder engagement by the </w:t>
      </w:r>
      <w:r w:rsidR="00AE696C" w:rsidRPr="00C50EE1">
        <w:rPr>
          <w:color w:val="000000" w:themeColor="text1"/>
          <w:szCs w:val="24"/>
        </w:rPr>
        <w:t xml:space="preserve">Elected </w:t>
      </w:r>
      <w:r w:rsidRPr="00C50EE1">
        <w:rPr>
          <w:color w:val="000000" w:themeColor="text1"/>
          <w:szCs w:val="24"/>
        </w:rPr>
        <w:t>Bo</w:t>
      </w:r>
      <w:r w:rsidR="00386AE0" w:rsidRPr="00C50EE1">
        <w:rPr>
          <w:color w:val="000000" w:themeColor="text1"/>
          <w:szCs w:val="24"/>
        </w:rPr>
        <w:t>dy</w:t>
      </w:r>
      <w:r w:rsidRPr="00C50EE1">
        <w:rPr>
          <w:color w:val="000000" w:themeColor="text1"/>
          <w:szCs w:val="24"/>
        </w:rPr>
        <w:t xml:space="preserve">. </w:t>
      </w:r>
      <w:r w:rsidR="00AE696C" w:rsidRPr="00C50EE1">
        <w:rPr>
          <w:color w:val="000000" w:themeColor="text1"/>
          <w:szCs w:val="24"/>
        </w:rPr>
        <w:t xml:space="preserve">The Tribunal decided that there has been a significant increase in the work value and type of work being undertaken by the members of the Elected Body, particularly in relation to the Chair and Deputy Chair roles. </w:t>
      </w:r>
      <w:r w:rsidRPr="00C50EE1">
        <w:rPr>
          <w:color w:val="000000" w:themeColor="text1"/>
          <w:szCs w:val="24"/>
        </w:rPr>
        <w:t xml:space="preserve">The Tribunal decided to increase </w:t>
      </w:r>
      <w:r w:rsidR="00386AE0" w:rsidRPr="00C50EE1">
        <w:rPr>
          <w:color w:val="000000" w:themeColor="text1"/>
          <w:szCs w:val="24"/>
        </w:rPr>
        <w:t xml:space="preserve">the remuneration of the </w:t>
      </w:r>
      <w:r w:rsidR="00AE696C" w:rsidRPr="00C50EE1">
        <w:rPr>
          <w:color w:val="000000" w:themeColor="text1"/>
          <w:szCs w:val="24"/>
        </w:rPr>
        <w:t>C</w:t>
      </w:r>
      <w:r w:rsidR="00386AE0" w:rsidRPr="00C50EE1">
        <w:rPr>
          <w:color w:val="000000" w:themeColor="text1"/>
          <w:szCs w:val="24"/>
        </w:rPr>
        <w:t xml:space="preserve">hair to $32,745 per annum, the </w:t>
      </w:r>
      <w:r w:rsidR="00AE696C" w:rsidRPr="00C50EE1">
        <w:rPr>
          <w:color w:val="000000" w:themeColor="text1"/>
          <w:szCs w:val="24"/>
        </w:rPr>
        <w:t>D</w:t>
      </w:r>
      <w:r w:rsidR="00386AE0" w:rsidRPr="00C50EE1">
        <w:rPr>
          <w:color w:val="000000" w:themeColor="text1"/>
          <w:szCs w:val="24"/>
        </w:rPr>
        <w:t xml:space="preserve">eputy </w:t>
      </w:r>
      <w:r w:rsidR="00AE696C" w:rsidRPr="00C50EE1">
        <w:rPr>
          <w:color w:val="000000" w:themeColor="text1"/>
          <w:szCs w:val="24"/>
        </w:rPr>
        <w:t>C</w:t>
      </w:r>
      <w:r w:rsidR="00386AE0" w:rsidRPr="00C50EE1">
        <w:rPr>
          <w:color w:val="000000" w:themeColor="text1"/>
          <w:szCs w:val="24"/>
        </w:rPr>
        <w:t xml:space="preserve">hair to $26,205 and </w:t>
      </w:r>
      <w:r w:rsidR="00AE696C" w:rsidRPr="00C50EE1">
        <w:rPr>
          <w:color w:val="000000" w:themeColor="text1"/>
          <w:szCs w:val="24"/>
        </w:rPr>
        <w:t>M</w:t>
      </w:r>
      <w:r w:rsidR="00386AE0" w:rsidRPr="00C50EE1">
        <w:rPr>
          <w:color w:val="000000" w:themeColor="text1"/>
          <w:szCs w:val="24"/>
        </w:rPr>
        <w:t>embers to $17,385.</w:t>
      </w:r>
    </w:p>
    <w:p w14:paraId="6FA372C0" w14:textId="77777777" w:rsidR="0077128F" w:rsidRPr="00C50EE1" w:rsidRDefault="0077128F" w:rsidP="005D12E8">
      <w:pPr>
        <w:rPr>
          <w:color w:val="000000" w:themeColor="text1"/>
          <w:szCs w:val="24"/>
        </w:rPr>
      </w:pPr>
    </w:p>
    <w:p w14:paraId="6980F61B" w14:textId="5EF7D85E" w:rsidR="0006071F" w:rsidRPr="00F71FBA" w:rsidRDefault="0006071F" w:rsidP="005D12E8">
      <w:pPr>
        <w:rPr>
          <w:szCs w:val="24"/>
          <w:u w:val="single"/>
        </w:rPr>
      </w:pPr>
      <w:r w:rsidRPr="00C50EE1">
        <w:rPr>
          <w:color w:val="000000" w:themeColor="text1"/>
          <w:szCs w:val="24"/>
          <w:u w:val="single"/>
        </w:rPr>
        <w:t xml:space="preserve">ACT Public Cemeteries </w:t>
      </w:r>
      <w:r w:rsidRPr="00F71FBA">
        <w:rPr>
          <w:szCs w:val="24"/>
          <w:u w:val="single"/>
        </w:rPr>
        <w:t>Board</w:t>
      </w:r>
    </w:p>
    <w:p w14:paraId="73A5F989" w14:textId="7218058D" w:rsidR="008A223F" w:rsidRPr="00F71FBA" w:rsidRDefault="008A223F" w:rsidP="005D12E8">
      <w:pPr>
        <w:rPr>
          <w:szCs w:val="24"/>
        </w:rPr>
      </w:pPr>
      <w:r w:rsidRPr="00F71FBA">
        <w:rPr>
          <w:szCs w:val="24"/>
        </w:rPr>
        <w:t xml:space="preserve">The Tribunal </w:t>
      </w:r>
      <w:r w:rsidR="00F71FBA" w:rsidRPr="00F71FBA">
        <w:rPr>
          <w:szCs w:val="24"/>
        </w:rPr>
        <w:t xml:space="preserve">decided </w:t>
      </w:r>
      <w:r w:rsidRPr="00F71FBA">
        <w:rPr>
          <w:szCs w:val="24"/>
        </w:rPr>
        <w:t xml:space="preserve">to increase the per diem remuneration to $590 for the Chair and $510 for members. </w:t>
      </w:r>
    </w:p>
    <w:p w14:paraId="20339B78" w14:textId="77777777" w:rsidR="008A223F" w:rsidRDefault="008A223F" w:rsidP="005D12E8">
      <w:pPr>
        <w:rPr>
          <w:color w:val="FF0000"/>
          <w:szCs w:val="24"/>
          <w:u w:val="single"/>
        </w:rPr>
      </w:pPr>
    </w:p>
    <w:p w14:paraId="34484A40" w14:textId="31C4B6A4" w:rsidR="0006071F" w:rsidRPr="00912464" w:rsidRDefault="0006071F" w:rsidP="005D12E8">
      <w:pPr>
        <w:rPr>
          <w:szCs w:val="24"/>
          <w:u w:val="single"/>
        </w:rPr>
      </w:pPr>
      <w:r w:rsidRPr="00912464">
        <w:rPr>
          <w:szCs w:val="24"/>
          <w:u w:val="single"/>
        </w:rPr>
        <w:t xml:space="preserve">Racing Appeals Tribunal </w:t>
      </w:r>
    </w:p>
    <w:p w14:paraId="50D81029" w14:textId="13977EE8" w:rsidR="00CE3130" w:rsidRPr="00912464" w:rsidRDefault="00CE3130" w:rsidP="005D12E8">
      <w:pPr>
        <w:rPr>
          <w:szCs w:val="24"/>
        </w:rPr>
      </w:pPr>
      <w:r w:rsidRPr="00912464">
        <w:rPr>
          <w:szCs w:val="24"/>
        </w:rPr>
        <w:t xml:space="preserve">The Tribunal </w:t>
      </w:r>
      <w:r w:rsidR="00DC4CE3" w:rsidRPr="00912464">
        <w:rPr>
          <w:szCs w:val="24"/>
        </w:rPr>
        <w:t xml:space="preserve">decided to </w:t>
      </w:r>
      <w:r w:rsidRPr="00912464">
        <w:rPr>
          <w:szCs w:val="24"/>
        </w:rPr>
        <w:t xml:space="preserve">increase the </w:t>
      </w:r>
      <w:r w:rsidR="001A2790" w:rsidRPr="00912464">
        <w:rPr>
          <w:szCs w:val="24"/>
        </w:rPr>
        <w:t xml:space="preserve">per diem remuneration for an ordinary member </w:t>
      </w:r>
      <w:r w:rsidR="00DC4CE3" w:rsidRPr="00912464">
        <w:rPr>
          <w:szCs w:val="24"/>
        </w:rPr>
        <w:t xml:space="preserve">of the Racing Appeals Tribunal </w:t>
      </w:r>
      <w:r w:rsidR="001A2790" w:rsidRPr="00912464">
        <w:rPr>
          <w:szCs w:val="24"/>
        </w:rPr>
        <w:t>to $</w:t>
      </w:r>
      <w:r w:rsidR="00B353FA">
        <w:rPr>
          <w:szCs w:val="24"/>
        </w:rPr>
        <w:t>525 per diem and to adjust the rate of the assessor accordingly so that they</w:t>
      </w:r>
      <w:r w:rsidR="006D37CB">
        <w:rPr>
          <w:szCs w:val="24"/>
        </w:rPr>
        <w:t xml:space="preserve"> continue to be remunerated at the same rate applied to a member. </w:t>
      </w:r>
    </w:p>
    <w:p w14:paraId="61B10D40" w14:textId="77777777" w:rsidR="00DC4CE3" w:rsidRPr="00912464" w:rsidRDefault="00DC4CE3" w:rsidP="005D12E8">
      <w:pPr>
        <w:rPr>
          <w:szCs w:val="24"/>
        </w:rPr>
      </w:pPr>
    </w:p>
    <w:p w14:paraId="0108D2EE" w14:textId="77777777" w:rsidR="003E61EE" w:rsidRPr="00F71FBA" w:rsidRDefault="003E61EE" w:rsidP="003E61EE">
      <w:pPr>
        <w:rPr>
          <w:szCs w:val="24"/>
          <w:u w:val="single"/>
        </w:rPr>
      </w:pPr>
      <w:r>
        <w:rPr>
          <w:szCs w:val="24"/>
          <w:u w:val="single"/>
        </w:rPr>
        <w:t>Radiation Council</w:t>
      </w:r>
    </w:p>
    <w:p w14:paraId="4A90B4E6" w14:textId="77777777" w:rsidR="003E61EE" w:rsidRDefault="003E61EE" w:rsidP="003E61EE">
      <w:pPr>
        <w:rPr>
          <w:szCs w:val="24"/>
        </w:rPr>
      </w:pPr>
      <w:r w:rsidRPr="00F71FBA">
        <w:rPr>
          <w:szCs w:val="24"/>
        </w:rPr>
        <w:t xml:space="preserve">The Tribunal decided to increase the per diem remuneration </w:t>
      </w:r>
      <w:r>
        <w:rPr>
          <w:szCs w:val="24"/>
        </w:rPr>
        <w:t>for the Chair and members by 2.5%</w:t>
      </w:r>
      <w:r w:rsidRPr="00F71FBA">
        <w:rPr>
          <w:szCs w:val="24"/>
        </w:rPr>
        <w:t xml:space="preserve">. </w:t>
      </w:r>
    </w:p>
    <w:p w14:paraId="2C78BD7D" w14:textId="77777777" w:rsidR="003E61EE" w:rsidRPr="00F71FBA" w:rsidRDefault="003E61EE" w:rsidP="003E61EE">
      <w:pPr>
        <w:rPr>
          <w:szCs w:val="24"/>
        </w:rPr>
      </w:pPr>
    </w:p>
    <w:p w14:paraId="2F0A32DD" w14:textId="77777777" w:rsidR="003E61EE" w:rsidRPr="00F71FBA" w:rsidRDefault="003E61EE" w:rsidP="003E61EE">
      <w:pPr>
        <w:rPr>
          <w:szCs w:val="24"/>
          <w:u w:val="single"/>
        </w:rPr>
      </w:pPr>
      <w:r>
        <w:rPr>
          <w:szCs w:val="24"/>
          <w:u w:val="single"/>
        </w:rPr>
        <w:t>Sentence Administration Board</w:t>
      </w:r>
    </w:p>
    <w:p w14:paraId="354E0295" w14:textId="64FFEF65" w:rsidR="003E61EE" w:rsidRDefault="00863902" w:rsidP="00863902">
      <w:pPr>
        <w:ind w:right="-45"/>
        <w:rPr>
          <w:szCs w:val="24"/>
        </w:rPr>
      </w:pPr>
      <w:r w:rsidRPr="00F71FBA">
        <w:rPr>
          <w:szCs w:val="24"/>
        </w:rPr>
        <w:t xml:space="preserve">The Tribunal decided to increase the remuneration </w:t>
      </w:r>
      <w:r>
        <w:rPr>
          <w:szCs w:val="24"/>
        </w:rPr>
        <w:t>for the Chair, Deputy Chair and Members by 2.5%</w:t>
      </w:r>
      <w:r w:rsidR="003E61EE" w:rsidRPr="006D3724">
        <w:rPr>
          <w:szCs w:val="24"/>
        </w:rPr>
        <w:t xml:space="preserve"> not</w:t>
      </w:r>
      <w:r>
        <w:rPr>
          <w:szCs w:val="24"/>
        </w:rPr>
        <w:t>ing</w:t>
      </w:r>
      <w:r w:rsidR="003E61EE" w:rsidRPr="006D3724">
        <w:rPr>
          <w:szCs w:val="24"/>
        </w:rPr>
        <w:t xml:space="preserve"> that the question of an appropriate level </w:t>
      </w:r>
      <w:r>
        <w:rPr>
          <w:szCs w:val="24"/>
        </w:rPr>
        <w:t xml:space="preserve">and type </w:t>
      </w:r>
      <w:r w:rsidR="003E61EE" w:rsidRPr="006D3724">
        <w:rPr>
          <w:szCs w:val="24"/>
        </w:rPr>
        <w:t xml:space="preserve">of remuneration for the Sentence Administration Board is one that requires further examination to determine whether it should be a per diem or annualised salary. </w:t>
      </w:r>
    </w:p>
    <w:p w14:paraId="1FCB21F9" w14:textId="77777777" w:rsidR="00EF14E4" w:rsidRDefault="00EF14E4" w:rsidP="00EF14E4">
      <w:pPr>
        <w:rPr>
          <w:szCs w:val="24"/>
        </w:rPr>
      </w:pPr>
    </w:p>
    <w:p w14:paraId="5F7CF107" w14:textId="4C44026D" w:rsidR="00A90FBE" w:rsidRPr="00C50EE1" w:rsidRDefault="004D1E14" w:rsidP="005D12E8">
      <w:pPr>
        <w:rPr>
          <w:color w:val="000000" w:themeColor="text1"/>
          <w:szCs w:val="24"/>
        </w:rPr>
      </w:pPr>
      <w:r w:rsidRPr="00912464">
        <w:rPr>
          <w:szCs w:val="24"/>
        </w:rPr>
        <w:lastRenderedPageBreak/>
        <w:t xml:space="preserve">All other </w:t>
      </w:r>
      <w:r w:rsidRPr="00C50EE1">
        <w:rPr>
          <w:color w:val="000000" w:themeColor="text1"/>
          <w:szCs w:val="24"/>
        </w:rPr>
        <w:t>part-time public office holders will receive a 2.5% increase</w:t>
      </w:r>
      <w:r w:rsidR="0077128F" w:rsidRPr="00C50EE1">
        <w:rPr>
          <w:color w:val="000000" w:themeColor="text1"/>
          <w:szCs w:val="24"/>
        </w:rPr>
        <w:t xml:space="preserve"> and rounded </w:t>
      </w:r>
      <w:r w:rsidR="00386AE0" w:rsidRPr="00C50EE1">
        <w:rPr>
          <w:color w:val="000000" w:themeColor="text1"/>
          <w:szCs w:val="24"/>
        </w:rPr>
        <w:t xml:space="preserve">up </w:t>
      </w:r>
      <w:r w:rsidR="0077128F" w:rsidRPr="00C50EE1">
        <w:rPr>
          <w:color w:val="000000" w:themeColor="text1"/>
          <w:szCs w:val="24"/>
        </w:rPr>
        <w:t>to the nearest $5</w:t>
      </w:r>
      <w:r w:rsidR="00DC4CE3" w:rsidRPr="00C50EE1">
        <w:rPr>
          <w:color w:val="000000" w:themeColor="text1"/>
          <w:szCs w:val="24"/>
        </w:rPr>
        <w:t xml:space="preserve">, effective from </w:t>
      </w:r>
      <w:r w:rsidR="00B353FA" w:rsidRPr="00C50EE1">
        <w:rPr>
          <w:color w:val="000000" w:themeColor="text1"/>
          <w:szCs w:val="24"/>
        </w:rPr>
        <w:t>1</w:t>
      </w:r>
      <w:r w:rsidR="00DC4CE3" w:rsidRPr="00C50EE1">
        <w:rPr>
          <w:color w:val="000000" w:themeColor="text1"/>
          <w:szCs w:val="24"/>
        </w:rPr>
        <w:t> </w:t>
      </w:r>
      <w:r w:rsidRPr="00C50EE1">
        <w:rPr>
          <w:color w:val="000000" w:themeColor="text1"/>
          <w:szCs w:val="24"/>
        </w:rPr>
        <w:t xml:space="preserve">November 2019. </w:t>
      </w:r>
    </w:p>
    <w:p w14:paraId="15CDE886" w14:textId="5EF9B701" w:rsidR="00DC4CE3" w:rsidRPr="00B353FA" w:rsidRDefault="00DC4CE3" w:rsidP="00DC4CE3">
      <w:pPr>
        <w:spacing w:before="120" w:after="60"/>
        <w:rPr>
          <w:color w:val="000000" w:themeColor="text1"/>
          <w:szCs w:val="24"/>
        </w:rPr>
      </w:pPr>
      <w:r w:rsidRPr="00C50EE1">
        <w:rPr>
          <w:color w:val="000000" w:themeColor="text1"/>
          <w:szCs w:val="24"/>
        </w:rPr>
        <w:t xml:space="preserve">The Tribunal also updated </w:t>
      </w:r>
      <w:r w:rsidRPr="00B353FA">
        <w:rPr>
          <w:color w:val="000000" w:themeColor="text1"/>
          <w:szCs w:val="24"/>
        </w:rPr>
        <w:t>the names of the following boards:</w:t>
      </w:r>
    </w:p>
    <w:p w14:paraId="175E26A3" w14:textId="4EB10E09" w:rsidR="00DC4CE3" w:rsidRPr="00B353FA" w:rsidRDefault="00DC4CE3" w:rsidP="00B353FA">
      <w:pPr>
        <w:pStyle w:val="ListParagraph"/>
        <w:numPr>
          <w:ilvl w:val="0"/>
          <w:numId w:val="22"/>
        </w:numPr>
        <w:spacing w:before="120" w:after="60"/>
        <w:rPr>
          <w:color w:val="000000" w:themeColor="text1"/>
          <w:sz w:val="24"/>
          <w:szCs w:val="24"/>
        </w:rPr>
      </w:pPr>
      <w:r w:rsidRPr="00B353FA">
        <w:rPr>
          <w:color w:val="000000" w:themeColor="text1"/>
          <w:sz w:val="24"/>
          <w:szCs w:val="24"/>
        </w:rPr>
        <w:t>Light Rail and Parkes Way Project is now the Light Rail Project Board; and</w:t>
      </w:r>
    </w:p>
    <w:p w14:paraId="11FCF969" w14:textId="6C05FFE5" w:rsidR="00DC4CE3" w:rsidRPr="00B353FA" w:rsidRDefault="00DC4CE3" w:rsidP="00B353FA">
      <w:pPr>
        <w:pStyle w:val="ListParagraph"/>
        <w:numPr>
          <w:ilvl w:val="0"/>
          <w:numId w:val="22"/>
        </w:numPr>
        <w:spacing w:before="120" w:after="60"/>
        <w:rPr>
          <w:color w:val="000000" w:themeColor="text1"/>
          <w:sz w:val="24"/>
          <w:szCs w:val="24"/>
        </w:rPr>
      </w:pPr>
      <w:r w:rsidRPr="00B353FA">
        <w:rPr>
          <w:color w:val="000000" w:themeColor="text1"/>
          <w:sz w:val="24"/>
          <w:szCs w:val="24"/>
        </w:rPr>
        <w:t>The Weeds Advisory Group is now the Invasive Plants Advisory Group.</w:t>
      </w:r>
    </w:p>
    <w:p w14:paraId="40E37C37" w14:textId="77777777" w:rsidR="00EF14E4" w:rsidRPr="00912464" w:rsidRDefault="00EF14E4" w:rsidP="005D12E8">
      <w:pPr>
        <w:rPr>
          <w:szCs w:val="24"/>
        </w:rPr>
      </w:pPr>
    </w:p>
    <w:p w14:paraId="56684822" w14:textId="03FB33C7" w:rsidR="00AE696C" w:rsidRDefault="00E074DF" w:rsidP="00A41965">
      <w:pPr>
        <w:ind w:left="360"/>
        <w:jc w:val="right"/>
        <w:rPr>
          <w:sz w:val="22"/>
          <w:szCs w:val="22"/>
        </w:rPr>
      </w:pPr>
      <w:r>
        <w:rPr>
          <w:szCs w:val="24"/>
        </w:rPr>
        <w:t>December</w:t>
      </w:r>
      <w:r w:rsidR="00EF5E10" w:rsidRPr="00912464">
        <w:rPr>
          <w:szCs w:val="24"/>
        </w:rPr>
        <w:t xml:space="preserve"> </w:t>
      </w:r>
      <w:r w:rsidR="00813DE0" w:rsidRPr="00912464">
        <w:rPr>
          <w:szCs w:val="24"/>
        </w:rPr>
        <w:t>2019</w:t>
      </w:r>
      <w:r w:rsidR="005E3C83" w:rsidRPr="00912464">
        <w:rPr>
          <w:sz w:val="22"/>
          <w:szCs w:val="22"/>
        </w:rPr>
        <w:t xml:space="preserve"> </w:t>
      </w:r>
    </w:p>
    <w:p w14:paraId="2150DB3D" w14:textId="77777777" w:rsidR="00AE696C" w:rsidRDefault="00AE696C" w:rsidP="00324AD4">
      <w:pPr>
        <w:rPr>
          <w:rFonts w:cs="Calibri"/>
          <w:color w:val="FF0000"/>
          <w:sz w:val="20"/>
          <w:vertAlign w:val="superscript"/>
        </w:rPr>
      </w:pPr>
    </w:p>
    <w:p w14:paraId="042DB14D" w14:textId="5CF0721C" w:rsidR="009F36AD" w:rsidRDefault="009F36AD" w:rsidP="00324AD4">
      <w:pPr>
        <w:rPr>
          <w:rFonts w:cs="Arial"/>
        </w:rPr>
      </w:pPr>
      <w:r>
        <w:rPr>
          <w:rFonts w:cs="Arial"/>
        </w:rPr>
        <w:br w:type="page"/>
      </w:r>
    </w:p>
    <w:bookmarkEnd w:id="0"/>
    <w:p w14:paraId="22C46C6E" w14:textId="77777777" w:rsidR="001F0EA2" w:rsidRDefault="001F0EA2" w:rsidP="001F0EA2">
      <w:pPr>
        <w:spacing w:before="120"/>
        <w:rPr>
          <w:rFonts w:cs="Arial"/>
        </w:rPr>
      </w:pPr>
    </w:p>
    <w:p w14:paraId="6480728E" w14:textId="77777777" w:rsidR="001F0EA2" w:rsidRPr="00D62589" w:rsidRDefault="001F0EA2" w:rsidP="001F0EA2">
      <w:pPr>
        <w:spacing w:before="120"/>
        <w:rPr>
          <w:rFonts w:cs="Arial"/>
          <w:sz w:val="28"/>
          <w:szCs w:val="28"/>
        </w:rPr>
      </w:pPr>
      <w:r>
        <w:rPr>
          <w:rFonts w:cs="Arial"/>
          <w:noProof/>
          <w:lang w:eastAsia="en-AU"/>
        </w:rPr>
        <w:drawing>
          <wp:inline distT="0" distB="0" distL="0" distR="0" wp14:anchorId="58E83464" wp14:editId="5F2EC255">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7671"/>
                    <a:stretch>
                      <a:fillRect/>
                    </a:stretch>
                  </pic:blipFill>
                  <pic:spPr bwMode="auto">
                    <a:xfrm>
                      <a:off x="0" y="0"/>
                      <a:ext cx="1019175" cy="923925"/>
                    </a:xfrm>
                    <a:prstGeom prst="rect">
                      <a:avLst/>
                    </a:prstGeom>
                    <a:noFill/>
                    <a:ln w="9525">
                      <a:noFill/>
                      <a:miter lim="800000"/>
                      <a:headEnd/>
                      <a:tailEnd/>
                    </a:ln>
                  </pic:spPr>
                </pic:pic>
              </a:graphicData>
            </a:graphic>
          </wp:inline>
        </w:drawing>
      </w:r>
      <w:r w:rsidRPr="00D62589">
        <w:rPr>
          <w:rFonts w:cs="Arial"/>
          <w:noProof/>
          <w:sz w:val="28"/>
          <w:szCs w:val="28"/>
          <w:lang w:eastAsia="en-AU"/>
        </w:rPr>
        <w:tab/>
        <w:t xml:space="preserve">      </w:t>
      </w:r>
      <w:r w:rsidRPr="00D62589">
        <w:rPr>
          <w:rFonts w:cs="Arial"/>
          <w:noProof/>
          <w:sz w:val="28"/>
          <w:szCs w:val="28"/>
          <w:lang w:eastAsia="en-AU"/>
        </w:rPr>
        <w:tab/>
        <w:t xml:space="preserve">    </w:t>
      </w:r>
      <w:r w:rsidRPr="00D62589">
        <w:rPr>
          <w:rFonts w:cs="Arial"/>
          <w:sz w:val="28"/>
          <w:szCs w:val="28"/>
        </w:rPr>
        <w:t>Australian Capital Territory Remuneration Tribunal</w:t>
      </w:r>
    </w:p>
    <w:p w14:paraId="2EB78D13" w14:textId="77777777" w:rsidR="001F0EA2" w:rsidRPr="00BC60C7" w:rsidRDefault="001F0EA2" w:rsidP="001F0EA2">
      <w:pPr>
        <w:pStyle w:val="Heading1"/>
      </w:pPr>
      <w:r w:rsidRPr="00BC60C7">
        <w:t xml:space="preserve">Part-time Public Office Holders </w:t>
      </w:r>
    </w:p>
    <w:p w14:paraId="52ABE36C" w14:textId="4A987358" w:rsidR="001F0EA2" w:rsidRPr="008879E2" w:rsidRDefault="001F0EA2" w:rsidP="001F0EA2">
      <w:pPr>
        <w:pStyle w:val="Heading1"/>
        <w:rPr>
          <w:color w:val="000000" w:themeColor="text1"/>
        </w:rPr>
      </w:pPr>
      <w:r w:rsidRPr="008879E2">
        <w:rPr>
          <w:color w:val="000000" w:themeColor="text1"/>
        </w:rPr>
        <w:t xml:space="preserve">Determination </w:t>
      </w:r>
      <w:r w:rsidR="00116DF4" w:rsidRPr="008879E2">
        <w:rPr>
          <w:color w:val="000000" w:themeColor="text1"/>
        </w:rPr>
        <w:t>13</w:t>
      </w:r>
      <w:r w:rsidR="00D568D6" w:rsidRPr="008879E2">
        <w:rPr>
          <w:color w:val="000000" w:themeColor="text1"/>
        </w:rPr>
        <w:t xml:space="preserve"> </w:t>
      </w:r>
      <w:r w:rsidRPr="008879E2">
        <w:rPr>
          <w:color w:val="000000" w:themeColor="text1"/>
        </w:rPr>
        <w:t>of 201</w:t>
      </w:r>
      <w:r w:rsidR="00813DE0" w:rsidRPr="008879E2">
        <w:rPr>
          <w:color w:val="000000" w:themeColor="text1"/>
        </w:rPr>
        <w:t>9</w:t>
      </w:r>
    </w:p>
    <w:p w14:paraId="2740980D" w14:textId="77777777" w:rsidR="001F0EA2" w:rsidRPr="00D62589" w:rsidRDefault="001F0EA2" w:rsidP="001F0EA2">
      <w:r w:rsidRPr="00D62589">
        <w:t xml:space="preserve">made under the </w:t>
      </w:r>
    </w:p>
    <w:p w14:paraId="74160130" w14:textId="77777777" w:rsidR="001F0EA2" w:rsidRPr="000D1005" w:rsidRDefault="001F0EA2" w:rsidP="001F0EA2">
      <w:pPr>
        <w:rPr>
          <w:rFonts w:cs="Arial"/>
          <w:b/>
        </w:rPr>
      </w:pPr>
      <w:r w:rsidRPr="000D1005">
        <w:rPr>
          <w:rFonts w:cs="Arial"/>
          <w:b/>
        </w:rPr>
        <w:t>Remuneration Tribunal Act 1995</w:t>
      </w:r>
      <w:r>
        <w:rPr>
          <w:rFonts w:cs="Arial"/>
          <w:b/>
        </w:rPr>
        <w:t>, section 10 (Inquiries about holders of certain positions)</w:t>
      </w:r>
    </w:p>
    <w:p w14:paraId="0B387FCF" w14:textId="77777777" w:rsidR="001F0EA2" w:rsidRPr="005B6ADD" w:rsidRDefault="001F0EA2" w:rsidP="001F0EA2">
      <w:pPr>
        <w:rPr>
          <w:rFonts w:cs="Arial"/>
          <w:b/>
        </w:rPr>
      </w:pPr>
    </w:p>
    <w:p w14:paraId="118BD4EF" w14:textId="77777777" w:rsidR="001F0EA2" w:rsidRPr="00D62589" w:rsidRDefault="001F0EA2" w:rsidP="001F0EA2">
      <w:pPr>
        <w:pStyle w:val="N-line3"/>
        <w:pBdr>
          <w:top w:val="single" w:sz="12" w:space="1" w:color="auto"/>
          <w:bottom w:val="none" w:sz="0" w:space="0" w:color="auto"/>
        </w:pBdr>
        <w:spacing w:before="120" w:after="60"/>
        <w:rPr>
          <w:szCs w:val="24"/>
        </w:rPr>
      </w:pPr>
    </w:p>
    <w:p w14:paraId="3C749929" w14:textId="77777777" w:rsidR="001F0EA2" w:rsidRPr="00294FE9" w:rsidRDefault="001F0EA2" w:rsidP="001F0EA2">
      <w:pPr>
        <w:pStyle w:val="Heading3"/>
        <w:tabs>
          <w:tab w:val="clear" w:pos="720"/>
        </w:tabs>
        <w:spacing w:before="120"/>
        <w:ind w:left="709" w:hanging="709"/>
        <w:rPr>
          <w:rFonts w:cs="Arial"/>
          <w:szCs w:val="24"/>
        </w:rPr>
      </w:pPr>
      <w:r w:rsidRPr="00294FE9">
        <w:rPr>
          <w:szCs w:val="24"/>
        </w:rPr>
        <w:t>Commencement</w:t>
      </w:r>
      <w:r w:rsidRPr="00294FE9">
        <w:rPr>
          <w:rFonts w:cs="Arial"/>
          <w:szCs w:val="24"/>
        </w:rPr>
        <w:t xml:space="preserve"> </w:t>
      </w:r>
    </w:p>
    <w:p w14:paraId="6024868B" w14:textId="7FA0878B" w:rsidR="001F0EA2" w:rsidRPr="00B242F4" w:rsidRDefault="001F0EA2" w:rsidP="001F0EA2">
      <w:pPr>
        <w:spacing w:before="120" w:after="60"/>
        <w:ind w:left="709"/>
        <w:rPr>
          <w:color w:val="000000" w:themeColor="text1"/>
          <w:szCs w:val="24"/>
        </w:rPr>
      </w:pPr>
      <w:r>
        <w:rPr>
          <w:szCs w:val="24"/>
        </w:rPr>
        <w:t xml:space="preserve">This </w:t>
      </w:r>
      <w:r w:rsidRPr="00B242F4">
        <w:rPr>
          <w:color w:val="000000" w:themeColor="text1"/>
          <w:szCs w:val="24"/>
        </w:rPr>
        <w:t xml:space="preserve">instrument </w:t>
      </w:r>
      <w:r w:rsidR="00EE66E8" w:rsidRPr="00B242F4">
        <w:rPr>
          <w:color w:val="000000" w:themeColor="text1"/>
          <w:szCs w:val="24"/>
        </w:rPr>
        <w:t xml:space="preserve">is </w:t>
      </w:r>
      <w:r w:rsidR="00F35096">
        <w:rPr>
          <w:color w:val="000000" w:themeColor="text1"/>
          <w:szCs w:val="24"/>
        </w:rPr>
        <w:t>taken to have commenced</w:t>
      </w:r>
      <w:r w:rsidR="00F35096" w:rsidRPr="007E4C79">
        <w:rPr>
          <w:color w:val="000000" w:themeColor="text1"/>
          <w:szCs w:val="24"/>
        </w:rPr>
        <w:t xml:space="preserve"> </w:t>
      </w:r>
      <w:r w:rsidR="00F35096">
        <w:rPr>
          <w:color w:val="000000" w:themeColor="text1"/>
          <w:szCs w:val="24"/>
        </w:rPr>
        <w:t>on</w:t>
      </w:r>
      <w:r w:rsidR="00F35096" w:rsidRPr="007E4C79">
        <w:rPr>
          <w:color w:val="000000" w:themeColor="text1"/>
          <w:szCs w:val="24"/>
        </w:rPr>
        <w:t xml:space="preserve"> </w:t>
      </w:r>
      <w:r w:rsidR="00B353FA" w:rsidRPr="00A05A53">
        <w:rPr>
          <w:color w:val="000000" w:themeColor="text1"/>
          <w:szCs w:val="24"/>
        </w:rPr>
        <w:t>1</w:t>
      </w:r>
      <w:r w:rsidR="00D568D6" w:rsidRPr="00A05A53">
        <w:rPr>
          <w:color w:val="000000" w:themeColor="text1"/>
          <w:szCs w:val="24"/>
        </w:rPr>
        <w:t xml:space="preserve"> </w:t>
      </w:r>
      <w:r w:rsidR="003D206C" w:rsidRPr="00A05A53">
        <w:rPr>
          <w:color w:val="000000" w:themeColor="text1"/>
          <w:szCs w:val="24"/>
        </w:rPr>
        <w:t>November 2019</w:t>
      </w:r>
      <w:r w:rsidRPr="00A05A53">
        <w:rPr>
          <w:color w:val="000000" w:themeColor="text1"/>
          <w:szCs w:val="24"/>
        </w:rPr>
        <w:t>.</w:t>
      </w:r>
    </w:p>
    <w:p w14:paraId="744A7BBA" w14:textId="77777777" w:rsidR="001F0EA2" w:rsidRPr="00B242F4" w:rsidRDefault="001F0EA2" w:rsidP="001F0EA2">
      <w:pPr>
        <w:pStyle w:val="Heading3"/>
        <w:spacing w:before="120"/>
        <w:rPr>
          <w:color w:val="000000" w:themeColor="text1"/>
        </w:rPr>
      </w:pPr>
      <w:r w:rsidRPr="00B242F4">
        <w:rPr>
          <w:color w:val="000000" w:themeColor="text1"/>
        </w:rPr>
        <w:t xml:space="preserve">Remuneration </w:t>
      </w:r>
    </w:p>
    <w:p w14:paraId="68798AB9" w14:textId="2B3ACA47" w:rsidR="001F0EA2" w:rsidRPr="0077128F" w:rsidRDefault="001F0EA2" w:rsidP="001F0EA2">
      <w:pPr>
        <w:pStyle w:val="Heading3"/>
        <w:numPr>
          <w:ilvl w:val="1"/>
          <w:numId w:val="1"/>
        </w:numPr>
        <w:spacing w:before="120"/>
        <w:rPr>
          <w:b w:val="0"/>
        </w:rPr>
      </w:pPr>
      <w:r w:rsidRPr="0077128F">
        <w:rPr>
          <w:b w:val="0"/>
        </w:rPr>
        <w:t xml:space="preserve">A Part-time Holder of a Public Office or Appointment shown in columns 1 and 2 shall be entitled to the fee specified in column 3 </w:t>
      </w:r>
      <w:r w:rsidR="00C612F3" w:rsidRPr="0077128F">
        <w:rPr>
          <w:b w:val="0"/>
        </w:rPr>
        <w:t xml:space="preserve">or column 4 </w:t>
      </w:r>
      <w:r w:rsidRPr="0077128F">
        <w:rPr>
          <w:b w:val="0"/>
        </w:rPr>
        <w:t xml:space="preserve">of Table 1. </w:t>
      </w:r>
    </w:p>
    <w:p w14:paraId="19CBDAAA" w14:textId="77777777" w:rsidR="001F0EA2" w:rsidRPr="0077128F" w:rsidRDefault="001F0EA2" w:rsidP="001F0EA2">
      <w:pPr>
        <w:pStyle w:val="Heading4"/>
        <w:spacing w:before="120" w:after="60"/>
      </w:pPr>
      <w:r w:rsidRPr="0077128F">
        <w:t>Table 1: Remuneration rates for Part-time Holders of Public Office</w:t>
      </w:r>
    </w:p>
    <w:p w14:paraId="3C905E1C" w14:textId="77777777" w:rsidR="001F0EA2" w:rsidRPr="0077128F" w:rsidRDefault="001F0EA2" w:rsidP="001F0EA2"/>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812"/>
        <w:gridCol w:w="1681"/>
        <w:gridCol w:w="6"/>
        <w:gridCol w:w="1675"/>
        <w:gridCol w:w="13"/>
      </w:tblGrid>
      <w:tr w:rsidR="00B242F4" w:rsidRPr="0077128F" w14:paraId="3FDE59B6" w14:textId="34ABBE0B" w:rsidTr="0003415E">
        <w:trPr>
          <w:trHeight w:val="300"/>
          <w:tblHeader/>
          <w:jc w:val="center"/>
        </w:trPr>
        <w:tc>
          <w:tcPr>
            <w:tcW w:w="2830" w:type="dxa"/>
            <w:shd w:val="clear" w:color="auto" w:fill="auto"/>
            <w:hideMark/>
          </w:tcPr>
          <w:p w14:paraId="6C6144BA" w14:textId="77777777" w:rsidR="009E484F" w:rsidRPr="0077128F" w:rsidRDefault="009E484F" w:rsidP="001F0EA2">
            <w:pPr>
              <w:pStyle w:val="Heading5"/>
              <w:spacing w:after="0"/>
              <w:rPr>
                <w:b w:val="0"/>
                <w:color w:val="auto"/>
                <w:sz w:val="22"/>
                <w:szCs w:val="22"/>
              </w:rPr>
            </w:pPr>
            <w:r w:rsidRPr="0077128F">
              <w:rPr>
                <w:color w:val="auto"/>
                <w:sz w:val="22"/>
                <w:szCs w:val="22"/>
              </w:rPr>
              <w:t>COLUMN 1</w:t>
            </w:r>
          </w:p>
          <w:p w14:paraId="6A969425" w14:textId="77777777" w:rsidR="009E484F" w:rsidRPr="0077128F" w:rsidRDefault="009E484F" w:rsidP="001F0EA2">
            <w:pPr>
              <w:pStyle w:val="Heading5"/>
              <w:rPr>
                <w:b w:val="0"/>
                <w:color w:val="auto"/>
                <w:sz w:val="22"/>
                <w:szCs w:val="22"/>
              </w:rPr>
            </w:pPr>
            <w:r w:rsidRPr="0077128F">
              <w:rPr>
                <w:color w:val="auto"/>
                <w:sz w:val="22"/>
                <w:szCs w:val="22"/>
              </w:rPr>
              <w:t>Board, committee etc</w:t>
            </w:r>
          </w:p>
        </w:tc>
        <w:tc>
          <w:tcPr>
            <w:tcW w:w="2812" w:type="dxa"/>
            <w:shd w:val="clear" w:color="auto" w:fill="auto"/>
            <w:hideMark/>
          </w:tcPr>
          <w:p w14:paraId="2DBE43F5" w14:textId="77777777" w:rsidR="009E484F" w:rsidRPr="0077128F" w:rsidRDefault="009E484F" w:rsidP="001F0EA2">
            <w:pPr>
              <w:pStyle w:val="Heading5"/>
              <w:spacing w:after="0"/>
              <w:rPr>
                <w:color w:val="auto"/>
                <w:sz w:val="22"/>
                <w:szCs w:val="22"/>
              </w:rPr>
            </w:pPr>
            <w:r w:rsidRPr="0077128F">
              <w:rPr>
                <w:color w:val="auto"/>
                <w:sz w:val="22"/>
                <w:szCs w:val="22"/>
              </w:rPr>
              <w:t>COLUMN 2</w:t>
            </w:r>
          </w:p>
          <w:p w14:paraId="7741D2C9" w14:textId="77777777" w:rsidR="009E484F" w:rsidRPr="0077128F" w:rsidRDefault="009E484F" w:rsidP="001F0EA2">
            <w:pPr>
              <w:pStyle w:val="Heading5"/>
              <w:rPr>
                <w:color w:val="auto"/>
                <w:sz w:val="22"/>
                <w:szCs w:val="22"/>
              </w:rPr>
            </w:pPr>
            <w:r w:rsidRPr="0077128F">
              <w:rPr>
                <w:color w:val="auto"/>
                <w:sz w:val="22"/>
                <w:szCs w:val="22"/>
              </w:rPr>
              <w:t xml:space="preserve">Position </w:t>
            </w:r>
          </w:p>
        </w:tc>
        <w:tc>
          <w:tcPr>
            <w:tcW w:w="1687" w:type="dxa"/>
            <w:gridSpan w:val="2"/>
            <w:shd w:val="clear" w:color="auto" w:fill="auto"/>
            <w:noWrap/>
            <w:hideMark/>
          </w:tcPr>
          <w:p w14:paraId="33405F7B" w14:textId="1F9B5CF5" w:rsidR="009E484F" w:rsidRPr="0077128F" w:rsidRDefault="009E484F" w:rsidP="002C658A">
            <w:pPr>
              <w:pStyle w:val="Heading5"/>
              <w:contextualSpacing/>
              <w:rPr>
                <w:color w:val="auto"/>
                <w:sz w:val="22"/>
                <w:szCs w:val="22"/>
              </w:rPr>
            </w:pPr>
            <w:r w:rsidRPr="0077128F">
              <w:rPr>
                <w:color w:val="auto"/>
                <w:sz w:val="22"/>
                <w:szCs w:val="22"/>
              </w:rPr>
              <w:t>COLUMN 3</w:t>
            </w:r>
          </w:p>
          <w:p w14:paraId="479BD244" w14:textId="2649DCDA" w:rsidR="009E484F" w:rsidRPr="0077128F" w:rsidRDefault="005C15D6" w:rsidP="002C658A">
            <w:pPr>
              <w:pStyle w:val="Heading5"/>
              <w:contextualSpacing/>
              <w:rPr>
                <w:color w:val="auto"/>
                <w:sz w:val="22"/>
                <w:szCs w:val="22"/>
              </w:rPr>
            </w:pPr>
            <w:r w:rsidRPr="0077128F">
              <w:rPr>
                <w:color w:val="auto"/>
                <w:sz w:val="22"/>
                <w:szCs w:val="22"/>
              </w:rPr>
              <w:t>Base remuneration (</w:t>
            </w:r>
            <w:r w:rsidR="009E484F" w:rsidRPr="0077128F">
              <w:rPr>
                <w:color w:val="auto"/>
                <w:sz w:val="22"/>
                <w:szCs w:val="22"/>
              </w:rPr>
              <w:t>Per Diem</w:t>
            </w:r>
            <w:r w:rsidRPr="0077128F">
              <w:rPr>
                <w:color w:val="auto"/>
                <w:sz w:val="22"/>
                <w:szCs w:val="22"/>
              </w:rPr>
              <w:t>)</w:t>
            </w:r>
          </w:p>
        </w:tc>
        <w:tc>
          <w:tcPr>
            <w:tcW w:w="1688" w:type="dxa"/>
            <w:gridSpan w:val="2"/>
          </w:tcPr>
          <w:p w14:paraId="3BA686BC" w14:textId="212146EE" w:rsidR="009E484F" w:rsidRPr="0077128F" w:rsidRDefault="009E484F" w:rsidP="002C658A">
            <w:pPr>
              <w:pStyle w:val="Heading5"/>
              <w:contextualSpacing/>
              <w:rPr>
                <w:color w:val="auto"/>
                <w:sz w:val="22"/>
                <w:szCs w:val="22"/>
              </w:rPr>
            </w:pPr>
            <w:r w:rsidRPr="0077128F">
              <w:rPr>
                <w:color w:val="auto"/>
                <w:sz w:val="22"/>
                <w:szCs w:val="22"/>
              </w:rPr>
              <w:t xml:space="preserve">COLUMN 4 </w:t>
            </w:r>
            <w:r w:rsidRPr="0077128F">
              <w:rPr>
                <w:color w:val="auto"/>
                <w:sz w:val="22"/>
                <w:szCs w:val="22"/>
              </w:rPr>
              <w:br/>
            </w:r>
            <w:r w:rsidR="005C15D6" w:rsidRPr="0077128F">
              <w:rPr>
                <w:color w:val="auto"/>
                <w:sz w:val="22"/>
                <w:szCs w:val="22"/>
              </w:rPr>
              <w:t>Base remuneration (</w:t>
            </w:r>
            <w:r w:rsidRPr="0077128F">
              <w:rPr>
                <w:color w:val="auto"/>
                <w:sz w:val="22"/>
                <w:szCs w:val="22"/>
              </w:rPr>
              <w:t>Per Annum</w:t>
            </w:r>
            <w:r w:rsidR="005C15D6" w:rsidRPr="0077128F">
              <w:rPr>
                <w:color w:val="auto"/>
                <w:sz w:val="22"/>
                <w:szCs w:val="22"/>
              </w:rPr>
              <w:t>)</w:t>
            </w:r>
          </w:p>
        </w:tc>
      </w:tr>
      <w:tr w:rsidR="00B242F4" w:rsidRPr="0077128F" w14:paraId="76FD9D80" w14:textId="7E8BB2DC" w:rsidTr="0003415E">
        <w:trPr>
          <w:trHeight w:val="330"/>
          <w:jc w:val="center"/>
        </w:trPr>
        <w:tc>
          <w:tcPr>
            <w:tcW w:w="2830" w:type="dxa"/>
            <w:shd w:val="clear" w:color="auto" w:fill="auto"/>
          </w:tcPr>
          <w:p w14:paraId="237F1778" w14:textId="2DEF5483" w:rsidR="009E484F" w:rsidRPr="0077128F" w:rsidRDefault="009E484F" w:rsidP="001F0EA2">
            <w:pPr>
              <w:rPr>
                <w:sz w:val="22"/>
                <w:szCs w:val="22"/>
                <w:lang w:eastAsia="en-AU"/>
              </w:rPr>
            </w:pPr>
            <w:r w:rsidRPr="0077128F">
              <w:rPr>
                <w:sz w:val="22"/>
                <w:szCs w:val="22"/>
                <w:lang w:eastAsia="en-AU"/>
              </w:rPr>
              <w:t>ACT Region Catchment Management Coordination Group</w:t>
            </w:r>
          </w:p>
        </w:tc>
        <w:tc>
          <w:tcPr>
            <w:tcW w:w="2812" w:type="dxa"/>
            <w:shd w:val="clear" w:color="auto" w:fill="auto"/>
          </w:tcPr>
          <w:p w14:paraId="5DB4184E" w14:textId="32F88239" w:rsidR="009E484F" w:rsidRPr="0077128F" w:rsidRDefault="009E484F" w:rsidP="001F0EA2">
            <w:pPr>
              <w:rPr>
                <w:sz w:val="22"/>
                <w:szCs w:val="22"/>
                <w:lang w:eastAsia="en-AU"/>
              </w:rPr>
            </w:pPr>
            <w:r w:rsidRPr="0077128F">
              <w:rPr>
                <w:sz w:val="22"/>
                <w:szCs w:val="22"/>
                <w:lang w:eastAsia="en-AU"/>
              </w:rPr>
              <w:t xml:space="preserve">Chair </w:t>
            </w:r>
          </w:p>
          <w:p w14:paraId="61154DA3" w14:textId="02A884A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A1AB10A" w14:textId="6B96ED9F"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6A09047A" w14:textId="50211116" w:rsidR="009E484F" w:rsidRPr="0077128F" w:rsidRDefault="00CE1EFA" w:rsidP="002C658A">
            <w:pPr>
              <w:jc w:val="center"/>
              <w:rPr>
                <w:bCs/>
                <w:sz w:val="22"/>
                <w:szCs w:val="22"/>
                <w:lang w:eastAsia="en-AU"/>
              </w:rPr>
            </w:pPr>
            <w:r w:rsidRPr="0077128F">
              <w:rPr>
                <w:bCs/>
                <w:sz w:val="22"/>
                <w:szCs w:val="22"/>
              </w:rPr>
              <w:t>$4</w:t>
            </w:r>
            <w:r w:rsidR="00BC540D" w:rsidRPr="0077128F">
              <w:rPr>
                <w:bCs/>
                <w:sz w:val="22"/>
                <w:szCs w:val="22"/>
              </w:rPr>
              <w:t>80</w:t>
            </w:r>
          </w:p>
        </w:tc>
        <w:tc>
          <w:tcPr>
            <w:tcW w:w="1688" w:type="dxa"/>
            <w:gridSpan w:val="2"/>
            <w:shd w:val="clear" w:color="auto" w:fill="auto"/>
          </w:tcPr>
          <w:p w14:paraId="1F1A4C6C" w14:textId="77777777" w:rsidR="009E484F" w:rsidRPr="0077128F" w:rsidRDefault="00D81DFD" w:rsidP="002C658A">
            <w:pPr>
              <w:jc w:val="center"/>
              <w:rPr>
                <w:sz w:val="22"/>
                <w:szCs w:val="22"/>
                <w:lang w:eastAsia="en-AU"/>
              </w:rPr>
            </w:pPr>
            <w:r w:rsidRPr="0077128F">
              <w:rPr>
                <w:sz w:val="22"/>
                <w:szCs w:val="22"/>
                <w:lang w:eastAsia="en-AU"/>
              </w:rPr>
              <w:t>-</w:t>
            </w:r>
          </w:p>
          <w:p w14:paraId="50599696" w14:textId="4EF286E0" w:rsidR="00D81DFD" w:rsidRPr="0077128F" w:rsidRDefault="00D81DFD" w:rsidP="002C658A">
            <w:pPr>
              <w:jc w:val="center"/>
              <w:rPr>
                <w:strike/>
                <w:sz w:val="22"/>
                <w:szCs w:val="22"/>
                <w:lang w:eastAsia="en-AU"/>
              </w:rPr>
            </w:pPr>
            <w:r w:rsidRPr="0077128F">
              <w:rPr>
                <w:sz w:val="22"/>
                <w:szCs w:val="22"/>
                <w:lang w:eastAsia="en-AU"/>
              </w:rPr>
              <w:t>-</w:t>
            </w:r>
          </w:p>
        </w:tc>
      </w:tr>
      <w:tr w:rsidR="00646316" w:rsidRPr="0077128F" w14:paraId="4F2042B0" w14:textId="77777777" w:rsidTr="0003415E">
        <w:trPr>
          <w:trHeight w:val="594"/>
          <w:jc w:val="center"/>
        </w:trPr>
        <w:tc>
          <w:tcPr>
            <w:tcW w:w="2830" w:type="dxa"/>
            <w:shd w:val="clear" w:color="auto" w:fill="auto"/>
          </w:tcPr>
          <w:p w14:paraId="5CAB47D9" w14:textId="0F6F81A2" w:rsidR="00646316" w:rsidRPr="0077128F" w:rsidRDefault="00646316" w:rsidP="00D81DFD">
            <w:pPr>
              <w:rPr>
                <w:sz w:val="22"/>
                <w:szCs w:val="22"/>
                <w:lang w:eastAsia="en-AU"/>
              </w:rPr>
            </w:pPr>
            <w:r w:rsidRPr="0077128F">
              <w:rPr>
                <w:sz w:val="22"/>
                <w:szCs w:val="22"/>
                <w:lang w:eastAsia="en-AU"/>
              </w:rPr>
              <w:t>ACT Natural Resource Management (NRM) Council</w:t>
            </w:r>
          </w:p>
        </w:tc>
        <w:tc>
          <w:tcPr>
            <w:tcW w:w="2812" w:type="dxa"/>
            <w:shd w:val="clear" w:color="auto" w:fill="auto"/>
          </w:tcPr>
          <w:p w14:paraId="577D306A" w14:textId="77777777" w:rsidR="00646316" w:rsidRPr="0077128F" w:rsidRDefault="00646316" w:rsidP="001F0EA2">
            <w:pPr>
              <w:rPr>
                <w:sz w:val="22"/>
                <w:szCs w:val="22"/>
                <w:lang w:eastAsia="en-AU"/>
              </w:rPr>
            </w:pPr>
            <w:r w:rsidRPr="0077128F">
              <w:rPr>
                <w:sz w:val="22"/>
                <w:szCs w:val="22"/>
                <w:lang w:eastAsia="en-AU"/>
              </w:rPr>
              <w:t xml:space="preserve">Chair </w:t>
            </w:r>
          </w:p>
          <w:p w14:paraId="31F037FC" w14:textId="78B73F13"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22A01" w14:textId="60973745" w:rsidR="00646316" w:rsidRPr="0077128F" w:rsidRDefault="00646316" w:rsidP="002C658A">
            <w:pPr>
              <w:jc w:val="center"/>
              <w:rPr>
                <w:bCs/>
                <w:sz w:val="22"/>
                <w:szCs w:val="22"/>
                <w:lang w:eastAsia="en-AU"/>
              </w:rPr>
            </w:pPr>
            <w:r w:rsidRPr="0077128F">
              <w:rPr>
                <w:bCs/>
                <w:sz w:val="22"/>
                <w:szCs w:val="22"/>
              </w:rPr>
              <w:t>$5</w:t>
            </w:r>
            <w:r w:rsidR="00BC540D" w:rsidRPr="0077128F">
              <w:rPr>
                <w:bCs/>
                <w:sz w:val="22"/>
                <w:szCs w:val="22"/>
              </w:rPr>
              <w:t>55</w:t>
            </w:r>
          </w:p>
          <w:p w14:paraId="67A08474" w14:textId="0B33FAEF" w:rsidR="00646316" w:rsidRPr="0077128F" w:rsidRDefault="00646316" w:rsidP="002C658A">
            <w:pPr>
              <w:jc w:val="center"/>
              <w:rPr>
                <w:bCs/>
                <w:sz w:val="22"/>
                <w:szCs w:val="22"/>
                <w:lang w:eastAsia="en-AU"/>
              </w:rPr>
            </w:pPr>
            <w:r w:rsidRPr="0077128F">
              <w:rPr>
                <w:bCs/>
                <w:sz w:val="22"/>
                <w:szCs w:val="22"/>
              </w:rPr>
              <w:t>$4</w:t>
            </w:r>
            <w:r w:rsidR="00BC540D" w:rsidRPr="0077128F">
              <w:rPr>
                <w:bCs/>
                <w:sz w:val="22"/>
                <w:szCs w:val="22"/>
              </w:rPr>
              <w:t>80</w:t>
            </w:r>
          </w:p>
        </w:tc>
        <w:tc>
          <w:tcPr>
            <w:tcW w:w="1688" w:type="dxa"/>
            <w:gridSpan w:val="2"/>
            <w:shd w:val="clear" w:color="auto" w:fill="auto"/>
          </w:tcPr>
          <w:p w14:paraId="0BDCFA9C" w14:textId="77777777" w:rsidR="00646316" w:rsidRPr="0077128F" w:rsidRDefault="00646316" w:rsidP="002C658A">
            <w:pPr>
              <w:jc w:val="center"/>
            </w:pPr>
            <w:r w:rsidRPr="0077128F">
              <w:t>-</w:t>
            </w:r>
          </w:p>
          <w:p w14:paraId="1406420A" w14:textId="3786EF7A" w:rsidR="00646316" w:rsidRPr="0077128F" w:rsidRDefault="00646316" w:rsidP="002C658A">
            <w:pPr>
              <w:jc w:val="center"/>
            </w:pPr>
            <w:r w:rsidRPr="0077128F">
              <w:t>-</w:t>
            </w:r>
          </w:p>
        </w:tc>
      </w:tr>
      <w:tr w:rsidR="0003415E" w:rsidRPr="0077128F" w14:paraId="20E29067" w14:textId="77777777" w:rsidTr="0003415E">
        <w:trPr>
          <w:trHeight w:val="594"/>
          <w:jc w:val="center"/>
        </w:trPr>
        <w:tc>
          <w:tcPr>
            <w:tcW w:w="2830" w:type="dxa"/>
            <w:shd w:val="clear" w:color="auto" w:fill="auto"/>
          </w:tcPr>
          <w:p w14:paraId="284CF5CA" w14:textId="1352734A" w:rsidR="0003415E" w:rsidRPr="0077128F" w:rsidRDefault="0003415E" w:rsidP="00D81DFD">
            <w:pPr>
              <w:rPr>
                <w:sz w:val="22"/>
                <w:szCs w:val="22"/>
                <w:lang w:eastAsia="en-AU"/>
              </w:rPr>
            </w:pPr>
            <w:r w:rsidRPr="0077128F">
              <w:rPr>
                <w:sz w:val="22"/>
                <w:szCs w:val="22"/>
                <w:lang w:eastAsia="en-AU"/>
              </w:rPr>
              <w:t>ACT Judicial Council</w:t>
            </w:r>
          </w:p>
        </w:tc>
        <w:tc>
          <w:tcPr>
            <w:tcW w:w="2812" w:type="dxa"/>
            <w:shd w:val="clear" w:color="auto" w:fill="auto"/>
          </w:tcPr>
          <w:p w14:paraId="2B7E0CE4" w14:textId="31B73255" w:rsidR="0003415E" w:rsidRPr="0077128F" w:rsidRDefault="0003415E" w:rsidP="001F0EA2">
            <w:pPr>
              <w:rPr>
                <w:sz w:val="22"/>
                <w:szCs w:val="22"/>
                <w:lang w:eastAsia="en-AU"/>
              </w:rPr>
            </w:pPr>
            <w:r w:rsidRPr="0077128F">
              <w:rPr>
                <w:sz w:val="22"/>
                <w:szCs w:val="22"/>
                <w:lang w:eastAsia="en-AU"/>
              </w:rPr>
              <w:t>Legal Practitioner</w:t>
            </w:r>
            <w:r w:rsidRPr="0077128F">
              <w:rPr>
                <w:sz w:val="22"/>
                <w:szCs w:val="22"/>
                <w:lang w:eastAsia="en-AU"/>
              </w:rPr>
              <w:br/>
              <w:t xml:space="preserve">Community Representative </w:t>
            </w:r>
          </w:p>
        </w:tc>
        <w:tc>
          <w:tcPr>
            <w:tcW w:w="1687" w:type="dxa"/>
            <w:gridSpan w:val="2"/>
            <w:shd w:val="clear" w:color="auto" w:fill="auto"/>
            <w:noWrap/>
          </w:tcPr>
          <w:p w14:paraId="78EA9F60" w14:textId="6C117605" w:rsidR="0003415E" w:rsidRPr="0077128F" w:rsidRDefault="00B353FA" w:rsidP="002C658A">
            <w:pPr>
              <w:jc w:val="center"/>
              <w:rPr>
                <w:bCs/>
                <w:sz w:val="22"/>
                <w:szCs w:val="22"/>
              </w:rPr>
            </w:pPr>
            <w:r w:rsidRPr="0077128F">
              <w:rPr>
                <w:bCs/>
                <w:sz w:val="22"/>
                <w:szCs w:val="22"/>
              </w:rPr>
              <w:t>$780</w:t>
            </w:r>
          </w:p>
          <w:p w14:paraId="1DC15DBF" w14:textId="3F5D6EA3" w:rsidR="0003415E" w:rsidRPr="0077128F" w:rsidRDefault="00B353FA" w:rsidP="002C658A">
            <w:pPr>
              <w:jc w:val="center"/>
              <w:rPr>
                <w:bCs/>
                <w:sz w:val="22"/>
                <w:szCs w:val="22"/>
              </w:rPr>
            </w:pPr>
            <w:r w:rsidRPr="0077128F">
              <w:rPr>
                <w:bCs/>
                <w:sz w:val="22"/>
                <w:szCs w:val="22"/>
              </w:rPr>
              <w:t>$780</w:t>
            </w:r>
          </w:p>
        </w:tc>
        <w:tc>
          <w:tcPr>
            <w:tcW w:w="1688" w:type="dxa"/>
            <w:gridSpan w:val="2"/>
            <w:shd w:val="clear" w:color="auto" w:fill="auto"/>
          </w:tcPr>
          <w:p w14:paraId="1E3636D7" w14:textId="77777777" w:rsidR="0003415E" w:rsidRPr="0077128F" w:rsidRDefault="0003415E" w:rsidP="002C658A">
            <w:pPr>
              <w:jc w:val="center"/>
            </w:pPr>
          </w:p>
        </w:tc>
      </w:tr>
      <w:tr w:rsidR="00646316" w:rsidRPr="0077128F" w14:paraId="41D50571" w14:textId="17F2CB4A" w:rsidTr="0003415E">
        <w:trPr>
          <w:trHeight w:val="844"/>
          <w:jc w:val="center"/>
        </w:trPr>
        <w:tc>
          <w:tcPr>
            <w:tcW w:w="2830" w:type="dxa"/>
            <w:shd w:val="clear" w:color="auto" w:fill="auto"/>
          </w:tcPr>
          <w:p w14:paraId="0757415B" w14:textId="7231B0D3" w:rsidR="00646316" w:rsidRPr="0077128F" w:rsidRDefault="00646316" w:rsidP="001F0EA2">
            <w:pPr>
              <w:rPr>
                <w:sz w:val="22"/>
                <w:szCs w:val="22"/>
                <w:lang w:eastAsia="en-AU"/>
              </w:rPr>
            </w:pPr>
            <w:r w:rsidRPr="0077128F">
              <w:rPr>
                <w:sz w:val="22"/>
                <w:szCs w:val="22"/>
                <w:lang w:eastAsia="en-AU"/>
              </w:rPr>
              <w:t>Aboriginal and Torres Strait Islander Elected Body</w:t>
            </w:r>
          </w:p>
        </w:tc>
        <w:tc>
          <w:tcPr>
            <w:tcW w:w="2812" w:type="dxa"/>
            <w:shd w:val="clear" w:color="auto" w:fill="auto"/>
          </w:tcPr>
          <w:p w14:paraId="1A10D9A6" w14:textId="77777777" w:rsidR="00646316" w:rsidRPr="0077128F" w:rsidRDefault="00646316" w:rsidP="00B04093">
            <w:pPr>
              <w:rPr>
                <w:sz w:val="22"/>
                <w:szCs w:val="22"/>
                <w:lang w:eastAsia="en-AU"/>
              </w:rPr>
            </w:pPr>
            <w:r w:rsidRPr="0077128F">
              <w:rPr>
                <w:sz w:val="22"/>
                <w:szCs w:val="22"/>
                <w:lang w:eastAsia="en-AU"/>
              </w:rPr>
              <w:t xml:space="preserve">Chair </w:t>
            </w:r>
          </w:p>
          <w:p w14:paraId="137A6F14" w14:textId="77777777" w:rsidR="00646316" w:rsidRPr="0077128F" w:rsidRDefault="00646316" w:rsidP="001F0EA2">
            <w:pPr>
              <w:rPr>
                <w:sz w:val="22"/>
                <w:szCs w:val="22"/>
                <w:lang w:eastAsia="en-AU"/>
              </w:rPr>
            </w:pPr>
            <w:r w:rsidRPr="0077128F">
              <w:rPr>
                <w:sz w:val="22"/>
                <w:szCs w:val="22"/>
                <w:lang w:eastAsia="en-AU"/>
              </w:rPr>
              <w:t xml:space="preserve">Deputy Chair </w:t>
            </w:r>
          </w:p>
          <w:p w14:paraId="5EB01BAF" w14:textId="5B040777" w:rsidR="00646316" w:rsidRPr="0077128F" w:rsidRDefault="00646316"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35D08A5" w14:textId="77777777" w:rsidR="00646316" w:rsidRPr="0077128F" w:rsidRDefault="00646316" w:rsidP="002C658A">
            <w:pPr>
              <w:jc w:val="center"/>
              <w:rPr>
                <w:sz w:val="22"/>
                <w:szCs w:val="22"/>
                <w:lang w:eastAsia="en-AU"/>
              </w:rPr>
            </w:pPr>
            <w:r w:rsidRPr="0077128F">
              <w:rPr>
                <w:sz w:val="22"/>
                <w:szCs w:val="22"/>
                <w:lang w:eastAsia="en-AU"/>
              </w:rPr>
              <w:t>-</w:t>
            </w:r>
          </w:p>
          <w:p w14:paraId="0321A00D" w14:textId="77777777" w:rsidR="00646316" w:rsidRPr="0077128F" w:rsidRDefault="00646316" w:rsidP="002C658A">
            <w:pPr>
              <w:jc w:val="center"/>
              <w:rPr>
                <w:sz w:val="22"/>
                <w:szCs w:val="22"/>
                <w:lang w:eastAsia="en-AU"/>
              </w:rPr>
            </w:pPr>
            <w:r w:rsidRPr="0077128F">
              <w:rPr>
                <w:sz w:val="22"/>
                <w:szCs w:val="22"/>
                <w:lang w:eastAsia="en-AU"/>
              </w:rPr>
              <w:t>-</w:t>
            </w:r>
          </w:p>
          <w:p w14:paraId="0170074F" w14:textId="3C05BABC" w:rsidR="00646316" w:rsidRPr="0077128F" w:rsidRDefault="00646316" w:rsidP="002C658A">
            <w:pPr>
              <w:jc w:val="center"/>
              <w:rPr>
                <w:strike/>
                <w:sz w:val="22"/>
                <w:szCs w:val="22"/>
                <w:lang w:eastAsia="en-AU"/>
              </w:rPr>
            </w:pPr>
            <w:r w:rsidRPr="0077128F">
              <w:rPr>
                <w:sz w:val="22"/>
                <w:szCs w:val="22"/>
                <w:lang w:eastAsia="en-AU"/>
              </w:rPr>
              <w:t>-</w:t>
            </w:r>
          </w:p>
        </w:tc>
        <w:tc>
          <w:tcPr>
            <w:tcW w:w="1688" w:type="dxa"/>
            <w:gridSpan w:val="2"/>
            <w:shd w:val="clear" w:color="auto" w:fill="auto"/>
          </w:tcPr>
          <w:p w14:paraId="6186BE33" w14:textId="55CCA438" w:rsidR="00BC540D" w:rsidRPr="00E074DF" w:rsidRDefault="00BC540D" w:rsidP="00BC540D">
            <w:pPr>
              <w:jc w:val="center"/>
              <w:rPr>
                <w:bCs/>
                <w:color w:val="000000" w:themeColor="text1"/>
                <w:sz w:val="22"/>
                <w:szCs w:val="22"/>
              </w:rPr>
            </w:pPr>
            <w:r w:rsidRPr="00E074DF">
              <w:rPr>
                <w:bCs/>
                <w:color w:val="000000" w:themeColor="text1"/>
                <w:sz w:val="22"/>
                <w:szCs w:val="22"/>
              </w:rPr>
              <w:t>$</w:t>
            </w:r>
            <w:r w:rsidR="00386AE0" w:rsidRPr="00E074DF">
              <w:rPr>
                <w:bCs/>
                <w:color w:val="000000" w:themeColor="text1"/>
                <w:sz w:val="22"/>
                <w:szCs w:val="22"/>
              </w:rPr>
              <w:t>32,745</w:t>
            </w:r>
          </w:p>
          <w:p w14:paraId="093BA051" w14:textId="295C9B17" w:rsidR="00BC540D" w:rsidRPr="00E074DF" w:rsidRDefault="00BC540D" w:rsidP="00BC540D">
            <w:pPr>
              <w:jc w:val="center"/>
              <w:rPr>
                <w:bCs/>
                <w:color w:val="000000" w:themeColor="text1"/>
                <w:sz w:val="22"/>
                <w:szCs w:val="22"/>
              </w:rPr>
            </w:pPr>
            <w:r w:rsidRPr="00E074DF">
              <w:rPr>
                <w:bCs/>
                <w:color w:val="000000" w:themeColor="text1"/>
                <w:sz w:val="22"/>
                <w:szCs w:val="22"/>
              </w:rPr>
              <w:t>$2</w:t>
            </w:r>
            <w:r w:rsidR="00386AE0" w:rsidRPr="00E074DF">
              <w:rPr>
                <w:bCs/>
                <w:color w:val="000000" w:themeColor="text1"/>
                <w:sz w:val="22"/>
                <w:szCs w:val="22"/>
              </w:rPr>
              <w:t>6,205</w:t>
            </w:r>
          </w:p>
          <w:p w14:paraId="586DA4B5" w14:textId="70B941BE" w:rsidR="00646316" w:rsidRPr="00E074DF" w:rsidRDefault="00BC540D" w:rsidP="00BC540D">
            <w:pPr>
              <w:jc w:val="center"/>
              <w:rPr>
                <w:bCs/>
                <w:color w:val="000000" w:themeColor="text1"/>
                <w:sz w:val="22"/>
                <w:szCs w:val="22"/>
              </w:rPr>
            </w:pPr>
            <w:r w:rsidRPr="00E074DF">
              <w:rPr>
                <w:bCs/>
                <w:color w:val="000000" w:themeColor="text1"/>
                <w:sz w:val="22"/>
                <w:szCs w:val="22"/>
              </w:rPr>
              <w:t>$1</w:t>
            </w:r>
            <w:r w:rsidR="00386AE0" w:rsidRPr="00E074DF">
              <w:rPr>
                <w:bCs/>
                <w:color w:val="000000" w:themeColor="text1"/>
                <w:sz w:val="22"/>
                <w:szCs w:val="22"/>
              </w:rPr>
              <w:t>7,385</w:t>
            </w:r>
          </w:p>
        </w:tc>
      </w:tr>
      <w:tr w:rsidR="00B242F4" w:rsidRPr="0077128F" w14:paraId="5C42C3B6" w14:textId="015490E5" w:rsidTr="0003415E">
        <w:trPr>
          <w:trHeight w:val="330"/>
          <w:jc w:val="center"/>
        </w:trPr>
        <w:tc>
          <w:tcPr>
            <w:tcW w:w="2830" w:type="dxa"/>
            <w:shd w:val="clear" w:color="auto" w:fill="auto"/>
          </w:tcPr>
          <w:p w14:paraId="0E9494A2" w14:textId="77777777" w:rsidR="009E484F" w:rsidRPr="0077128F" w:rsidRDefault="009E484F" w:rsidP="001F0EA2">
            <w:pPr>
              <w:rPr>
                <w:sz w:val="22"/>
                <w:szCs w:val="22"/>
                <w:lang w:eastAsia="en-AU"/>
              </w:rPr>
            </w:pPr>
            <w:r w:rsidRPr="0077128F">
              <w:rPr>
                <w:sz w:val="22"/>
                <w:szCs w:val="22"/>
                <w:lang w:eastAsia="en-AU"/>
              </w:rPr>
              <w:t>Animal Welfare Advisory Committee</w:t>
            </w:r>
          </w:p>
        </w:tc>
        <w:tc>
          <w:tcPr>
            <w:tcW w:w="2812" w:type="dxa"/>
            <w:shd w:val="clear" w:color="auto" w:fill="auto"/>
          </w:tcPr>
          <w:p w14:paraId="7516CF1C" w14:textId="293B8D49" w:rsidR="009E484F" w:rsidRPr="0077128F" w:rsidRDefault="009E484F" w:rsidP="001F0EA2">
            <w:pPr>
              <w:rPr>
                <w:sz w:val="22"/>
                <w:szCs w:val="22"/>
                <w:lang w:eastAsia="en-AU"/>
              </w:rPr>
            </w:pPr>
            <w:r w:rsidRPr="0077128F">
              <w:rPr>
                <w:sz w:val="22"/>
                <w:szCs w:val="22"/>
                <w:lang w:eastAsia="en-AU"/>
              </w:rPr>
              <w:t xml:space="preserve">Chair </w:t>
            </w:r>
          </w:p>
          <w:p w14:paraId="07145139" w14:textId="6CA7E1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FE1338E" w14:textId="013188FB"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16588068" w14:textId="5638E800" w:rsidR="009E484F" w:rsidRPr="0077128F" w:rsidRDefault="00CE1EFA" w:rsidP="002C658A">
            <w:pPr>
              <w:jc w:val="center"/>
              <w:rPr>
                <w:strike/>
                <w:sz w:val="22"/>
                <w:szCs w:val="22"/>
                <w:lang w:eastAsia="en-AU"/>
              </w:rPr>
            </w:pPr>
            <w:r w:rsidRPr="0077128F">
              <w:rPr>
                <w:bCs/>
                <w:sz w:val="22"/>
                <w:szCs w:val="22"/>
              </w:rPr>
              <w:t>$4</w:t>
            </w:r>
            <w:r w:rsidR="00BC540D" w:rsidRPr="0077128F">
              <w:rPr>
                <w:bCs/>
                <w:sz w:val="22"/>
                <w:szCs w:val="22"/>
              </w:rPr>
              <w:t>80</w:t>
            </w:r>
          </w:p>
        </w:tc>
        <w:tc>
          <w:tcPr>
            <w:tcW w:w="1688" w:type="dxa"/>
            <w:gridSpan w:val="2"/>
            <w:shd w:val="clear" w:color="auto" w:fill="auto"/>
          </w:tcPr>
          <w:p w14:paraId="716995FA"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4474C34" w14:textId="2119D0C7"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B242F4" w:rsidRPr="0077128F" w14:paraId="07FE1197" w14:textId="5E432468" w:rsidTr="0003415E">
        <w:trPr>
          <w:trHeight w:val="330"/>
          <w:jc w:val="center"/>
        </w:trPr>
        <w:tc>
          <w:tcPr>
            <w:tcW w:w="2830" w:type="dxa"/>
            <w:shd w:val="clear" w:color="auto" w:fill="auto"/>
          </w:tcPr>
          <w:p w14:paraId="26BDAFC9" w14:textId="7AAB84FD" w:rsidR="009E484F" w:rsidRPr="0077128F" w:rsidRDefault="009E484F" w:rsidP="001F0EA2">
            <w:pPr>
              <w:rPr>
                <w:sz w:val="22"/>
                <w:szCs w:val="22"/>
                <w:lang w:eastAsia="en-AU"/>
              </w:rPr>
            </w:pPr>
            <w:r w:rsidRPr="0077128F">
              <w:rPr>
                <w:sz w:val="22"/>
                <w:szCs w:val="22"/>
                <w:lang w:eastAsia="en-AU"/>
              </w:rPr>
              <w:t>Architects Board</w:t>
            </w:r>
          </w:p>
        </w:tc>
        <w:tc>
          <w:tcPr>
            <w:tcW w:w="2812" w:type="dxa"/>
            <w:shd w:val="clear" w:color="auto" w:fill="auto"/>
          </w:tcPr>
          <w:p w14:paraId="560D8AE2" w14:textId="7F7B3CDE" w:rsidR="009E484F" w:rsidRPr="0077128F" w:rsidRDefault="009E484F" w:rsidP="001F0EA2">
            <w:pPr>
              <w:rPr>
                <w:sz w:val="22"/>
                <w:szCs w:val="22"/>
                <w:lang w:eastAsia="en-AU"/>
              </w:rPr>
            </w:pPr>
            <w:r w:rsidRPr="0077128F">
              <w:rPr>
                <w:sz w:val="22"/>
                <w:szCs w:val="22"/>
                <w:lang w:eastAsia="en-AU"/>
              </w:rPr>
              <w:t xml:space="preserve">Chair </w:t>
            </w:r>
          </w:p>
          <w:p w14:paraId="6095EA46" w14:textId="35DB1CD7"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A8FCBAA" w14:textId="6CA29654"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0528C444" w14:textId="6DAEE05B" w:rsidR="009E484F" w:rsidRPr="0077128F" w:rsidRDefault="00CE1EFA" w:rsidP="002C658A">
            <w:pPr>
              <w:jc w:val="center"/>
              <w:rPr>
                <w:strike/>
                <w:sz w:val="22"/>
                <w:szCs w:val="22"/>
                <w:lang w:eastAsia="en-AU"/>
              </w:rPr>
            </w:pPr>
            <w:r w:rsidRPr="0077128F">
              <w:rPr>
                <w:bCs/>
                <w:sz w:val="22"/>
                <w:szCs w:val="22"/>
              </w:rPr>
              <w:t>$4</w:t>
            </w:r>
            <w:r w:rsidR="00BC540D" w:rsidRPr="0077128F">
              <w:rPr>
                <w:bCs/>
                <w:sz w:val="22"/>
                <w:szCs w:val="22"/>
              </w:rPr>
              <w:t>80</w:t>
            </w:r>
          </w:p>
        </w:tc>
        <w:tc>
          <w:tcPr>
            <w:tcW w:w="1688" w:type="dxa"/>
            <w:gridSpan w:val="2"/>
          </w:tcPr>
          <w:p w14:paraId="766B274D" w14:textId="77777777" w:rsidR="009E484F" w:rsidRPr="0077128F" w:rsidRDefault="002C658A" w:rsidP="002C658A">
            <w:pPr>
              <w:jc w:val="center"/>
              <w:rPr>
                <w:sz w:val="22"/>
                <w:szCs w:val="22"/>
                <w:lang w:eastAsia="en-AU"/>
              </w:rPr>
            </w:pPr>
            <w:r w:rsidRPr="0077128F">
              <w:rPr>
                <w:sz w:val="22"/>
                <w:szCs w:val="22"/>
                <w:lang w:eastAsia="en-AU"/>
              </w:rPr>
              <w:t>-</w:t>
            </w:r>
          </w:p>
          <w:p w14:paraId="50D893FE" w14:textId="4252DFF7"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17771FE7" w14:textId="1FB25024" w:rsidTr="0003415E">
        <w:trPr>
          <w:trHeight w:val="330"/>
          <w:jc w:val="center"/>
        </w:trPr>
        <w:tc>
          <w:tcPr>
            <w:tcW w:w="2830" w:type="dxa"/>
            <w:shd w:val="clear" w:color="auto" w:fill="auto"/>
            <w:hideMark/>
          </w:tcPr>
          <w:p w14:paraId="3C4D189D" w14:textId="07CF99FB" w:rsidR="009E484F" w:rsidRPr="0077128F" w:rsidRDefault="009E484F" w:rsidP="001F0EA2">
            <w:pPr>
              <w:rPr>
                <w:sz w:val="22"/>
                <w:szCs w:val="22"/>
                <w:lang w:eastAsia="en-AU"/>
              </w:rPr>
            </w:pPr>
            <w:r w:rsidRPr="0077128F">
              <w:rPr>
                <w:sz w:val="22"/>
                <w:szCs w:val="22"/>
                <w:lang w:eastAsia="en-AU"/>
              </w:rPr>
              <w:t>Board of Senior Secondary Studies</w:t>
            </w:r>
          </w:p>
        </w:tc>
        <w:tc>
          <w:tcPr>
            <w:tcW w:w="2812" w:type="dxa"/>
            <w:shd w:val="clear" w:color="auto" w:fill="auto"/>
            <w:hideMark/>
          </w:tcPr>
          <w:p w14:paraId="74B612A7" w14:textId="1CC2EA61" w:rsidR="009E484F" w:rsidRPr="0077128F" w:rsidRDefault="008306EE" w:rsidP="001F0EA2">
            <w:pPr>
              <w:rPr>
                <w:sz w:val="22"/>
                <w:szCs w:val="22"/>
                <w:lang w:eastAsia="en-AU"/>
              </w:rPr>
            </w:pPr>
            <w:r w:rsidRPr="0077128F">
              <w:rPr>
                <w:sz w:val="22"/>
                <w:szCs w:val="22"/>
                <w:lang w:eastAsia="en-AU"/>
              </w:rPr>
              <w:t>Chair</w:t>
            </w:r>
          </w:p>
        </w:tc>
        <w:tc>
          <w:tcPr>
            <w:tcW w:w="1687" w:type="dxa"/>
            <w:gridSpan w:val="2"/>
            <w:shd w:val="clear" w:color="auto" w:fill="auto"/>
            <w:noWrap/>
          </w:tcPr>
          <w:p w14:paraId="07F685C9" w14:textId="0066DFE6"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6B938E4" w14:textId="13445F5F" w:rsidR="009E484F" w:rsidRPr="0077128F" w:rsidRDefault="00CE1EFA" w:rsidP="002C658A">
            <w:pPr>
              <w:jc w:val="center"/>
              <w:rPr>
                <w:bCs/>
                <w:sz w:val="22"/>
                <w:szCs w:val="22"/>
              </w:rPr>
            </w:pPr>
            <w:r w:rsidRPr="0077128F">
              <w:rPr>
                <w:bCs/>
                <w:sz w:val="22"/>
                <w:szCs w:val="22"/>
              </w:rPr>
              <w:t>$</w:t>
            </w:r>
            <w:r w:rsidR="00BC540D" w:rsidRPr="0077128F">
              <w:rPr>
                <w:bCs/>
                <w:sz w:val="22"/>
                <w:szCs w:val="22"/>
              </w:rPr>
              <w:t>30,110</w:t>
            </w:r>
          </w:p>
        </w:tc>
      </w:tr>
      <w:tr w:rsidR="00B242F4" w:rsidRPr="0077128F" w14:paraId="52DBF891" w14:textId="5AC84510" w:rsidTr="0003415E">
        <w:trPr>
          <w:trHeight w:val="300"/>
          <w:jc w:val="center"/>
        </w:trPr>
        <w:tc>
          <w:tcPr>
            <w:tcW w:w="2830" w:type="dxa"/>
            <w:shd w:val="clear" w:color="auto" w:fill="auto"/>
            <w:hideMark/>
          </w:tcPr>
          <w:p w14:paraId="012153D7" w14:textId="77777777" w:rsidR="009E484F" w:rsidRPr="0077128F" w:rsidRDefault="009E484F" w:rsidP="001F0EA2">
            <w:pPr>
              <w:rPr>
                <w:sz w:val="22"/>
                <w:szCs w:val="22"/>
                <w:lang w:eastAsia="en-AU"/>
              </w:rPr>
            </w:pPr>
            <w:r w:rsidRPr="0077128F">
              <w:rPr>
                <w:sz w:val="22"/>
                <w:szCs w:val="22"/>
                <w:lang w:eastAsia="en-AU"/>
              </w:rPr>
              <w:t>Brand Strategic Advisory Board</w:t>
            </w:r>
          </w:p>
        </w:tc>
        <w:tc>
          <w:tcPr>
            <w:tcW w:w="2812" w:type="dxa"/>
            <w:shd w:val="clear" w:color="auto" w:fill="auto"/>
            <w:hideMark/>
          </w:tcPr>
          <w:p w14:paraId="769A1B58" w14:textId="31EE3840" w:rsidR="009E484F" w:rsidRPr="0077128F" w:rsidRDefault="009E484F" w:rsidP="001F0EA2">
            <w:pPr>
              <w:rPr>
                <w:sz w:val="22"/>
                <w:szCs w:val="22"/>
                <w:lang w:eastAsia="en-AU"/>
              </w:rPr>
            </w:pPr>
            <w:r w:rsidRPr="0077128F">
              <w:rPr>
                <w:sz w:val="22"/>
                <w:szCs w:val="22"/>
                <w:lang w:eastAsia="en-AU"/>
              </w:rPr>
              <w:t xml:space="preserve">Chair </w:t>
            </w:r>
          </w:p>
          <w:p w14:paraId="111800AD" w14:textId="1AF0C86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14BA3E0" w14:textId="1CF32C80"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56213430" w14:textId="6536632D" w:rsidR="009E484F" w:rsidRPr="0077128F" w:rsidRDefault="00CE1EFA" w:rsidP="002C658A">
            <w:pPr>
              <w:jc w:val="center"/>
              <w:rPr>
                <w:strike/>
                <w:sz w:val="22"/>
                <w:szCs w:val="22"/>
                <w:lang w:eastAsia="en-AU"/>
              </w:rPr>
            </w:pPr>
            <w:r w:rsidRPr="0077128F">
              <w:rPr>
                <w:bCs/>
                <w:sz w:val="22"/>
                <w:szCs w:val="22"/>
              </w:rPr>
              <w:t>$4</w:t>
            </w:r>
            <w:r w:rsidR="00BC540D" w:rsidRPr="0077128F">
              <w:rPr>
                <w:bCs/>
                <w:sz w:val="22"/>
                <w:szCs w:val="22"/>
              </w:rPr>
              <w:t>80</w:t>
            </w:r>
          </w:p>
        </w:tc>
        <w:tc>
          <w:tcPr>
            <w:tcW w:w="1688" w:type="dxa"/>
            <w:gridSpan w:val="2"/>
          </w:tcPr>
          <w:p w14:paraId="05A833E1" w14:textId="77777777" w:rsidR="009E484F" w:rsidRPr="0077128F" w:rsidRDefault="002C658A" w:rsidP="002C658A">
            <w:pPr>
              <w:jc w:val="center"/>
              <w:rPr>
                <w:sz w:val="22"/>
                <w:szCs w:val="22"/>
                <w:lang w:eastAsia="en-AU"/>
              </w:rPr>
            </w:pPr>
            <w:r w:rsidRPr="0077128F">
              <w:rPr>
                <w:sz w:val="22"/>
                <w:szCs w:val="22"/>
                <w:lang w:eastAsia="en-AU"/>
              </w:rPr>
              <w:t>-</w:t>
            </w:r>
          </w:p>
          <w:p w14:paraId="500E6688" w14:textId="0A48EB01" w:rsidR="002C658A" w:rsidRPr="0077128F" w:rsidRDefault="002C658A" w:rsidP="002C658A">
            <w:pPr>
              <w:jc w:val="center"/>
              <w:rPr>
                <w:strike/>
                <w:sz w:val="22"/>
                <w:szCs w:val="22"/>
                <w:lang w:eastAsia="en-AU"/>
              </w:rPr>
            </w:pPr>
            <w:r w:rsidRPr="0077128F">
              <w:rPr>
                <w:sz w:val="22"/>
                <w:szCs w:val="22"/>
                <w:lang w:eastAsia="en-AU"/>
              </w:rPr>
              <w:t>-</w:t>
            </w:r>
          </w:p>
        </w:tc>
      </w:tr>
      <w:tr w:rsidR="00B242F4" w:rsidRPr="0077128F" w14:paraId="512FE396" w14:textId="53804293" w:rsidTr="0003415E">
        <w:trPr>
          <w:trHeight w:val="610"/>
          <w:jc w:val="center"/>
        </w:trPr>
        <w:tc>
          <w:tcPr>
            <w:tcW w:w="2830" w:type="dxa"/>
            <w:shd w:val="clear" w:color="auto" w:fill="auto"/>
            <w:hideMark/>
          </w:tcPr>
          <w:p w14:paraId="173F2111" w14:textId="20DAF07F" w:rsidR="009E484F" w:rsidRPr="0077128F" w:rsidRDefault="009E484F" w:rsidP="001F0EA2">
            <w:pPr>
              <w:rPr>
                <w:sz w:val="22"/>
                <w:szCs w:val="22"/>
                <w:lang w:eastAsia="en-AU"/>
              </w:rPr>
            </w:pPr>
            <w:r w:rsidRPr="0077128F">
              <w:rPr>
                <w:sz w:val="22"/>
                <w:szCs w:val="22"/>
                <w:lang w:eastAsia="en-AU"/>
              </w:rPr>
              <w:lastRenderedPageBreak/>
              <w:t>Building Advisory Board</w:t>
            </w:r>
          </w:p>
        </w:tc>
        <w:tc>
          <w:tcPr>
            <w:tcW w:w="2812" w:type="dxa"/>
            <w:shd w:val="clear" w:color="auto" w:fill="auto"/>
            <w:hideMark/>
          </w:tcPr>
          <w:p w14:paraId="6BE43921" w14:textId="22456A32" w:rsidR="009E484F" w:rsidRPr="0077128F" w:rsidRDefault="009E484F" w:rsidP="001F0EA2">
            <w:pPr>
              <w:rPr>
                <w:sz w:val="22"/>
                <w:szCs w:val="22"/>
                <w:lang w:eastAsia="en-AU"/>
              </w:rPr>
            </w:pPr>
            <w:r w:rsidRPr="0077128F">
              <w:rPr>
                <w:sz w:val="22"/>
                <w:szCs w:val="22"/>
                <w:lang w:eastAsia="en-AU"/>
              </w:rPr>
              <w:t xml:space="preserve">Chair </w:t>
            </w:r>
          </w:p>
          <w:p w14:paraId="2D708A6B" w14:textId="5C07B1E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37F8E51" w14:textId="1F3523BE"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77AA0933" w14:textId="20F7472B"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2A6C2EC3" w14:textId="77777777" w:rsidR="009E484F" w:rsidRPr="0077128F" w:rsidRDefault="002C658A" w:rsidP="002C658A">
            <w:pPr>
              <w:jc w:val="center"/>
              <w:rPr>
                <w:sz w:val="22"/>
                <w:szCs w:val="22"/>
                <w:lang w:eastAsia="en-AU"/>
              </w:rPr>
            </w:pPr>
            <w:r w:rsidRPr="0077128F">
              <w:rPr>
                <w:sz w:val="22"/>
                <w:szCs w:val="22"/>
                <w:lang w:eastAsia="en-AU"/>
              </w:rPr>
              <w:t>-</w:t>
            </w:r>
          </w:p>
          <w:p w14:paraId="7A86F311" w14:textId="362E4664"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0C8E6B36" w14:textId="2627C212" w:rsidTr="0003415E">
        <w:trPr>
          <w:trHeight w:val="645"/>
          <w:jc w:val="center"/>
        </w:trPr>
        <w:tc>
          <w:tcPr>
            <w:tcW w:w="2830" w:type="dxa"/>
            <w:shd w:val="clear" w:color="auto" w:fill="auto"/>
            <w:hideMark/>
          </w:tcPr>
          <w:p w14:paraId="2AFC1489" w14:textId="134AC32D" w:rsidR="009E484F" w:rsidRPr="0077128F" w:rsidRDefault="009E484F" w:rsidP="001F0EA2">
            <w:pPr>
              <w:rPr>
                <w:sz w:val="22"/>
                <w:szCs w:val="22"/>
                <w:lang w:eastAsia="en-AU"/>
              </w:rPr>
            </w:pPr>
            <w:r w:rsidRPr="0077128F">
              <w:rPr>
                <w:sz w:val="22"/>
                <w:szCs w:val="22"/>
                <w:lang w:eastAsia="en-AU"/>
              </w:rPr>
              <w:t>Building and Construction Industry Training Fund Board</w:t>
            </w:r>
          </w:p>
        </w:tc>
        <w:tc>
          <w:tcPr>
            <w:tcW w:w="2812" w:type="dxa"/>
            <w:shd w:val="clear" w:color="auto" w:fill="auto"/>
            <w:hideMark/>
          </w:tcPr>
          <w:p w14:paraId="23AC9D85" w14:textId="30BEABEE" w:rsidR="009E484F" w:rsidRPr="0077128F" w:rsidRDefault="009E484F" w:rsidP="001F0EA2">
            <w:pPr>
              <w:rPr>
                <w:sz w:val="22"/>
                <w:szCs w:val="22"/>
                <w:lang w:eastAsia="en-AU"/>
              </w:rPr>
            </w:pPr>
            <w:r w:rsidRPr="0077128F">
              <w:rPr>
                <w:sz w:val="22"/>
                <w:szCs w:val="22"/>
                <w:lang w:eastAsia="en-AU"/>
              </w:rPr>
              <w:t xml:space="preserve">Chair </w:t>
            </w:r>
          </w:p>
          <w:p w14:paraId="3023B150" w14:textId="2E414F3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C4E8159" w14:textId="64444E27" w:rsidR="009E484F" w:rsidRPr="0077128F" w:rsidRDefault="002C658A" w:rsidP="002C658A">
            <w:pPr>
              <w:jc w:val="center"/>
              <w:rPr>
                <w:sz w:val="22"/>
                <w:szCs w:val="22"/>
                <w:lang w:eastAsia="en-AU"/>
              </w:rPr>
            </w:pPr>
            <w:r w:rsidRPr="0077128F">
              <w:rPr>
                <w:sz w:val="22"/>
                <w:szCs w:val="22"/>
                <w:lang w:eastAsia="en-AU"/>
              </w:rPr>
              <w:t>-</w:t>
            </w:r>
          </w:p>
          <w:p w14:paraId="555081BF" w14:textId="38DAA682"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2B7727DA" w14:textId="53684D69" w:rsidR="009E484F" w:rsidRPr="0077128F" w:rsidRDefault="00CE1EFA" w:rsidP="002C658A">
            <w:pPr>
              <w:jc w:val="center"/>
              <w:rPr>
                <w:bCs/>
                <w:sz w:val="22"/>
                <w:szCs w:val="22"/>
              </w:rPr>
            </w:pPr>
            <w:r w:rsidRPr="0077128F">
              <w:rPr>
                <w:bCs/>
                <w:sz w:val="22"/>
                <w:szCs w:val="22"/>
              </w:rPr>
              <w:t>$</w:t>
            </w:r>
            <w:r w:rsidR="00BC540D" w:rsidRPr="0077128F">
              <w:rPr>
                <w:bCs/>
                <w:sz w:val="22"/>
                <w:szCs w:val="22"/>
              </w:rPr>
              <w:t>20,100</w:t>
            </w:r>
          </w:p>
          <w:p w14:paraId="5E4CFFC8" w14:textId="1540AF70" w:rsidR="002C658A" w:rsidRPr="0077128F" w:rsidRDefault="002C658A" w:rsidP="002C658A">
            <w:pPr>
              <w:jc w:val="center"/>
              <w:rPr>
                <w:bCs/>
                <w:sz w:val="22"/>
                <w:szCs w:val="22"/>
              </w:rPr>
            </w:pPr>
            <w:r w:rsidRPr="0077128F">
              <w:rPr>
                <w:bCs/>
                <w:sz w:val="22"/>
                <w:szCs w:val="22"/>
              </w:rPr>
              <w:t>-</w:t>
            </w:r>
          </w:p>
        </w:tc>
      </w:tr>
      <w:tr w:rsidR="00B242F4" w:rsidRPr="0077128F" w14:paraId="1215464C" w14:textId="4AFD944A" w:rsidTr="0003415E">
        <w:trPr>
          <w:trHeight w:val="610"/>
          <w:jc w:val="center"/>
        </w:trPr>
        <w:tc>
          <w:tcPr>
            <w:tcW w:w="2830" w:type="dxa"/>
            <w:shd w:val="clear" w:color="auto" w:fill="auto"/>
            <w:hideMark/>
          </w:tcPr>
          <w:p w14:paraId="5B88E3CC" w14:textId="77777777" w:rsidR="009E484F" w:rsidRPr="0077128F" w:rsidRDefault="009E484F" w:rsidP="001F0EA2">
            <w:pPr>
              <w:rPr>
                <w:sz w:val="22"/>
                <w:szCs w:val="22"/>
                <w:lang w:eastAsia="en-AU"/>
              </w:rPr>
            </w:pPr>
            <w:r w:rsidRPr="0077128F">
              <w:rPr>
                <w:sz w:val="22"/>
                <w:szCs w:val="22"/>
                <w:lang w:eastAsia="en-AU"/>
              </w:rPr>
              <w:t>Bush Fire Council</w:t>
            </w:r>
          </w:p>
        </w:tc>
        <w:tc>
          <w:tcPr>
            <w:tcW w:w="2812" w:type="dxa"/>
            <w:shd w:val="clear" w:color="auto" w:fill="auto"/>
            <w:hideMark/>
          </w:tcPr>
          <w:p w14:paraId="2D97F382" w14:textId="1A892928" w:rsidR="009E484F" w:rsidRPr="0077128F" w:rsidRDefault="009E484F" w:rsidP="001F0EA2">
            <w:pPr>
              <w:rPr>
                <w:sz w:val="22"/>
                <w:szCs w:val="22"/>
                <w:lang w:eastAsia="en-AU"/>
              </w:rPr>
            </w:pPr>
            <w:r w:rsidRPr="0077128F">
              <w:rPr>
                <w:sz w:val="22"/>
                <w:szCs w:val="22"/>
                <w:lang w:eastAsia="en-AU"/>
              </w:rPr>
              <w:t xml:space="preserve">Chair </w:t>
            </w:r>
          </w:p>
          <w:p w14:paraId="09B98E82" w14:textId="1AFCA92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35164CF" w14:textId="18522EBD" w:rsidR="00CE1EFA" w:rsidRPr="0077128F" w:rsidRDefault="00CE1EFA" w:rsidP="002C658A">
            <w:pPr>
              <w:jc w:val="center"/>
              <w:rPr>
                <w:bCs/>
                <w:sz w:val="22"/>
                <w:szCs w:val="22"/>
                <w:lang w:eastAsia="en-AU"/>
              </w:rPr>
            </w:pPr>
            <w:r w:rsidRPr="0077128F">
              <w:rPr>
                <w:bCs/>
                <w:sz w:val="22"/>
                <w:szCs w:val="22"/>
              </w:rPr>
              <w:t>$5</w:t>
            </w:r>
            <w:r w:rsidR="00BC540D" w:rsidRPr="0077128F">
              <w:rPr>
                <w:bCs/>
                <w:sz w:val="22"/>
                <w:szCs w:val="22"/>
              </w:rPr>
              <w:t>55</w:t>
            </w:r>
          </w:p>
          <w:p w14:paraId="4E5E48A2" w14:textId="7C5A6FB4"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34CB945B" w14:textId="77777777" w:rsidR="009E484F" w:rsidRPr="0077128F" w:rsidRDefault="002C658A" w:rsidP="002C658A">
            <w:pPr>
              <w:jc w:val="center"/>
              <w:rPr>
                <w:sz w:val="22"/>
                <w:szCs w:val="22"/>
                <w:lang w:eastAsia="en-AU"/>
              </w:rPr>
            </w:pPr>
            <w:r w:rsidRPr="0077128F">
              <w:rPr>
                <w:sz w:val="22"/>
                <w:szCs w:val="22"/>
                <w:lang w:eastAsia="en-AU"/>
              </w:rPr>
              <w:t>-</w:t>
            </w:r>
          </w:p>
          <w:p w14:paraId="7D2EC5A7" w14:textId="0AEA906A" w:rsidR="002C658A" w:rsidRPr="0077128F" w:rsidRDefault="002C658A" w:rsidP="002C658A">
            <w:pPr>
              <w:jc w:val="center"/>
              <w:rPr>
                <w:sz w:val="22"/>
                <w:szCs w:val="22"/>
                <w:lang w:eastAsia="en-AU"/>
              </w:rPr>
            </w:pPr>
            <w:r w:rsidRPr="0077128F">
              <w:rPr>
                <w:sz w:val="22"/>
                <w:szCs w:val="22"/>
                <w:lang w:eastAsia="en-AU"/>
              </w:rPr>
              <w:t>-</w:t>
            </w:r>
          </w:p>
        </w:tc>
      </w:tr>
      <w:tr w:rsidR="00B242F4" w:rsidRPr="0077128F" w14:paraId="5AB4B83A" w14:textId="4F21190A" w:rsidTr="0003415E">
        <w:trPr>
          <w:trHeight w:val="610"/>
          <w:jc w:val="center"/>
        </w:trPr>
        <w:tc>
          <w:tcPr>
            <w:tcW w:w="2830" w:type="dxa"/>
            <w:shd w:val="clear" w:color="auto" w:fill="auto"/>
          </w:tcPr>
          <w:p w14:paraId="378D5BE4" w14:textId="639824C7" w:rsidR="009E484F" w:rsidRPr="0077128F" w:rsidRDefault="009E484F" w:rsidP="001F0EA2">
            <w:pPr>
              <w:rPr>
                <w:sz w:val="22"/>
                <w:szCs w:val="22"/>
                <w:lang w:eastAsia="en-AU"/>
              </w:rPr>
            </w:pPr>
            <w:r w:rsidRPr="0077128F">
              <w:rPr>
                <w:sz w:val="22"/>
                <w:szCs w:val="22"/>
                <w:lang w:eastAsia="en-AU"/>
              </w:rPr>
              <w:t>Canberra Institute of Technology Governing Board</w:t>
            </w:r>
          </w:p>
        </w:tc>
        <w:tc>
          <w:tcPr>
            <w:tcW w:w="2812" w:type="dxa"/>
            <w:shd w:val="clear" w:color="auto" w:fill="auto"/>
          </w:tcPr>
          <w:p w14:paraId="450AFE63" w14:textId="1DD6A0AE" w:rsidR="009E484F" w:rsidRPr="0077128F" w:rsidRDefault="009E484F" w:rsidP="001F0EA2">
            <w:pPr>
              <w:rPr>
                <w:sz w:val="22"/>
                <w:szCs w:val="22"/>
                <w:lang w:eastAsia="en-AU"/>
              </w:rPr>
            </w:pPr>
            <w:r w:rsidRPr="0077128F">
              <w:rPr>
                <w:sz w:val="22"/>
                <w:szCs w:val="22"/>
                <w:lang w:eastAsia="en-AU"/>
              </w:rPr>
              <w:t xml:space="preserve">Chair </w:t>
            </w:r>
          </w:p>
          <w:p w14:paraId="51CDFD85" w14:textId="4DDEF72C" w:rsidR="009E484F" w:rsidRPr="0077128F" w:rsidRDefault="009E484F" w:rsidP="001F0EA2">
            <w:pPr>
              <w:rPr>
                <w:sz w:val="22"/>
                <w:szCs w:val="22"/>
                <w:lang w:eastAsia="en-AU"/>
              </w:rPr>
            </w:pPr>
            <w:r w:rsidRPr="0077128F">
              <w:rPr>
                <w:sz w:val="22"/>
                <w:szCs w:val="22"/>
                <w:lang w:eastAsia="en-AU"/>
              </w:rPr>
              <w:t xml:space="preserve">Deputy Chair </w:t>
            </w:r>
          </w:p>
          <w:p w14:paraId="6683C42F" w14:textId="5FDF8FB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476810F" w14:textId="2F261DF7" w:rsidR="009E484F" w:rsidRPr="0077128F" w:rsidRDefault="002C658A" w:rsidP="002C658A">
            <w:pPr>
              <w:jc w:val="center"/>
              <w:rPr>
                <w:bCs/>
                <w:sz w:val="22"/>
                <w:szCs w:val="22"/>
              </w:rPr>
            </w:pPr>
            <w:r w:rsidRPr="0077128F">
              <w:rPr>
                <w:bCs/>
                <w:sz w:val="22"/>
                <w:szCs w:val="22"/>
              </w:rPr>
              <w:t>-</w:t>
            </w:r>
          </w:p>
          <w:p w14:paraId="2141EAFA" w14:textId="645862D2" w:rsidR="009E484F" w:rsidRPr="0077128F" w:rsidRDefault="002C658A" w:rsidP="002C658A">
            <w:pPr>
              <w:jc w:val="center"/>
              <w:rPr>
                <w:bCs/>
                <w:sz w:val="22"/>
                <w:szCs w:val="22"/>
              </w:rPr>
            </w:pPr>
            <w:r w:rsidRPr="0077128F">
              <w:rPr>
                <w:bCs/>
                <w:sz w:val="22"/>
                <w:szCs w:val="22"/>
              </w:rPr>
              <w:t>-</w:t>
            </w:r>
          </w:p>
          <w:p w14:paraId="62D684E2" w14:textId="56C15A3F" w:rsidR="009E484F" w:rsidRPr="0077128F" w:rsidRDefault="00CE1EFA" w:rsidP="002C658A">
            <w:pPr>
              <w:jc w:val="center"/>
              <w:rPr>
                <w:bCs/>
                <w:sz w:val="22"/>
                <w:szCs w:val="22"/>
              </w:rPr>
            </w:pPr>
            <w:r w:rsidRPr="0077128F">
              <w:rPr>
                <w:bCs/>
                <w:sz w:val="22"/>
                <w:szCs w:val="22"/>
              </w:rPr>
              <w:t>$6</w:t>
            </w:r>
            <w:r w:rsidR="00BC540D" w:rsidRPr="0077128F">
              <w:rPr>
                <w:bCs/>
                <w:sz w:val="22"/>
                <w:szCs w:val="22"/>
              </w:rPr>
              <w:t>15</w:t>
            </w:r>
          </w:p>
        </w:tc>
        <w:tc>
          <w:tcPr>
            <w:tcW w:w="1688" w:type="dxa"/>
            <w:gridSpan w:val="2"/>
          </w:tcPr>
          <w:p w14:paraId="09F3CAC1" w14:textId="5FB4C2D4" w:rsidR="00BC540D" w:rsidRPr="0077128F" w:rsidRDefault="00BC540D" w:rsidP="00BC540D">
            <w:pPr>
              <w:jc w:val="center"/>
              <w:rPr>
                <w:bCs/>
                <w:sz w:val="22"/>
                <w:szCs w:val="22"/>
              </w:rPr>
            </w:pPr>
            <w:r w:rsidRPr="0077128F">
              <w:rPr>
                <w:bCs/>
                <w:sz w:val="22"/>
                <w:szCs w:val="22"/>
              </w:rPr>
              <w:t>$59,230</w:t>
            </w:r>
          </w:p>
          <w:p w14:paraId="68B5F18D" w14:textId="34A33029" w:rsidR="00BC540D" w:rsidRPr="0077128F" w:rsidRDefault="00BC540D" w:rsidP="00BC540D">
            <w:pPr>
              <w:jc w:val="center"/>
              <w:rPr>
                <w:bCs/>
                <w:sz w:val="22"/>
                <w:szCs w:val="22"/>
              </w:rPr>
            </w:pPr>
            <w:r w:rsidRPr="0077128F">
              <w:rPr>
                <w:bCs/>
                <w:sz w:val="22"/>
                <w:szCs w:val="22"/>
              </w:rPr>
              <w:t>$29,620</w:t>
            </w:r>
          </w:p>
          <w:p w14:paraId="43CA6A20" w14:textId="1977A251" w:rsidR="002C658A" w:rsidRPr="0077128F" w:rsidRDefault="002C658A" w:rsidP="002C658A">
            <w:pPr>
              <w:jc w:val="center"/>
              <w:rPr>
                <w:bCs/>
                <w:sz w:val="22"/>
                <w:szCs w:val="22"/>
              </w:rPr>
            </w:pPr>
            <w:r w:rsidRPr="0077128F">
              <w:rPr>
                <w:bCs/>
                <w:sz w:val="22"/>
                <w:szCs w:val="22"/>
              </w:rPr>
              <w:t>-</w:t>
            </w:r>
          </w:p>
        </w:tc>
      </w:tr>
      <w:tr w:rsidR="00B242F4" w:rsidRPr="0077128F" w14:paraId="7534FBC5" w14:textId="47563121" w:rsidTr="0003415E">
        <w:trPr>
          <w:trHeight w:val="610"/>
          <w:jc w:val="center"/>
        </w:trPr>
        <w:tc>
          <w:tcPr>
            <w:tcW w:w="2830" w:type="dxa"/>
            <w:shd w:val="clear" w:color="auto" w:fill="auto"/>
          </w:tcPr>
          <w:p w14:paraId="138B502B" w14:textId="77777777" w:rsidR="009E484F" w:rsidRPr="0077128F" w:rsidRDefault="009E484F" w:rsidP="001F0EA2">
            <w:pPr>
              <w:rPr>
                <w:sz w:val="22"/>
                <w:szCs w:val="22"/>
                <w:lang w:eastAsia="en-AU"/>
              </w:rPr>
            </w:pPr>
            <w:r w:rsidRPr="0077128F">
              <w:rPr>
                <w:sz w:val="22"/>
                <w:szCs w:val="22"/>
                <w:lang w:eastAsia="en-AU"/>
              </w:rPr>
              <w:t>Canberra Region Medical Education Council</w:t>
            </w:r>
          </w:p>
        </w:tc>
        <w:tc>
          <w:tcPr>
            <w:tcW w:w="2812" w:type="dxa"/>
            <w:shd w:val="clear" w:color="auto" w:fill="auto"/>
          </w:tcPr>
          <w:p w14:paraId="628F408F" w14:textId="1E98FCC8" w:rsidR="009E484F" w:rsidRPr="0077128F" w:rsidRDefault="009E484F" w:rsidP="001F0EA2">
            <w:pPr>
              <w:rPr>
                <w:sz w:val="22"/>
                <w:szCs w:val="22"/>
                <w:lang w:eastAsia="en-AU"/>
              </w:rPr>
            </w:pPr>
            <w:r w:rsidRPr="0077128F">
              <w:rPr>
                <w:sz w:val="22"/>
                <w:szCs w:val="22"/>
                <w:lang w:eastAsia="en-AU"/>
              </w:rPr>
              <w:t xml:space="preserve">External representative members </w:t>
            </w:r>
          </w:p>
        </w:tc>
        <w:tc>
          <w:tcPr>
            <w:tcW w:w="1687" w:type="dxa"/>
            <w:gridSpan w:val="2"/>
            <w:shd w:val="clear" w:color="auto" w:fill="auto"/>
            <w:noWrap/>
          </w:tcPr>
          <w:p w14:paraId="2CAC9DF8" w14:textId="33F36D06" w:rsidR="009E484F" w:rsidRPr="0077128F" w:rsidRDefault="00CE1EFA" w:rsidP="002C658A">
            <w:pPr>
              <w:jc w:val="center"/>
              <w:rPr>
                <w:sz w:val="22"/>
                <w:szCs w:val="22"/>
                <w:lang w:eastAsia="en-AU"/>
              </w:rPr>
            </w:pPr>
            <w:r w:rsidRPr="0077128F">
              <w:rPr>
                <w:bCs/>
                <w:sz w:val="22"/>
                <w:szCs w:val="22"/>
              </w:rPr>
              <w:t>$4</w:t>
            </w:r>
            <w:r w:rsidR="00BC540D" w:rsidRPr="0077128F">
              <w:rPr>
                <w:bCs/>
                <w:sz w:val="22"/>
                <w:szCs w:val="22"/>
              </w:rPr>
              <w:t>80</w:t>
            </w:r>
          </w:p>
        </w:tc>
        <w:tc>
          <w:tcPr>
            <w:tcW w:w="1688" w:type="dxa"/>
            <w:gridSpan w:val="2"/>
          </w:tcPr>
          <w:p w14:paraId="50A7A138" w14:textId="14973285" w:rsidR="009E484F" w:rsidRPr="0077128F" w:rsidRDefault="002C658A" w:rsidP="002C658A">
            <w:pPr>
              <w:jc w:val="center"/>
              <w:rPr>
                <w:sz w:val="22"/>
                <w:szCs w:val="22"/>
                <w:lang w:eastAsia="en-AU"/>
              </w:rPr>
            </w:pPr>
            <w:r w:rsidRPr="0077128F">
              <w:rPr>
                <w:sz w:val="22"/>
                <w:szCs w:val="22"/>
                <w:lang w:eastAsia="en-AU"/>
              </w:rPr>
              <w:t>-</w:t>
            </w:r>
          </w:p>
        </w:tc>
      </w:tr>
      <w:tr w:rsidR="00CD176E" w:rsidRPr="0077128F" w14:paraId="33897A32" w14:textId="77777777" w:rsidTr="0003415E">
        <w:trPr>
          <w:trHeight w:val="610"/>
          <w:jc w:val="center"/>
        </w:trPr>
        <w:tc>
          <w:tcPr>
            <w:tcW w:w="2830" w:type="dxa"/>
            <w:shd w:val="clear" w:color="auto" w:fill="auto"/>
          </w:tcPr>
          <w:p w14:paraId="2A55BEE4" w14:textId="77777777" w:rsidR="00CD176E" w:rsidRPr="0077128F" w:rsidRDefault="00CD176E" w:rsidP="00CD176E">
            <w:pPr>
              <w:rPr>
                <w:sz w:val="22"/>
                <w:szCs w:val="22"/>
                <w:lang w:eastAsia="en-AU"/>
              </w:rPr>
            </w:pPr>
            <w:r w:rsidRPr="0077128F">
              <w:rPr>
                <w:sz w:val="22"/>
                <w:szCs w:val="22"/>
                <w:lang w:eastAsia="en-AU"/>
              </w:rPr>
              <w:t>Children and Young People Death Review Committee</w:t>
            </w:r>
          </w:p>
        </w:tc>
        <w:tc>
          <w:tcPr>
            <w:tcW w:w="2812" w:type="dxa"/>
            <w:shd w:val="clear" w:color="auto" w:fill="auto"/>
          </w:tcPr>
          <w:p w14:paraId="3688E760" w14:textId="77777777" w:rsidR="00CD176E" w:rsidRPr="0077128F" w:rsidRDefault="00CD176E" w:rsidP="00CD176E">
            <w:pPr>
              <w:rPr>
                <w:sz w:val="22"/>
                <w:szCs w:val="22"/>
                <w:lang w:eastAsia="en-AU"/>
              </w:rPr>
            </w:pPr>
            <w:r w:rsidRPr="0077128F">
              <w:rPr>
                <w:sz w:val="22"/>
                <w:szCs w:val="22"/>
                <w:lang w:eastAsia="en-AU"/>
              </w:rPr>
              <w:t xml:space="preserve">Chair </w:t>
            </w:r>
          </w:p>
          <w:p w14:paraId="3D2130B5" w14:textId="77777777"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D5659A2" w14:textId="3BC9A9E7" w:rsidR="00CD176E" w:rsidRPr="0077128F" w:rsidRDefault="00CD176E" w:rsidP="00CD176E">
            <w:pPr>
              <w:jc w:val="center"/>
              <w:rPr>
                <w:bCs/>
                <w:sz w:val="22"/>
                <w:szCs w:val="22"/>
              </w:rPr>
            </w:pPr>
            <w:r w:rsidRPr="0077128F">
              <w:rPr>
                <w:bCs/>
                <w:sz w:val="22"/>
                <w:szCs w:val="22"/>
              </w:rPr>
              <w:t>$8</w:t>
            </w:r>
            <w:r w:rsidR="00BC540D" w:rsidRPr="0077128F">
              <w:rPr>
                <w:bCs/>
                <w:sz w:val="22"/>
                <w:szCs w:val="22"/>
              </w:rPr>
              <w:t>75</w:t>
            </w:r>
          </w:p>
          <w:p w14:paraId="34B97970" w14:textId="38365384" w:rsidR="00CD176E" w:rsidRPr="0077128F" w:rsidRDefault="00CD176E" w:rsidP="00CD176E">
            <w:pPr>
              <w:jc w:val="center"/>
              <w:rPr>
                <w:sz w:val="22"/>
                <w:szCs w:val="22"/>
                <w:lang w:eastAsia="en-AU"/>
              </w:rPr>
            </w:pPr>
            <w:r w:rsidRPr="0077128F">
              <w:rPr>
                <w:bCs/>
                <w:sz w:val="22"/>
                <w:szCs w:val="22"/>
              </w:rPr>
              <w:t>$</w:t>
            </w:r>
            <w:r w:rsidR="00BC540D" w:rsidRPr="0077128F">
              <w:rPr>
                <w:bCs/>
                <w:sz w:val="22"/>
                <w:szCs w:val="22"/>
              </w:rPr>
              <w:t>800</w:t>
            </w:r>
          </w:p>
        </w:tc>
        <w:tc>
          <w:tcPr>
            <w:tcW w:w="1688" w:type="dxa"/>
            <w:gridSpan w:val="2"/>
          </w:tcPr>
          <w:p w14:paraId="4A749282" w14:textId="77777777" w:rsidR="00CD176E" w:rsidRPr="0077128F" w:rsidRDefault="00CD176E" w:rsidP="00CD176E">
            <w:pPr>
              <w:jc w:val="center"/>
              <w:rPr>
                <w:sz w:val="22"/>
                <w:szCs w:val="22"/>
                <w:lang w:eastAsia="en-AU"/>
              </w:rPr>
            </w:pPr>
            <w:r w:rsidRPr="0077128F">
              <w:rPr>
                <w:sz w:val="22"/>
                <w:szCs w:val="22"/>
                <w:lang w:eastAsia="en-AU"/>
              </w:rPr>
              <w:t>-</w:t>
            </w:r>
          </w:p>
          <w:p w14:paraId="75255060" w14:textId="77777777"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266EFB6B" w14:textId="49E0C034" w:rsidTr="0003415E">
        <w:trPr>
          <w:trHeight w:val="610"/>
          <w:jc w:val="center"/>
        </w:trPr>
        <w:tc>
          <w:tcPr>
            <w:tcW w:w="2830" w:type="dxa"/>
            <w:shd w:val="clear" w:color="auto" w:fill="auto"/>
          </w:tcPr>
          <w:p w14:paraId="335C6EA4" w14:textId="77777777" w:rsidR="009E484F" w:rsidRPr="0077128F" w:rsidRDefault="009E484F" w:rsidP="001F0EA2">
            <w:pPr>
              <w:rPr>
                <w:sz w:val="22"/>
                <w:szCs w:val="22"/>
                <w:lang w:eastAsia="en-AU"/>
              </w:rPr>
            </w:pPr>
            <w:r w:rsidRPr="0077128F">
              <w:rPr>
                <w:sz w:val="22"/>
                <w:szCs w:val="22"/>
                <w:lang w:eastAsia="en-AU"/>
              </w:rPr>
              <w:t>Children and Youth Services Council</w:t>
            </w:r>
          </w:p>
        </w:tc>
        <w:tc>
          <w:tcPr>
            <w:tcW w:w="2812" w:type="dxa"/>
            <w:shd w:val="clear" w:color="auto" w:fill="auto"/>
          </w:tcPr>
          <w:p w14:paraId="7C0D55B4" w14:textId="6E2638F4" w:rsidR="009E484F" w:rsidRPr="0077128F" w:rsidRDefault="009E484F" w:rsidP="001F0EA2">
            <w:pPr>
              <w:rPr>
                <w:sz w:val="22"/>
                <w:szCs w:val="22"/>
                <w:lang w:eastAsia="en-AU"/>
              </w:rPr>
            </w:pPr>
            <w:r w:rsidRPr="0077128F">
              <w:rPr>
                <w:sz w:val="22"/>
                <w:szCs w:val="22"/>
                <w:lang w:eastAsia="en-AU"/>
              </w:rPr>
              <w:t xml:space="preserve">Chair </w:t>
            </w:r>
          </w:p>
          <w:p w14:paraId="269DC936" w14:textId="4B63E09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B5EDF63" w14:textId="77777777" w:rsidR="00CE1EFA" w:rsidRPr="0077128F" w:rsidRDefault="00CE1EFA" w:rsidP="002C658A">
            <w:pPr>
              <w:jc w:val="center"/>
              <w:rPr>
                <w:bCs/>
                <w:sz w:val="22"/>
                <w:szCs w:val="22"/>
              </w:rPr>
            </w:pPr>
            <w:r w:rsidRPr="0077128F">
              <w:rPr>
                <w:bCs/>
                <w:sz w:val="22"/>
                <w:szCs w:val="22"/>
              </w:rPr>
              <w:t>$690</w:t>
            </w:r>
          </w:p>
          <w:p w14:paraId="51C24F74" w14:textId="52BF96D1" w:rsidR="009E484F" w:rsidRPr="0077128F" w:rsidRDefault="00CE1EFA" w:rsidP="002C658A">
            <w:pPr>
              <w:jc w:val="center"/>
              <w:rPr>
                <w:sz w:val="22"/>
                <w:szCs w:val="22"/>
                <w:lang w:eastAsia="en-AU"/>
              </w:rPr>
            </w:pPr>
            <w:r w:rsidRPr="0077128F">
              <w:rPr>
                <w:bCs/>
                <w:sz w:val="22"/>
                <w:szCs w:val="22"/>
              </w:rPr>
              <w:t>$5</w:t>
            </w:r>
            <w:r w:rsidR="00BC540D" w:rsidRPr="0077128F">
              <w:rPr>
                <w:bCs/>
                <w:sz w:val="22"/>
                <w:szCs w:val="22"/>
              </w:rPr>
              <w:t>55</w:t>
            </w:r>
          </w:p>
        </w:tc>
        <w:tc>
          <w:tcPr>
            <w:tcW w:w="1688" w:type="dxa"/>
            <w:gridSpan w:val="2"/>
          </w:tcPr>
          <w:p w14:paraId="2DCCBBCE" w14:textId="77777777" w:rsidR="009E484F" w:rsidRPr="0077128F" w:rsidRDefault="002C658A" w:rsidP="002C658A">
            <w:pPr>
              <w:jc w:val="center"/>
              <w:rPr>
                <w:sz w:val="22"/>
                <w:szCs w:val="22"/>
                <w:lang w:eastAsia="en-AU"/>
              </w:rPr>
            </w:pPr>
            <w:r w:rsidRPr="0077128F">
              <w:rPr>
                <w:sz w:val="22"/>
                <w:szCs w:val="22"/>
                <w:lang w:eastAsia="en-AU"/>
              </w:rPr>
              <w:t>-</w:t>
            </w:r>
          </w:p>
          <w:p w14:paraId="4E3A6315" w14:textId="224D8FED" w:rsidR="002C658A" w:rsidRPr="0077128F" w:rsidRDefault="002C658A" w:rsidP="002C658A">
            <w:pPr>
              <w:jc w:val="center"/>
              <w:rPr>
                <w:sz w:val="22"/>
                <w:szCs w:val="22"/>
                <w:lang w:eastAsia="en-AU"/>
              </w:rPr>
            </w:pPr>
            <w:r w:rsidRPr="0077128F">
              <w:rPr>
                <w:sz w:val="22"/>
                <w:szCs w:val="22"/>
                <w:lang w:eastAsia="en-AU"/>
              </w:rPr>
              <w:t>-</w:t>
            </w:r>
          </w:p>
        </w:tc>
      </w:tr>
      <w:tr w:rsidR="00CD176E" w:rsidRPr="0077128F" w14:paraId="625D96D9" w14:textId="77777777" w:rsidTr="0003415E">
        <w:trPr>
          <w:trHeight w:val="610"/>
          <w:jc w:val="center"/>
        </w:trPr>
        <w:tc>
          <w:tcPr>
            <w:tcW w:w="2830" w:type="dxa"/>
            <w:shd w:val="clear" w:color="auto" w:fill="auto"/>
          </w:tcPr>
          <w:p w14:paraId="0FA0DD33" w14:textId="5FE8DF9C" w:rsidR="00CD176E" w:rsidRPr="0077128F" w:rsidRDefault="00CD176E" w:rsidP="00CD176E">
            <w:pPr>
              <w:rPr>
                <w:sz w:val="22"/>
                <w:szCs w:val="22"/>
                <w:lang w:eastAsia="en-AU"/>
              </w:rPr>
            </w:pPr>
            <w:r w:rsidRPr="0077128F">
              <w:rPr>
                <w:sz w:val="22"/>
                <w:szCs w:val="22"/>
              </w:rPr>
              <w:t>Clinical Leadership Forum</w:t>
            </w:r>
          </w:p>
        </w:tc>
        <w:tc>
          <w:tcPr>
            <w:tcW w:w="2812" w:type="dxa"/>
            <w:shd w:val="clear" w:color="auto" w:fill="auto"/>
          </w:tcPr>
          <w:p w14:paraId="7E07A5BD" w14:textId="77777777" w:rsidR="00CD176E" w:rsidRPr="0077128F" w:rsidRDefault="00CD176E" w:rsidP="00CD176E">
            <w:pPr>
              <w:rPr>
                <w:sz w:val="22"/>
                <w:szCs w:val="22"/>
                <w:lang w:eastAsia="en-AU"/>
              </w:rPr>
            </w:pPr>
            <w:r w:rsidRPr="0077128F">
              <w:rPr>
                <w:sz w:val="22"/>
                <w:szCs w:val="22"/>
                <w:lang w:eastAsia="en-AU"/>
              </w:rPr>
              <w:t xml:space="preserve">Chair </w:t>
            </w:r>
          </w:p>
          <w:p w14:paraId="2952B217" w14:textId="066E30AF" w:rsidR="00CD176E" w:rsidRPr="0077128F" w:rsidRDefault="00CD176E" w:rsidP="00CD176E">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C4E6824" w14:textId="6369E406" w:rsidR="00CD176E" w:rsidRPr="0077128F" w:rsidRDefault="00CD176E" w:rsidP="00CD176E">
            <w:pPr>
              <w:jc w:val="center"/>
              <w:rPr>
                <w:bCs/>
                <w:sz w:val="22"/>
                <w:szCs w:val="22"/>
              </w:rPr>
            </w:pPr>
            <w:r w:rsidRPr="0077128F">
              <w:rPr>
                <w:bCs/>
                <w:sz w:val="22"/>
                <w:szCs w:val="22"/>
              </w:rPr>
              <w:t>$5</w:t>
            </w:r>
            <w:r w:rsidR="00BC540D" w:rsidRPr="0077128F">
              <w:rPr>
                <w:bCs/>
                <w:sz w:val="22"/>
                <w:szCs w:val="22"/>
              </w:rPr>
              <w:t>55</w:t>
            </w:r>
          </w:p>
          <w:p w14:paraId="6486D78C" w14:textId="0E938252" w:rsidR="00CD176E" w:rsidRPr="0077128F" w:rsidRDefault="00CD176E" w:rsidP="00CD176E">
            <w:pPr>
              <w:jc w:val="center"/>
              <w:rPr>
                <w:bCs/>
                <w:sz w:val="22"/>
                <w:szCs w:val="22"/>
              </w:rPr>
            </w:pPr>
            <w:r w:rsidRPr="0077128F">
              <w:rPr>
                <w:bCs/>
                <w:sz w:val="22"/>
                <w:szCs w:val="22"/>
              </w:rPr>
              <w:t>$4</w:t>
            </w:r>
            <w:r w:rsidR="00BC540D" w:rsidRPr="0077128F">
              <w:rPr>
                <w:bCs/>
                <w:sz w:val="22"/>
                <w:szCs w:val="22"/>
              </w:rPr>
              <w:t>80</w:t>
            </w:r>
          </w:p>
        </w:tc>
        <w:tc>
          <w:tcPr>
            <w:tcW w:w="1688" w:type="dxa"/>
            <w:gridSpan w:val="2"/>
          </w:tcPr>
          <w:p w14:paraId="08766CE7" w14:textId="77777777" w:rsidR="00CD176E" w:rsidRPr="0077128F" w:rsidRDefault="00CD176E" w:rsidP="00CD176E">
            <w:pPr>
              <w:jc w:val="center"/>
              <w:rPr>
                <w:sz w:val="22"/>
                <w:szCs w:val="22"/>
                <w:lang w:eastAsia="en-AU"/>
              </w:rPr>
            </w:pPr>
            <w:r w:rsidRPr="0077128F">
              <w:rPr>
                <w:sz w:val="22"/>
                <w:szCs w:val="22"/>
                <w:lang w:eastAsia="en-AU"/>
              </w:rPr>
              <w:t>-</w:t>
            </w:r>
          </w:p>
          <w:p w14:paraId="240802BB" w14:textId="423C92F0" w:rsidR="00CD176E" w:rsidRPr="0077128F" w:rsidRDefault="00CD176E" w:rsidP="00CD176E">
            <w:pPr>
              <w:jc w:val="center"/>
              <w:rPr>
                <w:sz w:val="22"/>
                <w:szCs w:val="22"/>
                <w:lang w:eastAsia="en-AU"/>
              </w:rPr>
            </w:pPr>
            <w:r w:rsidRPr="0077128F">
              <w:rPr>
                <w:sz w:val="22"/>
                <w:szCs w:val="22"/>
                <w:lang w:eastAsia="en-AU"/>
              </w:rPr>
              <w:t>-</w:t>
            </w:r>
          </w:p>
        </w:tc>
      </w:tr>
      <w:tr w:rsidR="00B242F4" w:rsidRPr="0077128F" w14:paraId="74BDA426" w14:textId="30F7EE74" w:rsidTr="0003415E">
        <w:trPr>
          <w:trHeight w:val="610"/>
          <w:jc w:val="center"/>
        </w:trPr>
        <w:tc>
          <w:tcPr>
            <w:tcW w:w="2830" w:type="dxa"/>
            <w:shd w:val="clear" w:color="auto" w:fill="auto"/>
          </w:tcPr>
          <w:p w14:paraId="1F4B28CD" w14:textId="77777777" w:rsidR="009E484F" w:rsidRPr="0077128F" w:rsidRDefault="009E484F" w:rsidP="001F0EA2">
            <w:pPr>
              <w:rPr>
                <w:sz w:val="22"/>
                <w:szCs w:val="22"/>
                <w:lang w:eastAsia="en-AU"/>
              </w:rPr>
            </w:pPr>
            <w:r w:rsidRPr="0077128F">
              <w:rPr>
                <w:sz w:val="22"/>
                <w:szCs w:val="22"/>
                <w:lang w:eastAsia="en-AU"/>
              </w:rPr>
              <w:t>City Renewal Authority Board</w:t>
            </w:r>
          </w:p>
        </w:tc>
        <w:tc>
          <w:tcPr>
            <w:tcW w:w="2812" w:type="dxa"/>
            <w:shd w:val="clear" w:color="auto" w:fill="auto"/>
          </w:tcPr>
          <w:p w14:paraId="2169002A" w14:textId="7DBD2327" w:rsidR="009E484F" w:rsidRPr="0077128F" w:rsidRDefault="009E484F" w:rsidP="001F0EA2">
            <w:pPr>
              <w:rPr>
                <w:sz w:val="22"/>
                <w:szCs w:val="22"/>
                <w:lang w:eastAsia="en-AU"/>
              </w:rPr>
            </w:pPr>
            <w:r w:rsidRPr="0077128F">
              <w:rPr>
                <w:sz w:val="22"/>
                <w:szCs w:val="22"/>
                <w:lang w:eastAsia="en-AU"/>
              </w:rPr>
              <w:t xml:space="preserve">Chair </w:t>
            </w:r>
          </w:p>
          <w:p w14:paraId="54380DDE" w14:textId="5BFA9D01" w:rsidR="009E484F" w:rsidRPr="0077128F" w:rsidRDefault="009E484F" w:rsidP="001F0EA2">
            <w:pPr>
              <w:rPr>
                <w:sz w:val="22"/>
                <w:szCs w:val="22"/>
                <w:lang w:eastAsia="en-AU"/>
              </w:rPr>
            </w:pPr>
            <w:r w:rsidRPr="0077128F">
              <w:rPr>
                <w:sz w:val="22"/>
                <w:szCs w:val="22"/>
                <w:lang w:eastAsia="en-AU"/>
              </w:rPr>
              <w:t xml:space="preserve">Deputy Chair </w:t>
            </w:r>
          </w:p>
          <w:p w14:paraId="0578E9D9" w14:textId="386629B9"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12EB3DA" w14:textId="77777777" w:rsidR="009E484F" w:rsidRPr="0077128F" w:rsidRDefault="002C658A" w:rsidP="002C658A">
            <w:pPr>
              <w:jc w:val="center"/>
              <w:rPr>
                <w:sz w:val="22"/>
                <w:szCs w:val="22"/>
                <w:lang w:eastAsia="en-AU"/>
              </w:rPr>
            </w:pPr>
            <w:r w:rsidRPr="0077128F">
              <w:rPr>
                <w:sz w:val="22"/>
                <w:szCs w:val="22"/>
                <w:lang w:eastAsia="en-AU"/>
              </w:rPr>
              <w:t>-</w:t>
            </w:r>
          </w:p>
          <w:p w14:paraId="1520992A" w14:textId="77777777" w:rsidR="002C658A" w:rsidRPr="0077128F" w:rsidRDefault="002C658A" w:rsidP="002C658A">
            <w:pPr>
              <w:jc w:val="center"/>
              <w:rPr>
                <w:sz w:val="22"/>
                <w:szCs w:val="22"/>
                <w:lang w:eastAsia="en-AU"/>
              </w:rPr>
            </w:pPr>
            <w:r w:rsidRPr="0077128F">
              <w:rPr>
                <w:sz w:val="22"/>
                <w:szCs w:val="22"/>
                <w:lang w:eastAsia="en-AU"/>
              </w:rPr>
              <w:t>-</w:t>
            </w:r>
          </w:p>
          <w:p w14:paraId="79F2DAB7" w14:textId="36BE11AC" w:rsidR="002C658A" w:rsidRPr="0077128F" w:rsidRDefault="002C658A" w:rsidP="002C658A">
            <w:pPr>
              <w:jc w:val="center"/>
              <w:rPr>
                <w:sz w:val="22"/>
                <w:szCs w:val="22"/>
                <w:highlight w:val="yellow"/>
                <w:lang w:eastAsia="en-AU"/>
              </w:rPr>
            </w:pPr>
            <w:r w:rsidRPr="0077128F">
              <w:rPr>
                <w:sz w:val="22"/>
                <w:szCs w:val="22"/>
                <w:lang w:eastAsia="en-AU"/>
              </w:rPr>
              <w:t>-</w:t>
            </w:r>
          </w:p>
        </w:tc>
        <w:tc>
          <w:tcPr>
            <w:tcW w:w="1688" w:type="dxa"/>
            <w:gridSpan w:val="2"/>
          </w:tcPr>
          <w:p w14:paraId="03936326" w14:textId="7E9EBAD4" w:rsidR="00B64415" w:rsidRPr="0077128F" w:rsidRDefault="00B64415" w:rsidP="00B64415">
            <w:pPr>
              <w:jc w:val="center"/>
              <w:rPr>
                <w:bCs/>
                <w:sz w:val="22"/>
                <w:szCs w:val="22"/>
              </w:rPr>
            </w:pPr>
            <w:r w:rsidRPr="0077128F">
              <w:rPr>
                <w:bCs/>
                <w:sz w:val="22"/>
                <w:szCs w:val="22"/>
              </w:rPr>
              <w:t>$75,385</w:t>
            </w:r>
          </w:p>
          <w:p w14:paraId="484F64E6" w14:textId="2A725054" w:rsidR="00B64415" w:rsidRPr="0077128F" w:rsidRDefault="00B64415" w:rsidP="00B64415">
            <w:pPr>
              <w:jc w:val="center"/>
              <w:rPr>
                <w:bCs/>
                <w:sz w:val="22"/>
                <w:szCs w:val="22"/>
              </w:rPr>
            </w:pPr>
            <w:r w:rsidRPr="0077128F">
              <w:rPr>
                <w:bCs/>
                <w:sz w:val="22"/>
                <w:szCs w:val="22"/>
              </w:rPr>
              <w:t>$60,310</w:t>
            </w:r>
          </w:p>
          <w:p w14:paraId="3283991B" w14:textId="408E4715" w:rsidR="009E484F" w:rsidRPr="0077128F" w:rsidRDefault="00B64415" w:rsidP="00B64415">
            <w:pPr>
              <w:jc w:val="center"/>
              <w:rPr>
                <w:bCs/>
                <w:sz w:val="22"/>
                <w:szCs w:val="22"/>
              </w:rPr>
            </w:pPr>
            <w:r w:rsidRPr="0077128F">
              <w:rPr>
                <w:bCs/>
                <w:sz w:val="22"/>
                <w:szCs w:val="22"/>
              </w:rPr>
              <w:t>$40,395</w:t>
            </w:r>
          </w:p>
        </w:tc>
      </w:tr>
      <w:tr w:rsidR="00B242F4" w:rsidRPr="0077128F" w14:paraId="7FD4C50D" w14:textId="7D9566CA" w:rsidTr="0003415E">
        <w:trPr>
          <w:trHeight w:val="610"/>
          <w:jc w:val="center"/>
        </w:trPr>
        <w:tc>
          <w:tcPr>
            <w:tcW w:w="2830" w:type="dxa"/>
            <w:shd w:val="clear" w:color="auto" w:fill="auto"/>
          </w:tcPr>
          <w:p w14:paraId="3E82895F" w14:textId="1EA0923D" w:rsidR="009E484F" w:rsidRPr="0077128F" w:rsidRDefault="009E484F" w:rsidP="001F0EA2">
            <w:pPr>
              <w:rPr>
                <w:sz w:val="22"/>
                <w:szCs w:val="22"/>
                <w:lang w:eastAsia="en-AU"/>
              </w:rPr>
            </w:pPr>
            <w:r w:rsidRPr="0077128F">
              <w:rPr>
                <w:sz w:val="22"/>
                <w:szCs w:val="22"/>
                <w:lang w:eastAsia="en-AU"/>
              </w:rPr>
              <w:t>Climate Change Council</w:t>
            </w:r>
          </w:p>
        </w:tc>
        <w:tc>
          <w:tcPr>
            <w:tcW w:w="2812" w:type="dxa"/>
            <w:shd w:val="clear" w:color="auto" w:fill="auto"/>
          </w:tcPr>
          <w:p w14:paraId="30DCCBB1" w14:textId="51AC4671" w:rsidR="009E484F" w:rsidRPr="0077128F" w:rsidRDefault="009E484F" w:rsidP="001F0EA2">
            <w:pPr>
              <w:rPr>
                <w:sz w:val="22"/>
                <w:szCs w:val="22"/>
                <w:lang w:eastAsia="en-AU"/>
              </w:rPr>
            </w:pPr>
            <w:r w:rsidRPr="0077128F">
              <w:rPr>
                <w:sz w:val="22"/>
                <w:szCs w:val="22"/>
                <w:lang w:eastAsia="en-AU"/>
              </w:rPr>
              <w:t xml:space="preserve">Chair </w:t>
            </w:r>
          </w:p>
          <w:p w14:paraId="217F1866" w14:textId="5917365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5E92779" w14:textId="0441FFAF" w:rsidR="00CE1EFA" w:rsidRPr="0077128F" w:rsidRDefault="00CE1EFA" w:rsidP="002C658A">
            <w:pPr>
              <w:jc w:val="center"/>
              <w:rPr>
                <w:bCs/>
                <w:sz w:val="22"/>
                <w:szCs w:val="22"/>
                <w:lang w:eastAsia="en-AU"/>
              </w:rPr>
            </w:pPr>
            <w:r w:rsidRPr="0077128F">
              <w:rPr>
                <w:bCs/>
                <w:sz w:val="22"/>
                <w:szCs w:val="22"/>
              </w:rPr>
              <w:t>$5</w:t>
            </w:r>
            <w:r w:rsidR="00B64415" w:rsidRPr="0077128F">
              <w:rPr>
                <w:bCs/>
                <w:sz w:val="22"/>
                <w:szCs w:val="22"/>
              </w:rPr>
              <w:t>55</w:t>
            </w:r>
          </w:p>
          <w:p w14:paraId="27BC59FB" w14:textId="18AD1564" w:rsidR="009E484F" w:rsidRPr="0077128F" w:rsidRDefault="00CE1EFA" w:rsidP="002C658A">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Pr>
          <w:p w14:paraId="737DF9A5" w14:textId="77777777" w:rsidR="009E484F" w:rsidRPr="0077128F" w:rsidRDefault="002C658A" w:rsidP="002C658A">
            <w:pPr>
              <w:jc w:val="center"/>
              <w:rPr>
                <w:sz w:val="22"/>
                <w:szCs w:val="22"/>
                <w:lang w:eastAsia="en-AU"/>
              </w:rPr>
            </w:pPr>
            <w:r w:rsidRPr="0077128F">
              <w:rPr>
                <w:sz w:val="22"/>
                <w:szCs w:val="22"/>
                <w:lang w:eastAsia="en-AU"/>
              </w:rPr>
              <w:t>-</w:t>
            </w:r>
          </w:p>
          <w:p w14:paraId="6795463F" w14:textId="0617FC1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36B4076" w14:textId="64B4CA42" w:rsidTr="0003415E">
        <w:trPr>
          <w:trHeight w:val="495"/>
          <w:jc w:val="center"/>
        </w:trPr>
        <w:tc>
          <w:tcPr>
            <w:tcW w:w="2830" w:type="dxa"/>
            <w:shd w:val="clear" w:color="auto" w:fill="auto"/>
          </w:tcPr>
          <w:p w14:paraId="156EB3D5" w14:textId="42DF2840" w:rsidR="009E484F" w:rsidRPr="0077128F" w:rsidRDefault="009E484F" w:rsidP="001F0EA2">
            <w:pPr>
              <w:rPr>
                <w:sz w:val="22"/>
                <w:szCs w:val="22"/>
                <w:lang w:eastAsia="en-AU"/>
              </w:rPr>
            </w:pPr>
            <w:r w:rsidRPr="0077128F">
              <w:rPr>
                <w:sz w:val="22"/>
                <w:szCs w:val="22"/>
                <w:lang w:eastAsia="en-AU"/>
              </w:rPr>
              <w:t>Corrections Adjudicator</w:t>
            </w:r>
          </w:p>
        </w:tc>
        <w:tc>
          <w:tcPr>
            <w:tcW w:w="2812" w:type="dxa"/>
            <w:shd w:val="clear" w:color="auto" w:fill="auto"/>
          </w:tcPr>
          <w:p w14:paraId="52F5A4BB" w14:textId="6A8D7B67" w:rsidR="009E484F" w:rsidRPr="0077128F" w:rsidRDefault="009E484F" w:rsidP="001F0EA2">
            <w:pPr>
              <w:rPr>
                <w:sz w:val="22"/>
                <w:szCs w:val="22"/>
                <w:lang w:eastAsia="en-AU"/>
              </w:rPr>
            </w:pPr>
            <w:r w:rsidRPr="0077128F">
              <w:rPr>
                <w:sz w:val="22"/>
                <w:szCs w:val="22"/>
                <w:lang w:eastAsia="en-AU"/>
              </w:rPr>
              <w:t xml:space="preserve">Corrections Adjudicator </w:t>
            </w:r>
          </w:p>
        </w:tc>
        <w:tc>
          <w:tcPr>
            <w:tcW w:w="1687" w:type="dxa"/>
            <w:gridSpan w:val="2"/>
            <w:shd w:val="clear" w:color="auto" w:fill="auto"/>
            <w:noWrap/>
          </w:tcPr>
          <w:p w14:paraId="34BD762C" w14:textId="5C8E56F3" w:rsidR="009E484F" w:rsidRPr="0077128F" w:rsidRDefault="00CE1EFA" w:rsidP="008306EE">
            <w:pPr>
              <w:jc w:val="center"/>
              <w:rPr>
                <w:bCs/>
                <w:sz w:val="22"/>
                <w:szCs w:val="22"/>
                <w:lang w:eastAsia="en-AU"/>
              </w:rPr>
            </w:pPr>
            <w:r w:rsidRPr="0077128F">
              <w:rPr>
                <w:bCs/>
                <w:sz w:val="22"/>
                <w:szCs w:val="22"/>
              </w:rPr>
              <w:t>$5</w:t>
            </w:r>
            <w:r w:rsidR="00B64415" w:rsidRPr="0077128F">
              <w:rPr>
                <w:bCs/>
                <w:sz w:val="22"/>
                <w:szCs w:val="22"/>
              </w:rPr>
              <w:t>55</w:t>
            </w:r>
          </w:p>
        </w:tc>
        <w:tc>
          <w:tcPr>
            <w:tcW w:w="1688" w:type="dxa"/>
            <w:gridSpan w:val="2"/>
          </w:tcPr>
          <w:p w14:paraId="06C02AFC" w14:textId="347123F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CEE061C" w14:textId="77777777" w:rsidTr="0003415E">
        <w:trPr>
          <w:trHeight w:val="610"/>
          <w:jc w:val="center"/>
        </w:trPr>
        <w:tc>
          <w:tcPr>
            <w:tcW w:w="2830" w:type="dxa"/>
            <w:shd w:val="clear" w:color="auto" w:fill="auto"/>
          </w:tcPr>
          <w:p w14:paraId="7521CAEF" w14:textId="1148D308" w:rsidR="001D466F" w:rsidRPr="0077128F" w:rsidRDefault="001D466F" w:rsidP="001D466F">
            <w:pPr>
              <w:rPr>
                <w:sz w:val="22"/>
                <w:szCs w:val="22"/>
                <w:lang w:eastAsia="en-AU"/>
              </w:rPr>
            </w:pPr>
            <w:r w:rsidRPr="0077128F">
              <w:rPr>
                <w:sz w:val="22"/>
                <w:szCs w:val="22"/>
                <w:lang w:eastAsia="en-AU"/>
              </w:rPr>
              <w:t>Creative Council</w:t>
            </w:r>
          </w:p>
        </w:tc>
        <w:tc>
          <w:tcPr>
            <w:tcW w:w="2812" w:type="dxa"/>
            <w:shd w:val="clear" w:color="auto" w:fill="auto"/>
          </w:tcPr>
          <w:p w14:paraId="4562B631" w14:textId="50C414A7" w:rsidR="001D466F" w:rsidRPr="0077128F" w:rsidRDefault="001D466F" w:rsidP="001D466F">
            <w:pPr>
              <w:rPr>
                <w:sz w:val="22"/>
                <w:szCs w:val="22"/>
                <w:lang w:eastAsia="en-AU"/>
              </w:rPr>
            </w:pPr>
            <w:r w:rsidRPr="0077128F">
              <w:rPr>
                <w:sz w:val="22"/>
                <w:szCs w:val="22"/>
                <w:lang w:eastAsia="en-AU"/>
              </w:rPr>
              <w:t xml:space="preserve">Chair </w:t>
            </w:r>
          </w:p>
          <w:p w14:paraId="76F45050" w14:textId="0D593CA3" w:rsidR="001D466F" w:rsidRPr="0077128F" w:rsidRDefault="001D466F" w:rsidP="001D466F">
            <w:pPr>
              <w:rPr>
                <w:sz w:val="22"/>
                <w:szCs w:val="22"/>
                <w:lang w:eastAsia="en-AU"/>
              </w:rPr>
            </w:pPr>
            <w:r w:rsidRPr="0077128F">
              <w:rPr>
                <w:sz w:val="22"/>
                <w:szCs w:val="22"/>
                <w:lang w:eastAsia="en-AU"/>
              </w:rPr>
              <w:t xml:space="preserve">Deputy Chair </w:t>
            </w:r>
          </w:p>
          <w:p w14:paraId="2C731CA0" w14:textId="3377F742" w:rsidR="001D466F" w:rsidRPr="0077128F" w:rsidRDefault="001D466F" w:rsidP="001D466F">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A48E1BC" w14:textId="265AEA7D" w:rsidR="001D466F" w:rsidRPr="0077128F" w:rsidRDefault="001D466F" w:rsidP="001D466F">
            <w:pPr>
              <w:jc w:val="center"/>
              <w:rPr>
                <w:bCs/>
                <w:sz w:val="22"/>
                <w:szCs w:val="22"/>
              </w:rPr>
            </w:pPr>
            <w:r w:rsidRPr="0077128F">
              <w:rPr>
                <w:bCs/>
                <w:sz w:val="22"/>
                <w:szCs w:val="22"/>
              </w:rPr>
              <w:t>$5</w:t>
            </w:r>
            <w:r w:rsidR="00B64415" w:rsidRPr="0077128F">
              <w:rPr>
                <w:bCs/>
                <w:sz w:val="22"/>
                <w:szCs w:val="22"/>
              </w:rPr>
              <w:t>55</w:t>
            </w:r>
          </w:p>
          <w:p w14:paraId="79089B7F" w14:textId="2F45BDFF" w:rsidR="001D466F" w:rsidRPr="0077128F" w:rsidRDefault="001D466F" w:rsidP="001D466F">
            <w:pPr>
              <w:jc w:val="center"/>
              <w:rPr>
                <w:bCs/>
                <w:sz w:val="22"/>
                <w:szCs w:val="22"/>
              </w:rPr>
            </w:pPr>
            <w:r w:rsidRPr="0077128F">
              <w:rPr>
                <w:bCs/>
                <w:sz w:val="22"/>
                <w:szCs w:val="22"/>
              </w:rPr>
              <w:t>$5</w:t>
            </w:r>
            <w:r w:rsidR="00B64415" w:rsidRPr="0077128F">
              <w:rPr>
                <w:bCs/>
                <w:sz w:val="22"/>
                <w:szCs w:val="22"/>
              </w:rPr>
              <w:t>15</w:t>
            </w:r>
          </w:p>
          <w:p w14:paraId="571DEBE2" w14:textId="2B13E071" w:rsidR="001D466F" w:rsidRPr="0077128F" w:rsidRDefault="001D466F" w:rsidP="001D466F">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Pr>
          <w:p w14:paraId="3C62CA45" w14:textId="77777777" w:rsidR="001D466F" w:rsidRPr="0077128F" w:rsidRDefault="001D466F" w:rsidP="001D466F">
            <w:pPr>
              <w:jc w:val="center"/>
              <w:rPr>
                <w:sz w:val="22"/>
                <w:szCs w:val="22"/>
                <w:lang w:eastAsia="en-AU"/>
              </w:rPr>
            </w:pPr>
            <w:r w:rsidRPr="0077128F">
              <w:rPr>
                <w:sz w:val="22"/>
                <w:szCs w:val="22"/>
                <w:lang w:eastAsia="en-AU"/>
              </w:rPr>
              <w:t>-</w:t>
            </w:r>
          </w:p>
          <w:p w14:paraId="34F687E4" w14:textId="77777777" w:rsidR="001D466F" w:rsidRPr="0077128F" w:rsidRDefault="001D466F" w:rsidP="001D466F">
            <w:pPr>
              <w:jc w:val="center"/>
              <w:rPr>
                <w:sz w:val="22"/>
                <w:szCs w:val="22"/>
                <w:lang w:eastAsia="en-AU"/>
              </w:rPr>
            </w:pPr>
            <w:r w:rsidRPr="0077128F">
              <w:rPr>
                <w:sz w:val="22"/>
                <w:szCs w:val="22"/>
                <w:lang w:eastAsia="en-AU"/>
              </w:rPr>
              <w:t>-</w:t>
            </w:r>
          </w:p>
          <w:p w14:paraId="31EF1B10" w14:textId="70C812F6" w:rsidR="001D466F" w:rsidRPr="0077128F" w:rsidRDefault="001D466F" w:rsidP="001D466F">
            <w:pPr>
              <w:jc w:val="center"/>
              <w:rPr>
                <w:bCs/>
                <w:sz w:val="22"/>
                <w:szCs w:val="22"/>
              </w:rPr>
            </w:pPr>
            <w:r w:rsidRPr="0077128F">
              <w:rPr>
                <w:sz w:val="22"/>
                <w:szCs w:val="22"/>
                <w:lang w:eastAsia="en-AU"/>
              </w:rPr>
              <w:t>-</w:t>
            </w:r>
          </w:p>
        </w:tc>
      </w:tr>
      <w:tr w:rsidR="0077128F" w:rsidRPr="0077128F" w14:paraId="499E1C26" w14:textId="153DB355" w:rsidTr="0003415E">
        <w:trPr>
          <w:trHeight w:val="610"/>
          <w:jc w:val="center"/>
        </w:trPr>
        <w:tc>
          <w:tcPr>
            <w:tcW w:w="2830" w:type="dxa"/>
            <w:shd w:val="clear" w:color="auto" w:fill="auto"/>
          </w:tcPr>
          <w:p w14:paraId="7E0F34F4" w14:textId="77777777" w:rsidR="009E484F" w:rsidRPr="0077128F" w:rsidRDefault="009E484F" w:rsidP="001F0EA2">
            <w:pPr>
              <w:rPr>
                <w:sz w:val="22"/>
                <w:szCs w:val="22"/>
                <w:lang w:eastAsia="en-AU"/>
              </w:rPr>
            </w:pPr>
            <w:r w:rsidRPr="0077128F">
              <w:rPr>
                <w:sz w:val="22"/>
                <w:szCs w:val="22"/>
                <w:lang w:eastAsia="en-AU"/>
              </w:rPr>
              <w:t>Cultural Facilities Corporation Board</w:t>
            </w:r>
          </w:p>
        </w:tc>
        <w:tc>
          <w:tcPr>
            <w:tcW w:w="2812" w:type="dxa"/>
            <w:shd w:val="clear" w:color="auto" w:fill="auto"/>
          </w:tcPr>
          <w:p w14:paraId="286F6928" w14:textId="425B696F" w:rsidR="009E484F" w:rsidRPr="0077128F" w:rsidRDefault="009E484F" w:rsidP="001F0EA2">
            <w:pPr>
              <w:rPr>
                <w:sz w:val="22"/>
                <w:szCs w:val="22"/>
                <w:lang w:eastAsia="en-AU"/>
              </w:rPr>
            </w:pPr>
            <w:r w:rsidRPr="0077128F">
              <w:rPr>
                <w:sz w:val="22"/>
                <w:szCs w:val="22"/>
                <w:lang w:eastAsia="en-AU"/>
              </w:rPr>
              <w:t xml:space="preserve">Chair </w:t>
            </w:r>
          </w:p>
          <w:p w14:paraId="5521E864" w14:textId="47E8AF40" w:rsidR="009E484F" w:rsidRPr="0077128F" w:rsidRDefault="009E484F" w:rsidP="001F0EA2">
            <w:pPr>
              <w:rPr>
                <w:sz w:val="22"/>
                <w:szCs w:val="22"/>
                <w:lang w:eastAsia="en-AU"/>
              </w:rPr>
            </w:pPr>
            <w:r w:rsidRPr="0077128F">
              <w:rPr>
                <w:sz w:val="22"/>
                <w:szCs w:val="22"/>
                <w:lang w:eastAsia="en-AU"/>
              </w:rPr>
              <w:t xml:space="preserve">Deputy </w:t>
            </w:r>
            <w:r w:rsidR="005C15D6" w:rsidRPr="0077128F">
              <w:rPr>
                <w:sz w:val="22"/>
                <w:szCs w:val="22"/>
                <w:lang w:eastAsia="en-AU"/>
              </w:rPr>
              <w:t>C</w:t>
            </w:r>
            <w:r w:rsidRPr="0077128F">
              <w:rPr>
                <w:sz w:val="22"/>
                <w:szCs w:val="22"/>
                <w:lang w:eastAsia="en-AU"/>
              </w:rPr>
              <w:t xml:space="preserve">hair </w:t>
            </w:r>
          </w:p>
          <w:p w14:paraId="10DD1B66" w14:textId="4498019E"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34CEB27" w14:textId="77777777" w:rsidR="009E484F" w:rsidRPr="0077128F" w:rsidRDefault="002C658A" w:rsidP="002C658A">
            <w:pPr>
              <w:jc w:val="center"/>
              <w:rPr>
                <w:sz w:val="22"/>
                <w:szCs w:val="22"/>
                <w:lang w:eastAsia="en-AU"/>
              </w:rPr>
            </w:pPr>
            <w:r w:rsidRPr="0077128F">
              <w:rPr>
                <w:sz w:val="22"/>
                <w:szCs w:val="22"/>
                <w:lang w:eastAsia="en-AU"/>
              </w:rPr>
              <w:t>-</w:t>
            </w:r>
          </w:p>
          <w:p w14:paraId="68E62563" w14:textId="77777777" w:rsidR="002C658A" w:rsidRPr="0077128F" w:rsidRDefault="002C658A" w:rsidP="002C658A">
            <w:pPr>
              <w:jc w:val="center"/>
              <w:rPr>
                <w:sz w:val="22"/>
                <w:szCs w:val="22"/>
                <w:lang w:eastAsia="en-AU"/>
              </w:rPr>
            </w:pPr>
            <w:r w:rsidRPr="0077128F">
              <w:rPr>
                <w:sz w:val="22"/>
                <w:szCs w:val="22"/>
                <w:lang w:eastAsia="en-AU"/>
              </w:rPr>
              <w:t>-</w:t>
            </w:r>
          </w:p>
          <w:p w14:paraId="5179D2F0" w14:textId="2BF6C1AF"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14DB1DF0" w14:textId="2E100812" w:rsidR="00B64415" w:rsidRPr="0077128F" w:rsidRDefault="00B64415" w:rsidP="00B64415">
            <w:pPr>
              <w:jc w:val="center"/>
              <w:rPr>
                <w:bCs/>
                <w:sz w:val="22"/>
                <w:szCs w:val="22"/>
              </w:rPr>
            </w:pPr>
            <w:r w:rsidRPr="0077128F">
              <w:rPr>
                <w:bCs/>
                <w:sz w:val="22"/>
                <w:szCs w:val="22"/>
              </w:rPr>
              <w:t>$28,120</w:t>
            </w:r>
          </w:p>
          <w:p w14:paraId="351835E9" w14:textId="38127414" w:rsidR="00B64415" w:rsidRPr="0077128F" w:rsidRDefault="00B64415" w:rsidP="00B64415">
            <w:pPr>
              <w:jc w:val="center"/>
              <w:rPr>
                <w:bCs/>
                <w:sz w:val="22"/>
                <w:szCs w:val="22"/>
              </w:rPr>
            </w:pPr>
            <w:r w:rsidRPr="0077128F">
              <w:rPr>
                <w:bCs/>
                <w:sz w:val="22"/>
                <w:szCs w:val="22"/>
              </w:rPr>
              <w:t>$14,070</w:t>
            </w:r>
          </w:p>
          <w:p w14:paraId="7B1576AD" w14:textId="443708AF" w:rsidR="009E484F" w:rsidRPr="0077128F" w:rsidRDefault="00B64415" w:rsidP="00B64415">
            <w:pPr>
              <w:ind w:left="358" w:hanging="358"/>
              <w:jc w:val="center"/>
              <w:rPr>
                <w:bCs/>
                <w:sz w:val="22"/>
                <w:szCs w:val="22"/>
              </w:rPr>
            </w:pPr>
            <w:r w:rsidRPr="0077128F">
              <w:rPr>
                <w:bCs/>
                <w:sz w:val="22"/>
                <w:szCs w:val="22"/>
              </w:rPr>
              <w:t>$9,860</w:t>
            </w:r>
          </w:p>
        </w:tc>
      </w:tr>
      <w:tr w:rsidR="0077128F" w:rsidRPr="0077128F" w14:paraId="037F5420" w14:textId="0176D0E6" w:rsidTr="0003415E">
        <w:trPr>
          <w:trHeight w:val="1129"/>
          <w:jc w:val="center"/>
        </w:trPr>
        <w:tc>
          <w:tcPr>
            <w:tcW w:w="2830" w:type="dxa"/>
            <w:shd w:val="clear" w:color="auto" w:fill="auto"/>
          </w:tcPr>
          <w:p w14:paraId="179EEDC8" w14:textId="6035284C" w:rsidR="009E484F" w:rsidRPr="0077128F" w:rsidRDefault="009E484F" w:rsidP="00D568D6">
            <w:pPr>
              <w:rPr>
                <w:sz w:val="22"/>
                <w:szCs w:val="22"/>
                <w:lang w:eastAsia="en-AU"/>
              </w:rPr>
            </w:pPr>
            <w:r w:rsidRPr="0077128F">
              <w:rPr>
                <w:sz w:val="22"/>
                <w:szCs w:val="22"/>
                <w:lang w:eastAsia="en-AU"/>
              </w:rPr>
              <w:t>Defence Industry Advisory Board</w:t>
            </w:r>
          </w:p>
        </w:tc>
        <w:tc>
          <w:tcPr>
            <w:tcW w:w="2812" w:type="dxa"/>
            <w:shd w:val="clear" w:color="auto" w:fill="auto"/>
          </w:tcPr>
          <w:p w14:paraId="4714CEF3" w14:textId="1682DC4C" w:rsidR="009E484F" w:rsidRPr="0077128F" w:rsidRDefault="009E484F" w:rsidP="001F0EA2">
            <w:pPr>
              <w:rPr>
                <w:sz w:val="22"/>
                <w:szCs w:val="22"/>
                <w:lang w:eastAsia="en-AU"/>
              </w:rPr>
            </w:pPr>
            <w:r w:rsidRPr="0077128F">
              <w:rPr>
                <w:sz w:val="22"/>
                <w:szCs w:val="22"/>
                <w:lang w:eastAsia="en-AU"/>
              </w:rPr>
              <w:t xml:space="preserve">Chair </w:t>
            </w:r>
          </w:p>
          <w:p w14:paraId="27139E3F" w14:textId="3CA991C7" w:rsidR="009E484F" w:rsidRPr="0077128F" w:rsidRDefault="009E484F" w:rsidP="008306EE">
            <w:pPr>
              <w:ind w:left="-11"/>
              <w:rPr>
                <w:sz w:val="22"/>
                <w:szCs w:val="22"/>
                <w:lang w:eastAsia="en-AU"/>
              </w:rPr>
            </w:pPr>
            <w:r w:rsidRPr="0077128F">
              <w:rPr>
                <w:sz w:val="22"/>
                <w:szCs w:val="22"/>
                <w:lang w:eastAsia="en-AU"/>
              </w:rPr>
              <w:t xml:space="preserve">Defence Ambassador </w:t>
            </w:r>
            <w:r w:rsidRPr="0077128F">
              <w:rPr>
                <w:sz w:val="22"/>
                <w:szCs w:val="22"/>
                <w:lang w:eastAsia="en-AU"/>
              </w:rPr>
              <w:br/>
              <w:t xml:space="preserve">Defence Industry Sector Member  </w:t>
            </w:r>
          </w:p>
        </w:tc>
        <w:tc>
          <w:tcPr>
            <w:tcW w:w="1687" w:type="dxa"/>
            <w:gridSpan w:val="2"/>
            <w:shd w:val="clear" w:color="auto" w:fill="auto"/>
            <w:noWrap/>
          </w:tcPr>
          <w:p w14:paraId="17CBAA3A" w14:textId="77777777" w:rsidR="009E484F" w:rsidRPr="0077128F" w:rsidRDefault="002C658A" w:rsidP="002C658A">
            <w:pPr>
              <w:jc w:val="center"/>
              <w:rPr>
                <w:sz w:val="22"/>
                <w:szCs w:val="22"/>
                <w:lang w:eastAsia="en-AU"/>
              </w:rPr>
            </w:pPr>
            <w:r w:rsidRPr="0077128F">
              <w:rPr>
                <w:sz w:val="22"/>
                <w:szCs w:val="22"/>
                <w:lang w:eastAsia="en-AU"/>
              </w:rPr>
              <w:t>-</w:t>
            </w:r>
          </w:p>
          <w:p w14:paraId="6D971BF9" w14:textId="3300323B" w:rsidR="002C658A" w:rsidRPr="0077128F" w:rsidRDefault="002C658A" w:rsidP="002C658A">
            <w:pPr>
              <w:jc w:val="center"/>
              <w:rPr>
                <w:sz w:val="22"/>
                <w:szCs w:val="22"/>
                <w:lang w:eastAsia="en-AU"/>
              </w:rPr>
            </w:pPr>
            <w:r w:rsidRPr="0077128F">
              <w:rPr>
                <w:sz w:val="22"/>
                <w:szCs w:val="22"/>
                <w:lang w:eastAsia="en-AU"/>
              </w:rPr>
              <w:t>-</w:t>
            </w:r>
          </w:p>
          <w:p w14:paraId="5E2FB321" w14:textId="77777777" w:rsidR="00B64415" w:rsidRPr="0077128F" w:rsidRDefault="00B64415" w:rsidP="002C658A">
            <w:pPr>
              <w:jc w:val="center"/>
              <w:rPr>
                <w:bCs/>
                <w:sz w:val="22"/>
                <w:szCs w:val="22"/>
              </w:rPr>
            </w:pPr>
          </w:p>
          <w:p w14:paraId="7B4E3CCC" w14:textId="73A0F178" w:rsidR="009E484F" w:rsidRPr="0077128F" w:rsidRDefault="009E484F" w:rsidP="002C658A">
            <w:pPr>
              <w:jc w:val="center"/>
              <w:rPr>
                <w:sz w:val="22"/>
                <w:szCs w:val="22"/>
                <w:lang w:eastAsia="en-AU"/>
              </w:rPr>
            </w:pPr>
            <w:r w:rsidRPr="0077128F">
              <w:rPr>
                <w:bCs/>
                <w:sz w:val="22"/>
                <w:szCs w:val="22"/>
              </w:rPr>
              <w:t>$5</w:t>
            </w:r>
            <w:r w:rsidR="00B64415" w:rsidRPr="0077128F">
              <w:rPr>
                <w:bCs/>
                <w:sz w:val="22"/>
                <w:szCs w:val="22"/>
              </w:rPr>
              <w:t>80</w:t>
            </w:r>
          </w:p>
        </w:tc>
        <w:tc>
          <w:tcPr>
            <w:tcW w:w="1688" w:type="dxa"/>
            <w:gridSpan w:val="2"/>
          </w:tcPr>
          <w:p w14:paraId="15DED37C" w14:textId="34AF3BF0" w:rsidR="00B64415" w:rsidRPr="0077128F" w:rsidRDefault="00B64415" w:rsidP="00B64415">
            <w:pPr>
              <w:jc w:val="center"/>
              <w:rPr>
                <w:bCs/>
                <w:sz w:val="22"/>
                <w:szCs w:val="22"/>
              </w:rPr>
            </w:pPr>
            <w:r w:rsidRPr="0077128F">
              <w:rPr>
                <w:bCs/>
                <w:sz w:val="22"/>
                <w:szCs w:val="22"/>
              </w:rPr>
              <w:t>$36,775</w:t>
            </w:r>
          </w:p>
          <w:p w14:paraId="76DF43F6" w14:textId="419B4546" w:rsidR="00B64415" w:rsidRPr="0077128F" w:rsidRDefault="00B64415" w:rsidP="00B64415">
            <w:pPr>
              <w:jc w:val="center"/>
              <w:rPr>
                <w:bCs/>
                <w:sz w:val="22"/>
                <w:szCs w:val="22"/>
              </w:rPr>
            </w:pPr>
            <w:r w:rsidRPr="0077128F">
              <w:rPr>
                <w:bCs/>
                <w:sz w:val="22"/>
                <w:szCs w:val="22"/>
              </w:rPr>
              <w:t>$26,270</w:t>
            </w:r>
          </w:p>
          <w:p w14:paraId="0A40C00F" w14:textId="77777777" w:rsidR="00B64415" w:rsidRPr="0077128F" w:rsidRDefault="00B64415" w:rsidP="002C658A">
            <w:pPr>
              <w:jc w:val="center"/>
              <w:rPr>
                <w:bCs/>
                <w:sz w:val="22"/>
                <w:szCs w:val="22"/>
              </w:rPr>
            </w:pPr>
          </w:p>
          <w:p w14:paraId="4638B962" w14:textId="7CBD5529" w:rsidR="002C658A" w:rsidRPr="0077128F" w:rsidRDefault="008306EE" w:rsidP="00B64415">
            <w:pPr>
              <w:jc w:val="center"/>
              <w:rPr>
                <w:bCs/>
                <w:sz w:val="22"/>
                <w:szCs w:val="22"/>
              </w:rPr>
            </w:pPr>
            <w:r w:rsidRPr="0077128F">
              <w:rPr>
                <w:bCs/>
                <w:sz w:val="22"/>
                <w:szCs w:val="22"/>
              </w:rPr>
              <w:t>-</w:t>
            </w:r>
          </w:p>
        </w:tc>
      </w:tr>
      <w:tr w:rsidR="0077128F" w:rsidRPr="0077128F" w14:paraId="078ACCCA" w14:textId="092CB66E" w:rsidTr="0003415E">
        <w:trPr>
          <w:trHeight w:val="610"/>
          <w:jc w:val="center"/>
        </w:trPr>
        <w:tc>
          <w:tcPr>
            <w:tcW w:w="2830" w:type="dxa"/>
            <w:shd w:val="clear" w:color="auto" w:fill="auto"/>
          </w:tcPr>
          <w:p w14:paraId="75C1486D" w14:textId="591919D0" w:rsidR="009E484F" w:rsidRPr="0077128F" w:rsidRDefault="009E484F" w:rsidP="001F0EA2">
            <w:pPr>
              <w:rPr>
                <w:sz w:val="22"/>
                <w:szCs w:val="22"/>
                <w:lang w:eastAsia="en-AU"/>
              </w:rPr>
            </w:pPr>
            <w:r w:rsidRPr="0077128F">
              <w:rPr>
                <w:sz w:val="22"/>
                <w:szCs w:val="22"/>
                <w:lang w:eastAsia="en-AU"/>
              </w:rPr>
              <w:t>Disability Reference Group</w:t>
            </w:r>
          </w:p>
        </w:tc>
        <w:tc>
          <w:tcPr>
            <w:tcW w:w="2812" w:type="dxa"/>
            <w:shd w:val="clear" w:color="auto" w:fill="auto"/>
          </w:tcPr>
          <w:p w14:paraId="1304617B" w14:textId="1293636F" w:rsidR="009E484F" w:rsidRPr="0077128F" w:rsidRDefault="009E484F" w:rsidP="001F0EA2">
            <w:pPr>
              <w:rPr>
                <w:sz w:val="22"/>
                <w:szCs w:val="22"/>
                <w:lang w:eastAsia="en-AU"/>
              </w:rPr>
            </w:pPr>
            <w:r w:rsidRPr="0077128F">
              <w:rPr>
                <w:sz w:val="22"/>
                <w:szCs w:val="22"/>
                <w:lang w:eastAsia="en-AU"/>
              </w:rPr>
              <w:t xml:space="preserve">Chair </w:t>
            </w:r>
          </w:p>
          <w:p w14:paraId="2A1C641B" w14:textId="3B5A4FA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59359B73" w14:textId="47395D40" w:rsidR="00A85A8C" w:rsidRPr="0077128F" w:rsidRDefault="00A85A8C" w:rsidP="002C658A">
            <w:pPr>
              <w:jc w:val="center"/>
              <w:rPr>
                <w:bCs/>
                <w:sz w:val="22"/>
                <w:szCs w:val="22"/>
                <w:lang w:eastAsia="en-AU"/>
              </w:rPr>
            </w:pPr>
            <w:r w:rsidRPr="0077128F">
              <w:rPr>
                <w:bCs/>
                <w:sz w:val="22"/>
                <w:szCs w:val="22"/>
              </w:rPr>
              <w:t>$5</w:t>
            </w:r>
            <w:r w:rsidR="00B64415" w:rsidRPr="0077128F">
              <w:rPr>
                <w:bCs/>
                <w:sz w:val="22"/>
                <w:szCs w:val="22"/>
              </w:rPr>
              <w:t>55</w:t>
            </w:r>
          </w:p>
          <w:p w14:paraId="131AD5DA" w14:textId="6A466B3F" w:rsidR="009E484F" w:rsidRPr="0077128F" w:rsidRDefault="00A85A8C" w:rsidP="002C658A">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Pr>
          <w:p w14:paraId="3234D521" w14:textId="77777777" w:rsidR="009E484F" w:rsidRPr="0077128F" w:rsidRDefault="002C658A" w:rsidP="002C658A">
            <w:pPr>
              <w:jc w:val="center"/>
              <w:rPr>
                <w:sz w:val="22"/>
                <w:szCs w:val="22"/>
                <w:lang w:eastAsia="en-AU"/>
              </w:rPr>
            </w:pPr>
            <w:r w:rsidRPr="0077128F">
              <w:rPr>
                <w:sz w:val="22"/>
                <w:szCs w:val="22"/>
                <w:lang w:eastAsia="en-AU"/>
              </w:rPr>
              <w:t>-</w:t>
            </w:r>
          </w:p>
          <w:p w14:paraId="135F4007" w14:textId="6B92FD6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7E7B8042" w14:textId="48280A82" w:rsidTr="0003415E">
        <w:trPr>
          <w:trHeight w:val="610"/>
          <w:jc w:val="center"/>
        </w:trPr>
        <w:tc>
          <w:tcPr>
            <w:tcW w:w="2830" w:type="dxa"/>
            <w:shd w:val="clear" w:color="auto" w:fill="auto"/>
            <w:hideMark/>
          </w:tcPr>
          <w:p w14:paraId="70BD69C9" w14:textId="2FE1269C" w:rsidR="009E484F" w:rsidRPr="0077128F" w:rsidRDefault="009E484F" w:rsidP="001F0EA2">
            <w:pPr>
              <w:rPr>
                <w:sz w:val="22"/>
                <w:szCs w:val="22"/>
                <w:lang w:eastAsia="en-AU"/>
              </w:rPr>
            </w:pPr>
            <w:r w:rsidRPr="0077128F">
              <w:rPr>
                <w:sz w:val="22"/>
                <w:szCs w:val="22"/>
                <w:lang w:eastAsia="en-AU"/>
              </w:rPr>
              <w:t>Electoral Commission</w:t>
            </w:r>
          </w:p>
        </w:tc>
        <w:tc>
          <w:tcPr>
            <w:tcW w:w="2812" w:type="dxa"/>
            <w:shd w:val="clear" w:color="auto" w:fill="auto"/>
            <w:hideMark/>
          </w:tcPr>
          <w:p w14:paraId="2D902D72" w14:textId="7675F15B" w:rsidR="009E484F" w:rsidRPr="0077128F" w:rsidRDefault="009E484F" w:rsidP="001F0EA2">
            <w:pPr>
              <w:rPr>
                <w:sz w:val="22"/>
                <w:szCs w:val="22"/>
                <w:lang w:eastAsia="en-AU"/>
              </w:rPr>
            </w:pPr>
            <w:r w:rsidRPr="0077128F">
              <w:rPr>
                <w:sz w:val="22"/>
                <w:szCs w:val="22"/>
                <w:lang w:eastAsia="en-AU"/>
              </w:rPr>
              <w:t xml:space="preserve">Chair </w:t>
            </w:r>
          </w:p>
          <w:p w14:paraId="0F2C37C6" w14:textId="25B9234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110EE68" w14:textId="77777777" w:rsidR="009E484F" w:rsidRPr="0077128F" w:rsidRDefault="002C658A" w:rsidP="002C658A">
            <w:pPr>
              <w:jc w:val="center"/>
              <w:rPr>
                <w:sz w:val="22"/>
                <w:szCs w:val="22"/>
                <w:lang w:eastAsia="en-AU"/>
              </w:rPr>
            </w:pPr>
            <w:r w:rsidRPr="0077128F">
              <w:rPr>
                <w:sz w:val="22"/>
                <w:szCs w:val="22"/>
                <w:lang w:eastAsia="en-AU"/>
              </w:rPr>
              <w:t>-</w:t>
            </w:r>
          </w:p>
          <w:p w14:paraId="59ED44F6" w14:textId="0E931FE5"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3D6DE0B7" w14:textId="693CD211" w:rsidR="00B64415" w:rsidRPr="0077128F" w:rsidRDefault="00B64415" w:rsidP="00B64415">
            <w:pPr>
              <w:jc w:val="center"/>
              <w:rPr>
                <w:bCs/>
                <w:sz w:val="22"/>
                <w:szCs w:val="22"/>
              </w:rPr>
            </w:pPr>
            <w:r w:rsidRPr="0077128F">
              <w:rPr>
                <w:bCs/>
                <w:sz w:val="22"/>
                <w:szCs w:val="22"/>
              </w:rPr>
              <w:t>$34,730</w:t>
            </w:r>
          </w:p>
          <w:p w14:paraId="4327FF62" w14:textId="51B0EBC7" w:rsidR="009E484F" w:rsidRPr="0077128F" w:rsidRDefault="00B64415" w:rsidP="00B64415">
            <w:pPr>
              <w:jc w:val="center"/>
              <w:rPr>
                <w:bCs/>
                <w:sz w:val="22"/>
                <w:szCs w:val="22"/>
              </w:rPr>
            </w:pPr>
            <w:r w:rsidRPr="0077128F">
              <w:rPr>
                <w:bCs/>
                <w:sz w:val="22"/>
                <w:szCs w:val="22"/>
              </w:rPr>
              <w:t>$21,775</w:t>
            </w:r>
          </w:p>
        </w:tc>
      </w:tr>
      <w:tr w:rsidR="0077128F" w:rsidRPr="0077128F" w14:paraId="1440660E" w14:textId="707D2A7D" w:rsidTr="0003415E">
        <w:trPr>
          <w:trHeight w:val="684"/>
          <w:jc w:val="center"/>
        </w:trPr>
        <w:tc>
          <w:tcPr>
            <w:tcW w:w="2830" w:type="dxa"/>
            <w:tcBorders>
              <w:bottom w:val="single" w:sz="4" w:space="0" w:color="auto"/>
            </w:tcBorders>
            <w:shd w:val="clear" w:color="auto" w:fill="auto"/>
            <w:hideMark/>
          </w:tcPr>
          <w:p w14:paraId="53B715D6" w14:textId="0196BB11" w:rsidR="009E484F" w:rsidRPr="0077128F" w:rsidRDefault="009E484F" w:rsidP="001F0EA2">
            <w:pPr>
              <w:rPr>
                <w:sz w:val="22"/>
                <w:szCs w:val="22"/>
                <w:lang w:eastAsia="en-AU"/>
              </w:rPr>
            </w:pPr>
            <w:r w:rsidRPr="0077128F">
              <w:rPr>
                <w:sz w:val="22"/>
                <w:szCs w:val="22"/>
                <w:lang w:eastAsia="en-AU"/>
              </w:rPr>
              <w:t>Electrical Advisory Board</w:t>
            </w:r>
          </w:p>
        </w:tc>
        <w:tc>
          <w:tcPr>
            <w:tcW w:w="2812" w:type="dxa"/>
            <w:tcBorders>
              <w:bottom w:val="single" w:sz="4" w:space="0" w:color="auto"/>
            </w:tcBorders>
            <w:shd w:val="clear" w:color="auto" w:fill="auto"/>
            <w:hideMark/>
          </w:tcPr>
          <w:p w14:paraId="31CDA47C" w14:textId="12AE613C" w:rsidR="009E484F" w:rsidRPr="0077128F" w:rsidRDefault="009E484F" w:rsidP="001F0EA2">
            <w:pPr>
              <w:rPr>
                <w:sz w:val="22"/>
                <w:szCs w:val="22"/>
                <w:lang w:eastAsia="en-AU"/>
              </w:rPr>
            </w:pPr>
            <w:r w:rsidRPr="0077128F">
              <w:rPr>
                <w:sz w:val="22"/>
                <w:szCs w:val="22"/>
                <w:lang w:eastAsia="en-AU"/>
              </w:rPr>
              <w:t xml:space="preserve">Chair </w:t>
            </w:r>
          </w:p>
          <w:p w14:paraId="392BF88C" w14:textId="46D4EAAD"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0C58EF01" w14:textId="33561C99" w:rsidR="001F610C" w:rsidRPr="0077128F" w:rsidRDefault="001F610C" w:rsidP="002C658A">
            <w:pPr>
              <w:jc w:val="center"/>
              <w:rPr>
                <w:bCs/>
                <w:sz w:val="22"/>
                <w:szCs w:val="22"/>
                <w:lang w:eastAsia="en-AU"/>
              </w:rPr>
            </w:pPr>
            <w:r w:rsidRPr="0077128F">
              <w:rPr>
                <w:bCs/>
                <w:sz w:val="22"/>
                <w:szCs w:val="22"/>
              </w:rPr>
              <w:t>$5</w:t>
            </w:r>
            <w:r w:rsidR="00B64415" w:rsidRPr="0077128F">
              <w:rPr>
                <w:bCs/>
                <w:sz w:val="22"/>
                <w:szCs w:val="22"/>
              </w:rPr>
              <w:t>55</w:t>
            </w:r>
          </w:p>
          <w:p w14:paraId="5BEC5331" w14:textId="1964DB84" w:rsidR="009E484F" w:rsidRPr="0077128F" w:rsidRDefault="001F610C" w:rsidP="002C658A">
            <w:pPr>
              <w:jc w:val="center"/>
              <w:rPr>
                <w:sz w:val="22"/>
                <w:szCs w:val="22"/>
                <w:lang w:eastAsia="en-AU"/>
              </w:rPr>
            </w:pPr>
            <w:r w:rsidRPr="0077128F">
              <w:rPr>
                <w:bCs/>
                <w:sz w:val="22"/>
                <w:szCs w:val="22"/>
              </w:rPr>
              <w:t>$4</w:t>
            </w:r>
            <w:r w:rsidR="00B64415" w:rsidRPr="0077128F">
              <w:rPr>
                <w:bCs/>
                <w:sz w:val="22"/>
                <w:szCs w:val="22"/>
              </w:rPr>
              <w:t>80</w:t>
            </w:r>
          </w:p>
        </w:tc>
        <w:tc>
          <w:tcPr>
            <w:tcW w:w="1688" w:type="dxa"/>
            <w:gridSpan w:val="2"/>
            <w:tcBorders>
              <w:bottom w:val="single" w:sz="4" w:space="0" w:color="auto"/>
            </w:tcBorders>
          </w:tcPr>
          <w:p w14:paraId="3D3B5351" w14:textId="77777777" w:rsidR="009E484F" w:rsidRPr="0077128F" w:rsidRDefault="002C658A" w:rsidP="002C658A">
            <w:pPr>
              <w:jc w:val="center"/>
              <w:rPr>
                <w:sz w:val="22"/>
                <w:szCs w:val="22"/>
                <w:lang w:eastAsia="en-AU"/>
              </w:rPr>
            </w:pPr>
            <w:r w:rsidRPr="0077128F">
              <w:rPr>
                <w:sz w:val="22"/>
                <w:szCs w:val="22"/>
                <w:lang w:eastAsia="en-AU"/>
              </w:rPr>
              <w:t>-</w:t>
            </w:r>
          </w:p>
          <w:p w14:paraId="0CD40017" w14:textId="7530EADF"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198BFB45" w14:textId="3C141D71" w:rsidTr="0003415E">
        <w:trPr>
          <w:trHeight w:val="607"/>
          <w:jc w:val="center"/>
        </w:trPr>
        <w:tc>
          <w:tcPr>
            <w:tcW w:w="2830" w:type="dxa"/>
            <w:tcBorders>
              <w:bottom w:val="single" w:sz="4" w:space="0" w:color="auto"/>
            </w:tcBorders>
            <w:shd w:val="clear" w:color="auto" w:fill="auto"/>
            <w:hideMark/>
          </w:tcPr>
          <w:p w14:paraId="0E372B1A" w14:textId="27F821AE" w:rsidR="009E484F" w:rsidRPr="0077128F" w:rsidRDefault="009E484F" w:rsidP="001F0EA2">
            <w:pPr>
              <w:rPr>
                <w:sz w:val="22"/>
                <w:szCs w:val="22"/>
                <w:lang w:eastAsia="en-AU"/>
              </w:rPr>
            </w:pPr>
            <w:r w:rsidRPr="0077128F">
              <w:rPr>
                <w:sz w:val="22"/>
                <w:szCs w:val="22"/>
                <w:lang w:eastAsia="en-AU"/>
              </w:rPr>
              <w:t>Gambling and Racing Commission Board</w:t>
            </w:r>
          </w:p>
        </w:tc>
        <w:tc>
          <w:tcPr>
            <w:tcW w:w="2812" w:type="dxa"/>
            <w:tcBorders>
              <w:bottom w:val="single" w:sz="4" w:space="0" w:color="auto"/>
            </w:tcBorders>
            <w:shd w:val="clear" w:color="auto" w:fill="auto"/>
            <w:hideMark/>
          </w:tcPr>
          <w:p w14:paraId="757D3FA3" w14:textId="4A8C0289" w:rsidR="009E484F" w:rsidRPr="0077128F" w:rsidRDefault="009E484F" w:rsidP="001F0EA2">
            <w:pPr>
              <w:rPr>
                <w:sz w:val="22"/>
                <w:szCs w:val="22"/>
                <w:lang w:eastAsia="en-AU"/>
              </w:rPr>
            </w:pPr>
            <w:r w:rsidRPr="0077128F">
              <w:rPr>
                <w:sz w:val="22"/>
                <w:szCs w:val="22"/>
                <w:lang w:eastAsia="en-AU"/>
              </w:rPr>
              <w:t xml:space="preserve">Chair </w:t>
            </w:r>
          </w:p>
          <w:p w14:paraId="60FF3D15" w14:textId="784A192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70AF64F8" w14:textId="77777777" w:rsidR="009E484F" w:rsidRPr="0077128F" w:rsidRDefault="002C658A" w:rsidP="002C658A">
            <w:pPr>
              <w:jc w:val="center"/>
              <w:rPr>
                <w:sz w:val="22"/>
                <w:szCs w:val="22"/>
                <w:lang w:eastAsia="en-AU"/>
              </w:rPr>
            </w:pPr>
            <w:r w:rsidRPr="0077128F">
              <w:rPr>
                <w:sz w:val="22"/>
                <w:szCs w:val="22"/>
                <w:lang w:eastAsia="en-AU"/>
              </w:rPr>
              <w:t>-</w:t>
            </w:r>
          </w:p>
          <w:p w14:paraId="708AD7F6" w14:textId="7FFD4807"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318670B7" w14:textId="4F98170E" w:rsidR="00A90FBE" w:rsidRPr="0077128F" w:rsidRDefault="00A90FBE" w:rsidP="00A90FBE">
            <w:pPr>
              <w:jc w:val="center"/>
              <w:rPr>
                <w:bCs/>
                <w:sz w:val="22"/>
                <w:szCs w:val="22"/>
              </w:rPr>
            </w:pPr>
            <w:r w:rsidRPr="0077128F">
              <w:rPr>
                <w:bCs/>
                <w:sz w:val="22"/>
                <w:szCs w:val="22"/>
              </w:rPr>
              <w:t>$53,520</w:t>
            </w:r>
          </w:p>
          <w:p w14:paraId="6ABA3C88" w14:textId="475E1FD8" w:rsidR="009E484F" w:rsidRPr="0077128F" w:rsidRDefault="00A90FBE" w:rsidP="00A90FBE">
            <w:pPr>
              <w:jc w:val="center"/>
              <w:rPr>
                <w:bCs/>
                <w:sz w:val="22"/>
                <w:szCs w:val="22"/>
              </w:rPr>
            </w:pPr>
            <w:r w:rsidRPr="0077128F">
              <w:rPr>
                <w:bCs/>
                <w:sz w:val="22"/>
                <w:szCs w:val="22"/>
              </w:rPr>
              <w:t>$25,965</w:t>
            </w:r>
          </w:p>
        </w:tc>
      </w:tr>
      <w:tr w:rsidR="0077128F" w:rsidRPr="0077128F" w14:paraId="5869B0C4" w14:textId="05B12E5D" w:rsidTr="0003415E">
        <w:trPr>
          <w:trHeight w:val="610"/>
          <w:jc w:val="center"/>
        </w:trPr>
        <w:tc>
          <w:tcPr>
            <w:tcW w:w="2830" w:type="dxa"/>
            <w:tcBorders>
              <w:bottom w:val="single" w:sz="4" w:space="0" w:color="auto"/>
            </w:tcBorders>
            <w:shd w:val="clear" w:color="auto" w:fill="auto"/>
            <w:hideMark/>
          </w:tcPr>
          <w:p w14:paraId="0C164572" w14:textId="13C176F5" w:rsidR="009E484F" w:rsidRPr="0077128F" w:rsidRDefault="009E484F" w:rsidP="001F0EA2">
            <w:pPr>
              <w:rPr>
                <w:sz w:val="22"/>
                <w:szCs w:val="22"/>
                <w:lang w:eastAsia="en-AU"/>
              </w:rPr>
            </w:pPr>
            <w:r w:rsidRPr="0077128F">
              <w:rPr>
                <w:sz w:val="22"/>
                <w:szCs w:val="22"/>
                <w:lang w:eastAsia="en-AU"/>
              </w:rPr>
              <w:t>Government Procurement Board</w:t>
            </w:r>
          </w:p>
        </w:tc>
        <w:tc>
          <w:tcPr>
            <w:tcW w:w="2812" w:type="dxa"/>
            <w:tcBorders>
              <w:bottom w:val="single" w:sz="4" w:space="0" w:color="auto"/>
            </w:tcBorders>
            <w:shd w:val="clear" w:color="auto" w:fill="auto"/>
            <w:hideMark/>
          </w:tcPr>
          <w:p w14:paraId="4D72D7A4" w14:textId="4DB3259C" w:rsidR="009E484F" w:rsidRPr="0077128F" w:rsidRDefault="009E484F" w:rsidP="001F0EA2">
            <w:pPr>
              <w:rPr>
                <w:sz w:val="22"/>
                <w:szCs w:val="22"/>
                <w:lang w:eastAsia="en-AU"/>
              </w:rPr>
            </w:pPr>
            <w:r w:rsidRPr="0077128F">
              <w:rPr>
                <w:sz w:val="22"/>
                <w:szCs w:val="22"/>
                <w:lang w:eastAsia="en-AU"/>
              </w:rPr>
              <w:t xml:space="preserve">Chair </w:t>
            </w:r>
          </w:p>
          <w:p w14:paraId="49C79561" w14:textId="6CB6C00A"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tcBorders>
              <w:bottom w:val="single" w:sz="4" w:space="0" w:color="auto"/>
            </w:tcBorders>
            <w:shd w:val="clear" w:color="auto" w:fill="auto"/>
            <w:noWrap/>
          </w:tcPr>
          <w:p w14:paraId="32C12922" w14:textId="77777777" w:rsidR="009E484F" w:rsidRPr="0077128F" w:rsidRDefault="002C658A" w:rsidP="002C658A">
            <w:pPr>
              <w:jc w:val="center"/>
              <w:rPr>
                <w:sz w:val="22"/>
                <w:szCs w:val="22"/>
                <w:lang w:eastAsia="en-AU"/>
              </w:rPr>
            </w:pPr>
            <w:r w:rsidRPr="0077128F">
              <w:rPr>
                <w:sz w:val="22"/>
                <w:szCs w:val="22"/>
                <w:lang w:eastAsia="en-AU"/>
              </w:rPr>
              <w:t>-</w:t>
            </w:r>
          </w:p>
          <w:p w14:paraId="77A036F8" w14:textId="2456DCCA" w:rsidR="002C658A" w:rsidRPr="0077128F" w:rsidRDefault="002C658A" w:rsidP="002C658A">
            <w:pPr>
              <w:jc w:val="center"/>
              <w:rPr>
                <w:sz w:val="22"/>
                <w:szCs w:val="22"/>
                <w:lang w:eastAsia="en-AU"/>
              </w:rPr>
            </w:pPr>
            <w:r w:rsidRPr="0077128F">
              <w:rPr>
                <w:sz w:val="22"/>
                <w:szCs w:val="22"/>
                <w:lang w:eastAsia="en-AU"/>
              </w:rPr>
              <w:t>-</w:t>
            </w:r>
          </w:p>
        </w:tc>
        <w:tc>
          <w:tcPr>
            <w:tcW w:w="1688" w:type="dxa"/>
            <w:gridSpan w:val="2"/>
            <w:tcBorders>
              <w:bottom w:val="single" w:sz="4" w:space="0" w:color="auto"/>
            </w:tcBorders>
          </w:tcPr>
          <w:p w14:paraId="22B089E1" w14:textId="77777777" w:rsidR="00A90FBE" w:rsidRPr="0077128F" w:rsidRDefault="00A90FBE" w:rsidP="00A90FBE">
            <w:pPr>
              <w:jc w:val="center"/>
              <w:rPr>
                <w:bCs/>
                <w:sz w:val="22"/>
                <w:szCs w:val="22"/>
              </w:rPr>
            </w:pPr>
            <w:r w:rsidRPr="0077128F">
              <w:rPr>
                <w:bCs/>
                <w:sz w:val="22"/>
                <w:szCs w:val="22"/>
              </w:rPr>
              <w:t>$34,125</w:t>
            </w:r>
          </w:p>
          <w:p w14:paraId="794C4A0C" w14:textId="3FCD7068" w:rsidR="009E484F" w:rsidRPr="0077128F" w:rsidRDefault="00A90FBE" w:rsidP="00A90FBE">
            <w:pPr>
              <w:jc w:val="center"/>
              <w:rPr>
                <w:bCs/>
                <w:sz w:val="22"/>
                <w:szCs w:val="22"/>
              </w:rPr>
            </w:pPr>
            <w:r w:rsidRPr="0077128F">
              <w:rPr>
                <w:bCs/>
                <w:sz w:val="22"/>
                <w:szCs w:val="22"/>
              </w:rPr>
              <w:t>$26,635</w:t>
            </w:r>
          </w:p>
        </w:tc>
      </w:tr>
      <w:tr w:rsidR="0077128F" w:rsidRPr="0077128F" w14:paraId="7B47B5F0" w14:textId="7EC1AB43" w:rsidTr="0003415E">
        <w:trPr>
          <w:trHeight w:val="610"/>
          <w:jc w:val="center"/>
        </w:trPr>
        <w:tc>
          <w:tcPr>
            <w:tcW w:w="2830" w:type="dxa"/>
            <w:shd w:val="clear" w:color="auto" w:fill="auto"/>
            <w:hideMark/>
          </w:tcPr>
          <w:p w14:paraId="041BEAC1" w14:textId="3753C91B" w:rsidR="009E484F" w:rsidRPr="0077128F" w:rsidRDefault="009E484F" w:rsidP="001F0EA2">
            <w:pPr>
              <w:rPr>
                <w:sz w:val="22"/>
                <w:szCs w:val="22"/>
                <w:lang w:eastAsia="en-AU"/>
              </w:rPr>
            </w:pPr>
            <w:r w:rsidRPr="0077128F">
              <w:rPr>
                <w:sz w:val="22"/>
                <w:szCs w:val="22"/>
                <w:lang w:eastAsia="en-AU"/>
              </w:rPr>
              <w:lastRenderedPageBreak/>
              <w:t xml:space="preserve">Heritage Council </w:t>
            </w:r>
          </w:p>
        </w:tc>
        <w:tc>
          <w:tcPr>
            <w:tcW w:w="2812" w:type="dxa"/>
            <w:shd w:val="clear" w:color="auto" w:fill="auto"/>
            <w:hideMark/>
          </w:tcPr>
          <w:p w14:paraId="3E098F4F" w14:textId="713BCB4E" w:rsidR="009E484F" w:rsidRPr="0077128F" w:rsidRDefault="009E484F" w:rsidP="001F0EA2">
            <w:pPr>
              <w:rPr>
                <w:sz w:val="22"/>
                <w:szCs w:val="22"/>
                <w:lang w:eastAsia="en-AU"/>
              </w:rPr>
            </w:pPr>
            <w:r w:rsidRPr="0077128F">
              <w:rPr>
                <w:sz w:val="22"/>
                <w:szCs w:val="22"/>
                <w:lang w:eastAsia="en-AU"/>
              </w:rPr>
              <w:t xml:space="preserve">Chair </w:t>
            </w:r>
          </w:p>
          <w:p w14:paraId="0FCB8F16" w14:textId="1DF3751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F3CFA1D" w14:textId="3CDBB091" w:rsidR="009E484F" w:rsidRPr="0077128F" w:rsidRDefault="009E484F" w:rsidP="002C658A">
            <w:pPr>
              <w:jc w:val="center"/>
              <w:rPr>
                <w:bCs/>
                <w:sz w:val="22"/>
                <w:szCs w:val="22"/>
              </w:rPr>
            </w:pPr>
            <w:r w:rsidRPr="0077128F">
              <w:rPr>
                <w:bCs/>
                <w:sz w:val="22"/>
                <w:szCs w:val="22"/>
              </w:rPr>
              <w:t>$</w:t>
            </w:r>
            <w:r w:rsidR="00A90FBE" w:rsidRPr="0077128F">
              <w:rPr>
                <w:bCs/>
                <w:sz w:val="22"/>
                <w:szCs w:val="22"/>
              </w:rPr>
              <w:t>710</w:t>
            </w:r>
          </w:p>
          <w:p w14:paraId="3153EA13" w14:textId="510EA60C" w:rsidR="009E484F" w:rsidRPr="0077128F" w:rsidRDefault="001F610C" w:rsidP="002C658A">
            <w:pPr>
              <w:jc w:val="center"/>
              <w:rPr>
                <w:bCs/>
                <w:sz w:val="22"/>
                <w:szCs w:val="22"/>
              </w:rPr>
            </w:pPr>
            <w:r w:rsidRPr="0077128F">
              <w:rPr>
                <w:bCs/>
                <w:sz w:val="22"/>
                <w:szCs w:val="22"/>
              </w:rPr>
              <w:t>$5</w:t>
            </w:r>
            <w:r w:rsidR="00A90FBE" w:rsidRPr="0077128F">
              <w:rPr>
                <w:bCs/>
                <w:sz w:val="22"/>
                <w:szCs w:val="22"/>
              </w:rPr>
              <w:t>55</w:t>
            </w:r>
          </w:p>
        </w:tc>
        <w:tc>
          <w:tcPr>
            <w:tcW w:w="1688" w:type="dxa"/>
            <w:gridSpan w:val="2"/>
          </w:tcPr>
          <w:p w14:paraId="3360EBE7" w14:textId="77777777" w:rsidR="009E484F" w:rsidRPr="0077128F" w:rsidRDefault="002C658A" w:rsidP="002C658A">
            <w:pPr>
              <w:jc w:val="center"/>
              <w:rPr>
                <w:sz w:val="22"/>
                <w:szCs w:val="22"/>
                <w:lang w:eastAsia="en-AU"/>
              </w:rPr>
            </w:pPr>
            <w:r w:rsidRPr="0077128F">
              <w:rPr>
                <w:sz w:val="22"/>
                <w:szCs w:val="22"/>
                <w:lang w:eastAsia="en-AU"/>
              </w:rPr>
              <w:t>-</w:t>
            </w:r>
          </w:p>
          <w:p w14:paraId="66D421BF" w14:textId="3FDD8B55"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265FF794" w14:textId="731F98B1" w:rsidTr="0003415E">
        <w:trPr>
          <w:trHeight w:val="637"/>
          <w:jc w:val="center"/>
        </w:trPr>
        <w:tc>
          <w:tcPr>
            <w:tcW w:w="2830" w:type="dxa"/>
            <w:shd w:val="clear" w:color="auto" w:fill="auto"/>
            <w:hideMark/>
          </w:tcPr>
          <w:p w14:paraId="05BA5A75" w14:textId="2846D170" w:rsidR="009E484F" w:rsidRPr="0077128F" w:rsidRDefault="009E484F" w:rsidP="001F0EA2">
            <w:pPr>
              <w:rPr>
                <w:sz w:val="22"/>
                <w:szCs w:val="22"/>
                <w:lang w:eastAsia="en-AU"/>
              </w:rPr>
            </w:pPr>
            <w:r w:rsidRPr="0077128F">
              <w:rPr>
                <w:sz w:val="22"/>
                <w:szCs w:val="22"/>
                <w:lang w:eastAsia="en-AU"/>
              </w:rPr>
              <w:t>Independent Competition and Regulatory Commission</w:t>
            </w:r>
          </w:p>
        </w:tc>
        <w:tc>
          <w:tcPr>
            <w:tcW w:w="2812" w:type="dxa"/>
            <w:shd w:val="clear" w:color="auto" w:fill="auto"/>
            <w:hideMark/>
          </w:tcPr>
          <w:p w14:paraId="592CF64C" w14:textId="0DFC616B" w:rsidR="009E484F" w:rsidRPr="0077128F" w:rsidRDefault="009E484F" w:rsidP="001F0EA2">
            <w:pPr>
              <w:rPr>
                <w:sz w:val="22"/>
                <w:szCs w:val="22"/>
                <w:lang w:eastAsia="en-AU"/>
              </w:rPr>
            </w:pPr>
            <w:r w:rsidRPr="0077128F">
              <w:rPr>
                <w:sz w:val="22"/>
                <w:szCs w:val="22"/>
                <w:lang w:eastAsia="en-AU"/>
              </w:rPr>
              <w:t>S</w:t>
            </w:r>
            <w:r w:rsidR="001417D8" w:rsidRPr="0077128F">
              <w:rPr>
                <w:sz w:val="22"/>
                <w:szCs w:val="22"/>
                <w:lang w:eastAsia="en-AU"/>
              </w:rPr>
              <w:t>enior</w:t>
            </w:r>
            <w:r w:rsidRPr="0077128F">
              <w:rPr>
                <w:sz w:val="22"/>
                <w:szCs w:val="22"/>
                <w:lang w:eastAsia="en-AU"/>
              </w:rPr>
              <w:t xml:space="preserve"> Commissioner </w:t>
            </w:r>
          </w:p>
          <w:p w14:paraId="2CF19980" w14:textId="5DA37E01" w:rsidR="009E484F" w:rsidRPr="0077128F" w:rsidRDefault="009E484F" w:rsidP="001F0EA2">
            <w:pPr>
              <w:rPr>
                <w:sz w:val="22"/>
                <w:szCs w:val="22"/>
                <w:lang w:eastAsia="en-AU"/>
              </w:rPr>
            </w:pPr>
            <w:r w:rsidRPr="0077128F">
              <w:rPr>
                <w:sz w:val="22"/>
                <w:szCs w:val="22"/>
                <w:lang w:eastAsia="en-AU"/>
              </w:rPr>
              <w:t xml:space="preserve">Commissioner </w:t>
            </w:r>
          </w:p>
        </w:tc>
        <w:tc>
          <w:tcPr>
            <w:tcW w:w="1687" w:type="dxa"/>
            <w:gridSpan w:val="2"/>
            <w:shd w:val="clear" w:color="auto" w:fill="auto"/>
            <w:noWrap/>
          </w:tcPr>
          <w:p w14:paraId="723BF3DA" w14:textId="1A9DBC85" w:rsidR="003E16A3" w:rsidRPr="0077128F" w:rsidRDefault="00EB4EE8" w:rsidP="002C658A">
            <w:pPr>
              <w:jc w:val="center"/>
              <w:rPr>
                <w:bCs/>
                <w:sz w:val="22"/>
                <w:szCs w:val="22"/>
              </w:rPr>
            </w:pPr>
            <w:r w:rsidRPr="0077128F">
              <w:rPr>
                <w:bCs/>
                <w:sz w:val="22"/>
                <w:szCs w:val="22"/>
              </w:rPr>
              <w:t>$1,</w:t>
            </w:r>
            <w:r w:rsidR="004D1E14" w:rsidRPr="0077128F">
              <w:rPr>
                <w:bCs/>
                <w:sz w:val="22"/>
                <w:szCs w:val="22"/>
              </w:rPr>
              <w:t>710</w:t>
            </w:r>
          </w:p>
          <w:p w14:paraId="05F1C003" w14:textId="0EA309CE" w:rsidR="009E484F" w:rsidRPr="0077128F" w:rsidRDefault="009E484F" w:rsidP="002C658A">
            <w:pPr>
              <w:jc w:val="center"/>
              <w:rPr>
                <w:bCs/>
                <w:sz w:val="22"/>
                <w:szCs w:val="22"/>
              </w:rPr>
            </w:pPr>
            <w:r w:rsidRPr="0077128F">
              <w:rPr>
                <w:bCs/>
                <w:sz w:val="22"/>
                <w:szCs w:val="22"/>
              </w:rPr>
              <w:t>$9</w:t>
            </w:r>
            <w:r w:rsidR="004D1E14" w:rsidRPr="0077128F">
              <w:rPr>
                <w:bCs/>
                <w:sz w:val="22"/>
                <w:szCs w:val="22"/>
              </w:rPr>
              <w:t>75</w:t>
            </w:r>
          </w:p>
        </w:tc>
        <w:tc>
          <w:tcPr>
            <w:tcW w:w="1688" w:type="dxa"/>
            <w:gridSpan w:val="2"/>
          </w:tcPr>
          <w:p w14:paraId="313706F5" w14:textId="77777777" w:rsidR="009E484F" w:rsidRPr="0077128F" w:rsidRDefault="002C658A" w:rsidP="002C658A">
            <w:pPr>
              <w:jc w:val="center"/>
              <w:rPr>
                <w:sz w:val="22"/>
                <w:szCs w:val="22"/>
                <w:lang w:eastAsia="en-AU"/>
              </w:rPr>
            </w:pPr>
            <w:r w:rsidRPr="0077128F">
              <w:rPr>
                <w:sz w:val="22"/>
                <w:szCs w:val="22"/>
                <w:lang w:eastAsia="en-AU"/>
              </w:rPr>
              <w:t>-</w:t>
            </w:r>
          </w:p>
          <w:p w14:paraId="1E31A541" w14:textId="5226B04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4C1B88CA" w14:textId="77777777" w:rsidTr="0003415E">
        <w:trPr>
          <w:trHeight w:val="637"/>
          <w:jc w:val="center"/>
        </w:trPr>
        <w:tc>
          <w:tcPr>
            <w:tcW w:w="2830" w:type="dxa"/>
            <w:shd w:val="clear" w:color="auto" w:fill="auto"/>
          </w:tcPr>
          <w:p w14:paraId="4683A774" w14:textId="23496902" w:rsidR="00CD176E" w:rsidRPr="0077128F" w:rsidRDefault="00CD176E" w:rsidP="001F0EA2">
            <w:pPr>
              <w:rPr>
                <w:sz w:val="22"/>
                <w:szCs w:val="22"/>
                <w:lang w:eastAsia="en-AU"/>
              </w:rPr>
            </w:pPr>
            <w:r w:rsidRPr="0077128F">
              <w:rPr>
                <w:sz w:val="22"/>
                <w:szCs w:val="22"/>
                <w:lang w:eastAsia="en-AU"/>
              </w:rPr>
              <w:t>Independent Advisor, Working with Vulnerable People</w:t>
            </w:r>
          </w:p>
        </w:tc>
        <w:tc>
          <w:tcPr>
            <w:tcW w:w="2812" w:type="dxa"/>
            <w:shd w:val="clear" w:color="auto" w:fill="auto"/>
          </w:tcPr>
          <w:p w14:paraId="43BBF990" w14:textId="20DD350E" w:rsidR="00CD176E" w:rsidRPr="0077128F" w:rsidRDefault="00D542CD" w:rsidP="001F0EA2">
            <w:pPr>
              <w:rPr>
                <w:sz w:val="22"/>
                <w:szCs w:val="22"/>
                <w:lang w:eastAsia="en-AU"/>
              </w:rPr>
            </w:pPr>
            <w:r w:rsidRPr="0077128F">
              <w:rPr>
                <w:sz w:val="22"/>
                <w:szCs w:val="22"/>
                <w:lang w:eastAsia="en-AU"/>
              </w:rPr>
              <w:t xml:space="preserve">Independent </w:t>
            </w:r>
            <w:r w:rsidR="00CD176E" w:rsidRPr="0077128F">
              <w:rPr>
                <w:sz w:val="22"/>
                <w:szCs w:val="22"/>
                <w:lang w:eastAsia="en-AU"/>
              </w:rPr>
              <w:t>Advisor</w:t>
            </w:r>
          </w:p>
        </w:tc>
        <w:tc>
          <w:tcPr>
            <w:tcW w:w="1687" w:type="dxa"/>
            <w:gridSpan w:val="2"/>
            <w:shd w:val="clear" w:color="auto" w:fill="auto"/>
            <w:noWrap/>
          </w:tcPr>
          <w:p w14:paraId="1D61DCC9" w14:textId="4CCF8B83" w:rsidR="00CD176E" w:rsidRPr="0077128F" w:rsidRDefault="00EF5E10" w:rsidP="002C658A">
            <w:pPr>
              <w:jc w:val="center"/>
              <w:rPr>
                <w:bCs/>
                <w:sz w:val="22"/>
                <w:szCs w:val="22"/>
              </w:rPr>
            </w:pPr>
            <w:r w:rsidRPr="0077128F">
              <w:rPr>
                <w:bCs/>
                <w:sz w:val="22"/>
                <w:szCs w:val="22"/>
              </w:rPr>
              <w:t>$5</w:t>
            </w:r>
            <w:r w:rsidR="00FB0BCA" w:rsidRPr="0077128F">
              <w:rPr>
                <w:bCs/>
                <w:sz w:val="22"/>
                <w:szCs w:val="22"/>
              </w:rPr>
              <w:t>55</w:t>
            </w:r>
          </w:p>
        </w:tc>
        <w:tc>
          <w:tcPr>
            <w:tcW w:w="1688" w:type="dxa"/>
            <w:gridSpan w:val="2"/>
          </w:tcPr>
          <w:p w14:paraId="4E5FCBD5" w14:textId="6D5F9912" w:rsidR="00CD176E" w:rsidRPr="0077128F" w:rsidRDefault="00EF5E10" w:rsidP="002C658A">
            <w:pPr>
              <w:jc w:val="center"/>
              <w:rPr>
                <w:sz w:val="22"/>
                <w:szCs w:val="22"/>
                <w:lang w:eastAsia="en-AU"/>
              </w:rPr>
            </w:pPr>
            <w:r w:rsidRPr="0077128F">
              <w:rPr>
                <w:sz w:val="22"/>
                <w:szCs w:val="22"/>
                <w:lang w:eastAsia="en-AU"/>
              </w:rPr>
              <w:t>-</w:t>
            </w:r>
          </w:p>
        </w:tc>
      </w:tr>
      <w:tr w:rsidR="0077128F" w:rsidRPr="0077128F" w14:paraId="0BB23902" w14:textId="719D7844" w:rsidTr="0003415E">
        <w:trPr>
          <w:trHeight w:val="323"/>
          <w:jc w:val="center"/>
        </w:trPr>
        <w:tc>
          <w:tcPr>
            <w:tcW w:w="2830" w:type="dxa"/>
            <w:shd w:val="clear" w:color="auto" w:fill="auto"/>
            <w:hideMark/>
          </w:tcPr>
          <w:p w14:paraId="67F886E6" w14:textId="2712BEFF" w:rsidR="009E484F" w:rsidRPr="0077128F" w:rsidRDefault="009E484F" w:rsidP="001F0EA2">
            <w:pPr>
              <w:rPr>
                <w:sz w:val="22"/>
                <w:szCs w:val="22"/>
                <w:lang w:eastAsia="en-AU"/>
              </w:rPr>
            </w:pPr>
            <w:r w:rsidRPr="0077128F">
              <w:rPr>
                <w:sz w:val="22"/>
                <w:szCs w:val="22"/>
                <w:lang w:eastAsia="en-AU"/>
              </w:rPr>
              <w:t>Independent Reviewer, Government Agencies (Campaign Advertising)</w:t>
            </w:r>
          </w:p>
        </w:tc>
        <w:tc>
          <w:tcPr>
            <w:tcW w:w="2812" w:type="dxa"/>
            <w:shd w:val="clear" w:color="auto" w:fill="auto"/>
            <w:hideMark/>
          </w:tcPr>
          <w:p w14:paraId="445C2276" w14:textId="6425D230" w:rsidR="009E484F" w:rsidRPr="0077128F" w:rsidRDefault="009E484F" w:rsidP="001F0EA2">
            <w:pPr>
              <w:rPr>
                <w:sz w:val="22"/>
                <w:szCs w:val="22"/>
                <w:lang w:eastAsia="en-AU"/>
              </w:rPr>
            </w:pPr>
            <w:r w:rsidRPr="0077128F">
              <w:rPr>
                <w:sz w:val="22"/>
                <w:szCs w:val="22"/>
                <w:lang w:eastAsia="en-AU"/>
              </w:rPr>
              <w:t xml:space="preserve">Reviewer </w:t>
            </w:r>
          </w:p>
        </w:tc>
        <w:tc>
          <w:tcPr>
            <w:tcW w:w="1687" w:type="dxa"/>
            <w:gridSpan w:val="2"/>
            <w:shd w:val="clear" w:color="auto" w:fill="auto"/>
            <w:noWrap/>
          </w:tcPr>
          <w:p w14:paraId="1DA2DAD7" w14:textId="765BC872" w:rsidR="009E484F" w:rsidRPr="0077128F" w:rsidRDefault="009E484F" w:rsidP="002C658A">
            <w:pPr>
              <w:jc w:val="center"/>
              <w:rPr>
                <w:bCs/>
                <w:sz w:val="22"/>
                <w:szCs w:val="22"/>
              </w:rPr>
            </w:pPr>
            <w:r w:rsidRPr="0077128F">
              <w:rPr>
                <w:bCs/>
                <w:sz w:val="22"/>
                <w:szCs w:val="22"/>
              </w:rPr>
              <w:t>$8</w:t>
            </w:r>
            <w:r w:rsidR="00FB0BCA" w:rsidRPr="0077128F">
              <w:rPr>
                <w:bCs/>
                <w:sz w:val="22"/>
                <w:szCs w:val="22"/>
              </w:rPr>
              <w:t>75</w:t>
            </w:r>
          </w:p>
        </w:tc>
        <w:tc>
          <w:tcPr>
            <w:tcW w:w="1688" w:type="dxa"/>
            <w:gridSpan w:val="2"/>
          </w:tcPr>
          <w:p w14:paraId="411BB7BF" w14:textId="3144563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3E96CF8F" w14:textId="5F64FBB8" w:rsidTr="0003415E">
        <w:trPr>
          <w:trHeight w:val="315"/>
          <w:jc w:val="center"/>
        </w:trPr>
        <w:tc>
          <w:tcPr>
            <w:tcW w:w="2830" w:type="dxa"/>
            <w:shd w:val="clear" w:color="auto" w:fill="auto"/>
            <w:hideMark/>
          </w:tcPr>
          <w:p w14:paraId="285B2BD9" w14:textId="77777777" w:rsidR="009E484F" w:rsidRPr="0077128F" w:rsidRDefault="009E484F" w:rsidP="001F0EA2">
            <w:pPr>
              <w:rPr>
                <w:sz w:val="22"/>
                <w:szCs w:val="22"/>
                <w:lang w:eastAsia="en-AU"/>
              </w:rPr>
            </w:pPr>
            <w:r w:rsidRPr="0077128F">
              <w:rPr>
                <w:sz w:val="22"/>
                <w:szCs w:val="22"/>
                <w:lang w:eastAsia="en-AU"/>
              </w:rPr>
              <w:t>Indigenous Education Consultative Body</w:t>
            </w:r>
          </w:p>
        </w:tc>
        <w:tc>
          <w:tcPr>
            <w:tcW w:w="2812" w:type="dxa"/>
            <w:shd w:val="clear" w:color="auto" w:fill="auto"/>
            <w:hideMark/>
          </w:tcPr>
          <w:p w14:paraId="4CADE1B9" w14:textId="19FD75DF" w:rsidR="009E484F" w:rsidRPr="0077128F" w:rsidRDefault="009E484F" w:rsidP="001F0EA2">
            <w:pPr>
              <w:rPr>
                <w:sz w:val="22"/>
                <w:szCs w:val="22"/>
                <w:lang w:eastAsia="en-AU"/>
              </w:rPr>
            </w:pPr>
            <w:r w:rsidRPr="0077128F">
              <w:rPr>
                <w:sz w:val="22"/>
                <w:szCs w:val="22"/>
                <w:lang w:eastAsia="en-AU"/>
              </w:rPr>
              <w:t xml:space="preserve">Chair </w:t>
            </w:r>
          </w:p>
          <w:p w14:paraId="45B95165" w14:textId="2B9FBE36"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3A33389" w14:textId="16CB08C5" w:rsidR="001F610C" w:rsidRPr="0077128F" w:rsidRDefault="001F610C" w:rsidP="002C658A">
            <w:pPr>
              <w:jc w:val="center"/>
              <w:rPr>
                <w:bCs/>
                <w:sz w:val="22"/>
                <w:szCs w:val="22"/>
                <w:lang w:eastAsia="en-AU"/>
              </w:rPr>
            </w:pPr>
            <w:r w:rsidRPr="0077128F">
              <w:rPr>
                <w:bCs/>
                <w:sz w:val="22"/>
                <w:szCs w:val="22"/>
              </w:rPr>
              <w:t>$5</w:t>
            </w:r>
            <w:r w:rsidR="00FB0BCA" w:rsidRPr="0077128F">
              <w:rPr>
                <w:bCs/>
                <w:sz w:val="22"/>
                <w:szCs w:val="22"/>
              </w:rPr>
              <w:t>55</w:t>
            </w:r>
          </w:p>
          <w:p w14:paraId="1A54B455" w14:textId="7E47524D" w:rsidR="009E484F" w:rsidRPr="0077128F" w:rsidRDefault="001F610C" w:rsidP="002C658A">
            <w:pPr>
              <w:jc w:val="center"/>
              <w:rPr>
                <w:strike/>
                <w:sz w:val="22"/>
                <w:szCs w:val="22"/>
                <w:lang w:eastAsia="en-AU"/>
              </w:rPr>
            </w:pPr>
            <w:r w:rsidRPr="0077128F">
              <w:rPr>
                <w:bCs/>
                <w:sz w:val="22"/>
                <w:szCs w:val="22"/>
              </w:rPr>
              <w:t>$4</w:t>
            </w:r>
            <w:r w:rsidR="00FB0BCA" w:rsidRPr="0077128F">
              <w:rPr>
                <w:bCs/>
                <w:sz w:val="22"/>
                <w:szCs w:val="22"/>
              </w:rPr>
              <w:t>80</w:t>
            </w:r>
          </w:p>
        </w:tc>
        <w:tc>
          <w:tcPr>
            <w:tcW w:w="1688" w:type="dxa"/>
            <w:gridSpan w:val="2"/>
          </w:tcPr>
          <w:p w14:paraId="25ACB3C8" w14:textId="77777777" w:rsidR="009E484F" w:rsidRPr="0077128F" w:rsidRDefault="002C658A" w:rsidP="002C658A">
            <w:pPr>
              <w:jc w:val="center"/>
              <w:rPr>
                <w:sz w:val="22"/>
                <w:szCs w:val="22"/>
                <w:lang w:eastAsia="en-AU"/>
              </w:rPr>
            </w:pPr>
            <w:r w:rsidRPr="0077128F">
              <w:rPr>
                <w:sz w:val="22"/>
                <w:szCs w:val="22"/>
                <w:lang w:eastAsia="en-AU"/>
              </w:rPr>
              <w:t>-</w:t>
            </w:r>
          </w:p>
          <w:p w14:paraId="401999CF" w14:textId="7418ABA5"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A3AA73C" w14:textId="312E7D7B" w:rsidTr="0003415E">
        <w:trPr>
          <w:trHeight w:val="315"/>
          <w:jc w:val="center"/>
        </w:trPr>
        <w:tc>
          <w:tcPr>
            <w:tcW w:w="2830" w:type="dxa"/>
            <w:shd w:val="clear" w:color="auto" w:fill="auto"/>
          </w:tcPr>
          <w:p w14:paraId="7A52FE51" w14:textId="6D79C8C9" w:rsidR="009E484F" w:rsidRPr="0077128F" w:rsidRDefault="009E484F" w:rsidP="001F0EA2">
            <w:pPr>
              <w:rPr>
                <w:sz w:val="22"/>
                <w:szCs w:val="22"/>
                <w:lang w:eastAsia="en-AU"/>
              </w:rPr>
            </w:pPr>
            <w:r w:rsidRPr="0077128F">
              <w:rPr>
                <w:sz w:val="22"/>
                <w:szCs w:val="22"/>
                <w:lang w:eastAsia="en-AU"/>
              </w:rPr>
              <w:t>Inspector of Correctional Services*</w:t>
            </w:r>
          </w:p>
        </w:tc>
        <w:tc>
          <w:tcPr>
            <w:tcW w:w="2812" w:type="dxa"/>
            <w:shd w:val="clear" w:color="auto" w:fill="auto"/>
          </w:tcPr>
          <w:p w14:paraId="5CF36C66" w14:textId="2A50DB0F" w:rsidR="009E484F" w:rsidRPr="0077128F" w:rsidRDefault="009E484F" w:rsidP="001F0EA2">
            <w:pPr>
              <w:rPr>
                <w:sz w:val="22"/>
                <w:szCs w:val="22"/>
                <w:lang w:eastAsia="en-AU"/>
              </w:rPr>
            </w:pPr>
            <w:r w:rsidRPr="0077128F">
              <w:rPr>
                <w:sz w:val="22"/>
                <w:szCs w:val="22"/>
                <w:lang w:eastAsia="en-AU"/>
              </w:rPr>
              <w:t xml:space="preserve">Inspector </w:t>
            </w:r>
          </w:p>
        </w:tc>
        <w:tc>
          <w:tcPr>
            <w:tcW w:w="1687" w:type="dxa"/>
            <w:gridSpan w:val="2"/>
            <w:shd w:val="clear" w:color="auto" w:fill="auto"/>
            <w:noWrap/>
          </w:tcPr>
          <w:p w14:paraId="01927261" w14:textId="189226C6" w:rsidR="009E484F" w:rsidRPr="0077128F" w:rsidRDefault="00B353FA" w:rsidP="002C658A">
            <w:pPr>
              <w:jc w:val="center"/>
              <w:rPr>
                <w:bCs/>
                <w:sz w:val="22"/>
                <w:szCs w:val="22"/>
              </w:rPr>
            </w:pPr>
            <w:r w:rsidRPr="0077128F">
              <w:rPr>
                <w:bCs/>
                <w:sz w:val="22"/>
                <w:szCs w:val="22"/>
              </w:rPr>
              <w:t>$879</w:t>
            </w:r>
          </w:p>
        </w:tc>
        <w:tc>
          <w:tcPr>
            <w:tcW w:w="1688" w:type="dxa"/>
            <w:gridSpan w:val="2"/>
          </w:tcPr>
          <w:p w14:paraId="717DD70B" w14:textId="77777777" w:rsidR="009E484F" w:rsidRPr="0077128F" w:rsidRDefault="002C658A" w:rsidP="002C658A">
            <w:pPr>
              <w:jc w:val="center"/>
              <w:rPr>
                <w:sz w:val="22"/>
                <w:szCs w:val="22"/>
                <w:lang w:eastAsia="en-AU"/>
              </w:rPr>
            </w:pPr>
            <w:r w:rsidRPr="0077128F">
              <w:rPr>
                <w:sz w:val="22"/>
                <w:szCs w:val="22"/>
                <w:lang w:eastAsia="en-AU"/>
              </w:rPr>
              <w:t>-</w:t>
            </w:r>
          </w:p>
          <w:p w14:paraId="5F90A502" w14:textId="77777777" w:rsidR="002C658A" w:rsidRPr="0077128F" w:rsidRDefault="002C658A" w:rsidP="002C658A">
            <w:pPr>
              <w:rPr>
                <w:sz w:val="22"/>
                <w:szCs w:val="22"/>
                <w:lang w:eastAsia="en-AU"/>
              </w:rPr>
            </w:pPr>
          </w:p>
        </w:tc>
      </w:tr>
      <w:tr w:rsidR="0077128F" w:rsidRPr="0077128F" w14:paraId="02E073CC" w14:textId="4B1728F3" w:rsidTr="0003415E">
        <w:trPr>
          <w:trHeight w:val="300"/>
          <w:jc w:val="center"/>
        </w:trPr>
        <w:tc>
          <w:tcPr>
            <w:tcW w:w="2830" w:type="dxa"/>
            <w:shd w:val="clear" w:color="auto" w:fill="auto"/>
            <w:hideMark/>
          </w:tcPr>
          <w:p w14:paraId="046C7E43" w14:textId="03AFB5D0" w:rsidR="009E484F" w:rsidRPr="0077128F" w:rsidRDefault="009E484F" w:rsidP="001F0EA2">
            <w:pPr>
              <w:rPr>
                <w:sz w:val="22"/>
                <w:szCs w:val="22"/>
                <w:lang w:eastAsia="en-AU"/>
              </w:rPr>
            </w:pPr>
            <w:r w:rsidRPr="0077128F">
              <w:rPr>
                <w:sz w:val="22"/>
                <w:szCs w:val="22"/>
                <w:lang w:eastAsia="en-AU"/>
              </w:rPr>
              <w:t>Insurance Authority Advisory Board</w:t>
            </w:r>
          </w:p>
        </w:tc>
        <w:tc>
          <w:tcPr>
            <w:tcW w:w="2812" w:type="dxa"/>
            <w:shd w:val="clear" w:color="auto" w:fill="auto"/>
            <w:hideMark/>
          </w:tcPr>
          <w:p w14:paraId="513472CE" w14:textId="39F22ED4"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42537F4" w14:textId="0C8981BC" w:rsidR="009E484F" w:rsidRPr="0077128F" w:rsidRDefault="002C658A" w:rsidP="002C658A">
            <w:pPr>
              <w:jc w:val="center"/>
              <w:rPr>
                <w:sz w:val="22"/>
                <w:szCs w:val="22"/>
                <w:lang w:eastAsia="en-AU"/>
              </w:rPr>
            </w:pPr>
            <w:r w:rsidRPr="0077128F">
              <w:rPr>
                <w:sz w:val="22"/>
                <w:szCs w:val="22"/>
                <w:lang w:eastAsia="en-AU"/>
              </w:rPr>
              <w:t>-</w:t>
            </w:r>
          </w:p>
        </w:tc>
        <w:tc>
          <w:tcPr>
            <w:tcW w:w="1688" w:type="dxa"/>
            <w:gridSpan w:val="2"/>
          </w:tcPr>
          <w:p w14:paraId="528AC958" w14:textId="2F00CCC4" w:rsidR="009E484F" w:rsidRPr="0077128F" w:rsidRDefault="009E484F" w:rsidP="002C658A">
            <w:pPr>
              <w:jc w:val="center"/>
              <w:rPr>
                <w:bCs/>
                <w:sz w:val="22"/>
                <w:szCs w:val="22"/>
              </w:rPr>
            </w:pPr>
            <w:r w:rsidRPr="0077128F">
              <w:rPr>
                <w:bCs/>
                <w:sz w:val="22"/>
                <w:szCs w:val="22"/>
              </w:rPr>
              <w:t>$</w:t>
            </w:r>
            <w:r w:rsidR="00FB0BCA" w:rsidRPr="0077128F">
              <w:rPr>
                <w:bCs/>
                <w:sz w:val="22"/>
                <w:szCs w:val="22"/>
              </w:rPr>
              <w:t>25,115</w:t>
            </w:r>
          </w:p>
        </w:tc>
      </w:tr>
      <w:tr w:rsidR="0077128F" w:rsidRPr="0077128F" w14:paraId="47279604" w14:textId="77777777" w:rsidTr="0003415E">
        <w:trPr>
          <w:trHeight w:val="300"/>
          <w:jc w:val="center"/>
        </w:trPr>
        <w:tc>
          <w:tcPr>
            <w:tcW w:w="2830" w:type="dxa"/>
            <w:shd w:val="clear" w:color="auto" w:fill="auto"/>
          </w:tcPr>
          <w:p w14:paraId="76D62B3A" w14:textId="4391445F" w:rsidR="00247F6E" w:rsidRPr="0077128F" w:rsidRDefault="00247F6E" w:rsidP="00247F6E">
            <w:pPr>
              <w:rPr>
                <w:sz w:val="22"/>
                <w:szCs w:val="22"/>
                <w:lang w:eastAsia="en-AU"/>
              </w:rPr>
            </w:pPr>
            <w:r w:rsidRPr="0077128F">
              <w:rPr>
                <w:sz w:val="22"/>
                <w:szCs w:val="22"/>
                <w:lang w:eastAsia="en-AU"/>
              </w:rPr>
              <w:t>Invasive Plants Advisory Group</w:t>
            </w:r>
          </w:p>
        </w:tc>
        <w:tc>
          <w:tcPr>
            <w:tcW w:w="2812" w:type="dxa"/>
            <w:shd w:val="clear" w:color="auto" w:fill="auto"/>
          </w:tcPr>
          <w:p w14:paraId="11453BF8" w14:textId="2E0AF836" w:rsidR="00247F6E" w:rsidRPr="0077128F" w:rsidRDefault="00247F6E" w:rsidP="00247F6E">
            <w:pPr>
              <w:rPr>
                <w:sz w:val="22"/>
                <w:szCs w:val="22"/>
                <w:lang w:eastAsia="en-AU"/>
              </w:rPr>
            </w:pPr>
            <w:r w:rsidRPr="0077128F">
              <w:rPr>
                <w:sz w:val="22"/>
                <w:szCs w:val="22"/>
                <w:lang w:eastAsia="en-AU"/>
              </w:rPr>
              <w:t xml:space="preserve">External Members </w:t>
            </w:r>
          </w:p>
        </w:tc>
        <w:tc>
          <w:tcPr>
            <w:tcW w:w="1687" w:type="dxa"/>
            <w:gridSpan w:val="2"/>
            <w:shd w:val="clear" w:color="auto" w:fill="auto"/>
            <w:noWrap/>
          </w:tcPr>
          <w:p w14:paraId="281A6227" w14:textId="57894923" w:rsidR="00247F6E" w:rsidRPr="0077128F" w:rsidRDefault="00247F6E" w:rsidP="00247F6E">
            <w:pPr>
              <w:jc w:val="center"/>
              <w:rPr>
                <w:strike/>
                <w:sz w:val="22"/>
                <w:szCs w:val="22"/>
                <w:lang w:eastAsia="en-AU"/>
              </w:rPr>
            </w:pPr>
            <w:r w:rsidRPr="0077128F">
              <w:rPr>
                <w:bCs/>
                <w:sz w:val="22"/>
                <w:szCs w:val="22"/>
              </w:rPr>
              <w:t>$4</w:t>
            </w:r>
            <w:r w:rsidR="00A90FBE" w:rsidRPr="0077128F">
              <w:rPr>
                <w:bCs/>
                <w:sz w:val="22"/>
                <w:szCs w:val="22"/>
              </w:rPr>
              <w:t>80</w:t>
            </w:r>
          </w:p>
        </w:tc>
        <w:tc>
          <w:tcPr>
            <w:tcW w:w="1688" w:type="dxa"/>
            <w:gridSpan w:val="2"/>
          </w:tcPr>
          <w:p w14:paraId="17342978" w14:textId="508BB4D8" w:rsidR="00247F6E" w:rsidRPr="0077128F" w:rsidRDefault="00247F6E" w:rsidP="00247F6E">
            <w:pPr>
              <w:jc w:val="center"/>
              <w:rPr>
                <w:bCs/>
                <w:sz w:val="22"/>
                <w:szCs w:val="22"/>
              </w:rPr>
            </w:pPr>
            <w:r w:rsidRPr="0077128F">
              <w:rPr>
                <w:sz w:val="22"/>
                <w:szCs w:val="22"/>
                <w:lang w:eastAsia="en-AU"/>
              </w:rPr>
              <w:t>-</w:t>
            </w:r>
          </w:p>
        </w:tc>
      </w:tr>
      <w:tr w:rsidR="0077128F" w:rsidRPr="0077128F" w14:paraId="405E9776" w14:textId="315B115B" w:rsidTr="0003415E">
        <w:trPr>
          <w:trHeight w:val="610"/>
          <w:jc w:val="center"/>
        </w:trPr>
        <w:tc>
          <w:tcPr>
            <w:tcW w:w="2830" w:type="dxa"/>
            <w:shd w:val="clear" w:color="auto" w:fill="auto"/>
            <w:hideMark/>
          </w:tcPr>
          <w:p w14:paraId="273E0A92" w14:textId="77777777" w:rsidR="009E484F" w:rsidRPr="0077128F" w:rsidRDefault="009E484F" w:rsidP="001F0EA2">
            <w:pPr>
              <w:rPr>
                <w:sz w:val="22"/>
                <w:szCs w:val="22"/>
                <w:lang w:eastAsia="en-AU"/>
              </w:rPr>
            </w:pPr>
            <w:r w:rsidRPr="0077128F">
              <w:rPr>
                <w:sz w:val="22"/>
                <w:szCs w:val="22"/>
                <w:lang w:eastAsia="en-AU"/>
              </w:rPr>
              <w:t>Investment Advisory Board</w:t>
            </w:r>
          </w:p>
        </w:tc>
        <w:tc>
          <w:tcPr>
            <w:tcW w:w="2812" w:type="dxa"/>
            <w:shd w:val="clear" w:color="auto" w:fill="auto"/>
            <w:hideMark/>
          </w:tcPr>
          <w:p w14:paraId="12283CD0" w14:textId="1AFB43C6" w:rsidR="009E484F" w:rsidRPr="0077128F" w:rsidRDefault="009E484F" w:rsidP="001F0EA2">
            <w:pPr>
              <w:rPr>
                <w:sz w:val="22"/>
                <w:szCs w:val="22"/>
                <w:lang w:eastAsia="en-AU"/>
              </w:rPr>
            </w:pPr>
            <w:r w:rsidRPr="0077128F">
              <w:rPr>
                <w:sz w:val="22"/>
                <w:szCs w:val="22"/>
                <w:lang w:eastAsia="en-AU"/>
              </w:rPr>
              <w:t xml:space="preserve">Chair </w:t>
            </w:r>
          </w:p>
          <w:p w14:paraId="2CB1ACC3" w14:textId="3463C4B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1242B74E" w14:textId="77777777" w:rsidR="009E484F" w:rsidRPr="0077128F" w:rsidRDefault="002C658A" w:rsidP="002C658A">
            <w:pPr>
              <w:jc w:val="center"/>
              <w:rPr>
                <w:sz w:val="22"/>
                <w:szCs w:val="22"/>
                <w:lang w:eastAsia="en-AU"/>
              </w:rPr>
            </w:pPr>
            <w:r w:rsidRPr="0077128F">
              <w:rPr>
                <w:sz w:val="22"/>
                <w:szCs w:val="22"/>
                <w:lang w:eastAsia="en-AU"/>
              </w:rPr>
              <w:t>-</w:t>
            </w:r>
          </w:p>
          <w:p w14:paraId="4F63BD36" w14:textId="353EC051"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68D9FD60" w14:textId="4C087D44" w:rsidR="009E484F" w:rsidRPr="0077128F" w:rsidRDefault="009E484F" w:rsidP="002C658A">
            <w:pPr>
              <w:jc w:val="center"/>
              <w:rPr>
                <w:bCs/>
                <w:sz w:val="22"/>
                <w:szCs w:val="22"/>
              </w:rPr>
            </w:pPr>
            <w:r w:rsidRPr="0077128F">
              <w:rPr>
                <w:bCs/>
                <w:sz w:val="22"/>
                <w:szCs w:val="22"/>
              </w:rPr>
              <w:t>$</w:t>
            </w:r>
            <w:r w:rsidR="00FB0BCA" w:rsidRPr="0077128F">
              <w:rPr>
                <w:bCs/>
                <w:sz w:val="22"/>
                <w:szCs w:val="22"/>
              </w:rPr>
              <w:t>34,730</w:t>
            </w:r>
          </w:p>
          <w:p w14:paraId="0DB5A87A" w14:textId="1F895F22" w:rsidR="009E484F" w:rsidRPr="0077128F" w:rsidRDefault="009E484F" w:rsidP="002C658A">
            <w:pPr>
              <w:jc w:val="center"/>
              <w:rPr>
                <w:bCs/>
                <w:sz w:val="22"/>
                <w:szCs w:val="22"/>
              </w:rPr>
            </w:pPr>
            <w:r w:rsidRPr="0077128F">
              <w:rPr>
                <w:bCs/>
                <w:sz w:val="22"/>
                <w:szCs w:val="22"/>
              </w:rPr>
              <w:t>$</w:t>
            </w:r>
            <w:r w:rsidR="001F610C" w:rsidRPr="0077128F">
              <w:rPr>
                <w:bCs/>
                <w:sz w:val="22"/>
                <w:szCs w:val="22"/>
              </w:rPr>
              <w:t>25,</w:t>
            </w:r>
            <w:r w:rsidR="00FB0BCA" w:rsidRPr="0077128F">
              <w:rPr>
                <w:bCs/>
                <w:sz w:val="22"/>
                <w:szCs w:val="22"/>
              </w:rPr>
              <w:t>965</w:t>
            </w:r>
          </w:p>
        </w:tc>
      </w:tr>
      <w:tr w:rsidR="0077128F" w:rsidRPr="0077128F" w14:paraId="1069EF15" w14:textId="0D0D10B0" w:rsidTr="0003415E">
        <w:trPr>
          <w:trHeight w:val="596"/>
          <w:jc w:val="center"/>
        </w:trPr>
        <w:tc>
          <w:tcPr>
            <w:tcW w:w="2830" w:type="dxa"/>
            <w:shd w:val="clear" w:color="auto" w:fill="auto"/>
          </w:tcPr>
          <w:p w14:paraId="036EA81D" w14:textId="247EF30B" w:rsidR="009E484F" w:rsidRPr="0077128F" w:rsidRDefault="009E484F" w:rsidP="001F0EA2">
            <w:pPr>
              <w:rPr>
                <w:sz w:val="22"/>
                <w:szCs w:val="22"/>
                <w:lang w:eastAsia="en-AU"/>
              </w:rPr>
            </w:pPr>
            <w:r w:rsidRPr="0077128F">
              <w:rPr>
                <w:sz w:val="22"/>
                <w:szCs w:val="22"/>
                <w:lang w:eastAsia="en-AU"/>
              </w:rPr>
              <w:t>Legal Aid Commission</w:t>
            </w:r>
          </w:p>
        </w:tc>
        <w:tc>
          <w:tcPr>
            <w:tcW w:w="2812" w:type="dxa"/>
            <w:shd w:val="clear" w:color="auto" w:fill="auto"/>
          </w:tcPr>
          <w:p w14:paraId="47341FC6" w14:textId="727E8CC0" w:rsidR="009E484F" w:rsidRPr="0077128F" w:rsidRDefault="009E484F" w:rsidP="001F0EA2">
            <w:pPr>
              <w:rPr>
                <w:sz w:val="22"/>
                <w:szCs w:val="22"/>
                <w:lang w:eastAsia="en-AU"/>
              </w:rPr>
            </w:pPr>
            <w:r w:rsidRPr="0077128F">
              <w:rPr>
                <w:sz w:val="22"/>
                <w:szCs w:val="22"/>
                <w:lang w:eastAsia="en-AU"/>
              </w:rPr>
              <w:t xml:space="preserve">President </w:t>
            </w:r>
          </w:p>
          <w:p w14:paraId="35B3D475" w14:textId="7AF0A630"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ADCA151" w14:textId="27C25247" w:rsidR="009E484F" w:rsidRPr="0077128F" w:rsidRDefault="008306EE" w:rsidP="002C658A">
            <w:pPr>
              <w:jc w:val="center"/>
              <w:rPr>
                <w:bCs/>
                <w:sz w:val="22"/>
                <w:szCs w:val="22"/>
              </w:rPr>
            </w:pPr>
            <w:r w:rsidRPr="0077128F">
              <w:rPr>
                <w:bCs/>
                <w:sz w:val="22"/>
                <w:szCs w:val="22"/>
              </w:rPr>
              <w:t>-</w:t>
            </w:r>
          </w:p>
          <w:p w14:paraId="121A277F" w14:textId="3E33EF4A" w:rsidR="009E484F" w:rsidRPr="0077128F" w:rsidRDefault="009E484F" w:rsidP="002C658A">
            <w:pPr>
              <w:jc w:val="center"/>
              <w:rPr>
                <w:bCs/>
                <w:sz w:val="22"/>
                <w:szCs w:val="22"/>
              </w:rPr>
            </w:pPr>
            <w:r w:rsidRPr="0077128F">
              <w:rPr>
                <w:bCs/>
                <w:sz w:val="22"/>
                <w:szCs w:val="22"/>
              </w:rPr>
              <w:t>$4</w:t>
            </w:r>
            <w:r w:rsidR="00FB0BCA" w:rsidRPr="0077128F">
              <w:rPr>
                <w:bCs/>
                <w:sz w:val="22"/>
                <w:szCs w:val="22"/>
              </w:rPr>
              <w:t>80</w:t>
            </w:r>
          </w:p>
        </w:tc>
        <w:tc>
          <w:tcPr>
            <w:tcW w:w="1688" w:type="dxa"/>
            <w:gridSpan w:val="2"/>
          </w:tcPr>
          <w:p w14:paraId="08C7FA5E" w14:textId="505E79E2" w:rsidR="009E484F" w:rsidRPr="0077128F" w:rsidRDefault="009E484F" w:rsidP="002C658A">
            <w:pPr>
              <w:jc w:val="center"/>
              <w:rPr>
                <w:bCs/>
                <w:sz w:val="22"/>
                <w:szCs w:val="22"/>
              </w:rPr>
            </w:pPr>
            <w:r w:rsidRPr="0077128F">
              <w:rPr>
                <w:bCs/>
                <w:sz w:val="22"/>
                <w:szCs w:val="22"/>
              </w:rPr>
              <w:t>$</w:t>
            </w:r>
            <w:r w:rsidR="001F610C" w:rsidRPr="0077128F">
              <w:rPr>
                <w:bCs/>
                <w:sz w:val="22"/>
                <w:szCs w:val="22"/>
              </w:rPr>
              <w:t>20,</w:t>
            </w:r>
            <w:r w:rsidR="00FB0BCA" w:rsidRPr="0077128F">
              <w:rPr>
                <w:bCs/>
                <w:sz w:val="22"/>
                <w:szCs w:val="22"/>
              </w:rPr>
              <w:t>940</w:t>
            </w:r>
          </w:p>
          <w:p w14:paraId="4945E489" w14:textId="77777777" w:rsidR="009E484F" w:rsidRPr="0077128F" w:rsidRDefault="009E484F" w:rsidP="002C658A">
            <w:pPr>
              <w:jc w:val="center"/>
              <w:rPr>
                <w:bCs/>
                <w:sz w:val="22"/>
                <w:szCs w:val="22"/>
              </w:rPr>
            </w:pPr>
          </w:p>
        </w:tc>
      </w:tr>
      <w:tr w:rsidR="0077128F" w:rsidRPr="0077128F" w14:paraId="659B48C7" w14:textId="195D493E" w:rsidTr="0003415E">
        <w:trPr>
          <w:trHeight w:val="596"/>
          <w:jc w:val="center"/>
        </w:trPr>
        <w:tc>
          <w:tcPr>
            <w:tcW w:w="2830" w:type="dxa"/>
            <w:shd w:val="clear" w:color="auto" w:fill="auto"/>
          </w:tcPr>
          <w:p w14:paraId="357444CA" w14:textId="77777777" w:rsidR="009E484F" w:rsidRPr="0077128F" w:rsidRDefault="009E484F" w:rsidP="001F0EA2">
            <w:pPr>
              <w:rPr>
                <w:sz w:val="22"/>
                <w:szCs w:val="22"/>
                <w:lang w:eastAsia="en-AU"/>
              </w:rPr>
            </w:pPr>
            <w:r w:rsidRPr="0077128F">
              <w:rPr>
                <w:sz w:val="22"/>
                <w:szCs w:val="22"/>
                <w:lang w:eastAsia="en-AU"/>
              </w:rPr>
              <w:t>Lesbian, Gay, Bisexual, Transgender, Intersex and Queer (LGBTIQ) Community Advisory Council</w:t>
            </w:r>
          </w:p>
        </w:tc>
        <w:tc>
          <w:tcPr>
            <w:tcW w:w="2812" w:type="dxa"/>
            <w:shd w:val="clear" w:color="auto" w:fill="auto"/>
          </w:tcPr>
          <w:p w14:paraId="487FCB94" w14:textId="7D24742C"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69B1D091" w14:textId="6F15645A" w:rsidR="009E484F" w:rsidRPr="0077128F" w:rsidRDefault="009E484F" w:rsidP="002C658A">
            <w:pPr>
              <w:jc w:val="center"/>
              <w:rPr>
                <w:bCs/>
                <w:sz w:val="22"/>
                <w:szCs w:val="22"/>
              </w:rPr>
            </w:pPr>
            <w:r w:rsidRPr="0077128F">
              <w:rPr>
                <w:bCs/>
                <w:sz w:val="22"/>
                <w:szCs w:val="22"/>
              </w:rPr>
              <w:t>$5</w:t>
            </w:r>
            <w:r w:rsidR="00BF2F01" w:rsidRPr="0077128F">
              <w:rPr>
                <w:bCs/>
                <w:sz w:val="22"/>
                <w:szCs w:val="22"/>
              </w:rPr>
              <w:t>55</w:t>
            </w:r>
          </w:p>
        </w:tc>
        <w:tc>
          <w:tcPr>
            <w:tcW w:w="1688" w:type="dxa"/>
            <w:gridSpan w:val="2"/>
          </w:tcPr>
          <w:p w14:paraId="2ACF9176" w14:textId="4364BCAA"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5F91D704" w14:textId="780C2FB5" w:rsidTr="0003415E">
        <w:trPr>
          <w:trHeight w:val="596"/>
          <w:jc w:val="center"/>
        </w:trPr>
        <w:tc>
          <w:tcPr>
            <w:tcW w:w="2830" w:type="dxa"/>
            <w:shd w:val="clear" w:color="auto" w:fill="auto"/>
          </w:tcPr>
          <w:p w14:paraId="7635DF98" w14:textId="4A9EE72D" w:rsidR="009E484F" w:rsidRPr="0077128F" w:rsidRDefault="009E484F" w:rsidP="001F0EA2">
            <w:pPr>
              <w:rPr>
                <w:sz w:val="22"/>
                <w:szCs w:val="22"/>
                <w:lang w:eastAsia="en-AU"/>
              </w:rPr>
            </w:pPr>
            <w:r w:rsidRPr="0077128F">
              <w:rPr>
                <w:sz w:val="22"/>
                <w:szCs w:val="22"/>
                <w:lang w:eastAsia="en-AU"/>
              </w:rPr>
              <w:t>Light Rail Project Board</w:t>
            </w:r>
          </w:p>
        </w:tc>
        <w:tc>
          <w:tcPr>
            <w:tcW w:w="2812" w:type="dxa"/>
            <w:shd w:val="clear" w:color="auto" w:fill="auto"/>
          </w:tcPr>
          <w:p w14:paraId="0BCFB452" w14:textId="7BEA8DA5" w:rsidR="009E484F" w:rsidRPr="0077128F" w:rsidRDefault="009E484F" w:rsidP="001F0EA2">
            <w:pPr>
              <w:rPr>
                <w:sz w:val="22"/>
                <w:szCs w:val="22"/>
                <w:lang w:eastAsia="en-AU"/>
              </w:rPr>
            </w:pPr>
            <w:r w:rsidRPr="0077128F">
              <w:rPr>
                <w:sz w:val="22"/>
                <w:szCs w:val="22"/>
                <w:lang w:eastAsia="en-AU"/>
              </w:rPr>
              <w:t xml:space="preserve">Chair </w:t>
            </w:r>
          </w:p>
          <w:p w14:paraId="3A45690F" w14:textId="7048E25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AA6AC6A" w14:textId="77777777" w:rsidR="009E484F" w:rsidRPr="0077128F" w:rsidRDefault="002C658A" w:rsidP="002C658A">
            <w:pPr>
              <w:jc w:val="center"/>
              <w:rPr>
                <w:sz w:val="22"/>
                <w:szCs w:val="22"/>
                <w:lang w:eastAsia="en-AU"/>
              </w:rPr>
            </w:pPr>
            <w:r w:rsidRPr="0077128F">
              <w:rPr>
                <w:sz w:val="22"/>
                <w:szCs w:val="22"/>
                <w:lang w:eastAsia="en-AU"/>
              </w:rPr>
              <w:t>-</w:t>
            </w:r>
          </w:p>
          <w:p w14:paraId="017423E6" w14:textId="6FAB8C4E" w:rsidR="002C658A" w:rsidRPr="0077128F" w:rsidRDefault="002C658A" w:rsidP="002C658A">
            <w:pPr>
              <w:jc w:val="center"/>
              <w:rPr>
                <w:strike/>
                <w:sz w:val="22"/>
                <w:szCs w:val="22"/>
                <w:lang w:eastAsia="en-AU"/>
              </w:rPr>
            </w:pPr>
            <w:r w:rsidRPr="0077128F">
              <w:rPr>
                <w:sz w:val="22"/>
                <w:szCs w:val="22"/>
                <w:lang w:eastAsia="en-AU"/>
              </w:rPr>
              <w:t>-</w:t>
            </w:r>
          </w:p>
        </w:tc>
        <w:tc>
          <w:tcPr>
            <w:tcW w:w="1688" w:type="dxa"/>
            <w:gridSpan w:val="2"/>
          </w:tcPr>
          <w:p w14:paraId="3EF82F8F" w14:textId="4A84DFDF" w:rsidR="00A90FBE" w:rsidRPr="0077128F" w:rsidRDefault="00A90FBE" w:rsidP="00A90FBE">
            <w:pPr>
              <w:jc w:val="center"/>
              <w:rPr>
                <w:bCs/>
                <w:sz w:val="22"/>
                <w:szCs w:val="22"/>
              </w:rPr>
            </w:pPr>
            <w:r w:rsidRPr="0077128F">
              <w:rPr>
                <w:bCs/>
                <w:sz w:val="22"/>
                <w:szCs w:val="22"/>
              </w:rPr>
              <w:t>$81,090</w:t>
            </w:r>
          </w:p>
          <w:p w14:paraId="068F3CC7" w14:textId="09D6F7CD" w:rsidR="009E484F" w:rsidRPr="0077128F" w:rsidRDefault="00A90FBE" w:rsidP="00A90FBE">
            <w:pPr>
              <w:jc w:val="center"/>
              <w:rPr>
                <w:bCs/>
                <w:sz w:val="22"/>
                <w:szCs w:val="22"/>
              </w:rPr>
            </w:pPr>
            <w:r w:rsidRPr="0077128F">
              <w:rPr>
                <w:bCs/>
                <w:sz w:val="22"/>
                <w:szCs w:val="22"/>
              </w:rPr>
              <w:t>$48,665</w:t>
            </w:r>
          </w:p>
        </w:tc>
      </w:tr>
      <w:tr w:rsidR="0077128F" w:rsidRPr="0077128F" w14:paraId="39F78AEB" w14:textId="401B41E2" w:rsidTr="0003415E">
        <w:trPr>
          <w:trHeight w:val="596"/>
          <w:jc w:val="center"/>
        </w:trPr>
        <w:tc>
          <w:tcPr>
            <w:tcW w:w="2830" w:type="dxa"/>
            <w:shd w:val="clear" w:color="auto" w:fill="auto"/>
          </w:tcPr>
          <w:p w14:paraId="0CC82AB2" w14:textId="37310C24" w:rsidR="009E484F" w:rsidRPr="0077128F" w:rsidRDefault="009E484F" w:rsidP="001F0EA2">
            <w:pPr>
              <w:rPr>
                <w:sz w:val="22"/>
                <w:szCs w:val="22"/>
                <w:lang w:eastAsia="en-AU"/>
              </w:rPr>
            </w:pPr>
            <w:r w:rsidRPr="0077128F">
              <w:rPr>
                <w:sz w:val="22"/>
                <w:szCs w:val="22"/>
                <w:lang w:eastAsia="en-AU"/>
              </w:rPr>
              <w:t>Long Service Leave Authority Board</w:t>
            </w:r>
          </w:p>
        </w:tc>
        <w:tc>
          <w:tcPr>
            <w:tcW w:w="2812" w:type="dxa"/>
            <w:shd w:val="clear" w:color="auto" w:fill="auto"/>
          </w:tcPr>
          <w:p w14:paraId="761AA43C" w14:textId="3720C128" w:rsidR="009E484F" w:rsidRPr="0077128F" w:rsidRDefault="009E484F" w:rsidP="001F0EA2">
            <w:pPr>
              <w:rPr>
                <w:sz w:val="22"/>
                <w:szCs w:val="22"/>
                <w:lang w:eastAsia="en-AU"/>
              </w:rPr>
            </w:pPr>
            <w:r w:rsidRPr="0077128F">
              <w:rPr>
                <w:sz w:val="22"/>
                <w:szCs w:val="22"/>
                <w:lang w:eastAsia="en-AU"/>
              </w:rPr>
              <w:t xml:space="preserve">Chair </w:t>
            </w:r>
          </w:p>
          <w:p w14:paraId="771B8D20" w14:textId="7E9EFE5C" w:rsidR="009E484F" w:rsidRPr="0077128F" w:rsidRDefault="009E484F" w:rsidP="001F0EA2">
            <w:pPr>
              <w:rPr>
                <w:sz w:val="22"/>
                <w:szCs w:val="22"/>
                <w:lang w:eastAsia="en-AU"/>
              </w:rPr>
            </w:pPr>
            <w:r w:rsidRPr="0077128F">
              <w:rPr>
                <w:sz w:val="22"/>
                <w:szCs w:val="22"/>
                <w:lang w:eastAsia="en-AU"/>
              </w:rPr>
              <w:t xml:space="preserve">Deputy Chair </w:t>
            </w:r>
          </w:p>
          <w:p w14:paraId="7702043A" w14:textId="7A89BC2F"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742EFA2B" w14:textId="77777777" w:rsidR="009E484F" w:rsidRPr="0077128F" w:rsidRDefault="002C658A" w:rsidP="002C658A">
            <w:pPr>
              <w:jc w:val="center"/>
              <w:rPr>
                <w:bCs/>
                <w:sz w:val="22"/>
                <w:szCs w:val="22"/>
              </w:rPr>
            </w:pPr>
            <w:r w:rsidRPr="0077128F">
              <w:rPr>
                <w:bCs/>
                <w:sz w:val="22"/>
                <w:szCs w:val="22"/>
              </w:rPr>
              <w:t>-</w:t>
            </w:r>
          </w:p>
          <w:p w14:paraId="49403BBB" w14:textId="1364B27E" w:rsidR="009E484F" w:rsidRPr="0077128F" w:rsidRDefault="002C658A" w:rsidP="002C658A">
            <w:pPr>
              <w:jc w:val="center"/>
              <w:rPr>
                <w:bCs/>
                <w:sz w:val="22"/>
                <w:szCs w:val="22"/>
              </w:rPr>
            </w:pPr>
            <w:r w:rsidRPr="0077128F">
              <w:rPr>
                <w:bCs/>
                <w:sz w:val="22"/>
                <w:szCs w:val="22"/>
              </w:rPr>
              <w:t>-</w:t>
            </w:r>
          </w:p>
          <w:p w14:paraId="7B9FBBE0" w14:textId="46622C30" w:rsidR="009E484F" w:rsidRPr="0077128F" w:rsidRDefault="009E484F" w:rsidP="002C658A">
            <w:pPr>
              <w:jc w:val="center"/>
              <w:rPr>
                <w:bCs/>
                <w:sz w:val="22"/>
                <w:szCs w:val="22"/>
              </w:rPr>
            </w:pPr>
            <w:r w:rsidRPr="0077128F">
              <w:rPr>
                <w:bCs/>
                <w:sz w:val="22"/>
                <w:szCs w:val="22"/>
              </w:rPr>
              <w:t>$4</w:t>
            </w:r>
            <w:r w:rsidR="00FB0BCA" w:rsidRPr="0077128F">
              <w:rPr>
                <w:bCs/>
                <w:sz w:val="22"/>
                <w:szCs w:val="22"/>
              </w:rPr>
              <w:t>80</w:t>
            </w:r>
          </w:p>
        </w:tc>
        <w:tc>
          <w:tcPr>
            <w:tcW w:w="1688" w:type="dxa"/>
            <w:gridSpan w:val="2"/>
          </w:tcPr>
          <w:p w14:paraId="5D7EB1A1" w14:textId="5B876D85" w:rsidR="009E484F" w:rsidRPr="0077128F" w:rsidRDefault="009E484F" w:rsidP="002C658A">
            <w:pPr>
              <w:jc w:val="center"/>
              <w:rPr>
                <w:bCs/>
                <w:sz w:val="22"/>
                <w:szCs w:val="22"/>
              </w:rPr>
            </w:pPr>
            <w:r w:rsidRPr="0077128F">
              <w:rPr>
                <w:bCs/>
                <w:sz w:val="22"/>
                <w:szCs w:val="22"/>
              </w:rPr>
              <w:t>$</w:t>
            </w:r>
            <w:r w:rsidR="00CE14AA" w:rsidRPr="0077128F">
              <w:rPr>
                <w:bCs/>
                <w:sz w:val="22"/>
                <w:szCs w:val="22"/>
              </w:rPr>
              <w:t>2</w:t>
            </w:r>
            <w:r w:rsidR="00FB0BCA" w:rsidRPr="0077128F">
              <w:rPr>
                <w:bCs/>
                <w:sz w:val="22"/>
                <w:szCs w:val="22"/>
              </w:rPr>
              <w:t>8</w:t>
            </w:r>
            <w:r w:rsidR="00CE14AA" w:rsidRPr="0077128F">
              <w:rPr>
                <w:bCs/>
                <w:sz w:val="22"/>
                <w:szCs w:val="22"/>
              </w:rPr>
              <w:t>,</w:t>
            </w:r>
            <w:r w:rsidR="00FB0BCA" w:rsidRPr="0077128F">
              <w:rPr>
                <w:bCs/>
                <w:sz w:val="22"/>
                <w:szCs w:val="22"/>
              </w:rPr>
              <w:t>120</w:t>
            </w:r>
          </w:p>
          <w:p w14:paraId="60714348" w14:textId="4B52B69F" w:rsidR="009E484F" w:rsidRPr="0077128F" w:rsidRDefault="00CE14AA" w:rsidP="002C658A">
            <w:pPr>
              <w:jc w:val="center"/>
              <w:rPr>
                <w:bCs/>
                <w:sz w:val="22"/>
                <w:szCs w:val="22"/>
              </w:rPr>
            </w:pPr>
            <w:r w:rsidRPr="0077128F">
              <w:rPr>
                <w:bCs/>
                <w:sz w:val="22"/>
                <w:szCs w:val="22"/>
              </w:rPr>
              <w:t>$1</w:t>
            </w:r>
            <w:r w:rsidR="00FB0BCA" w:rsidRPr="0077128F">
              <w:rPr>
                <w:bCs/>
                <w:sz w:val="22"/>
                <w:szCs w:val="22"/>
              </w:rPr>
              <w:t>4</w:t>
            </w:r>
            <w:r w:rsidRPr="0077128F">
              <w:rPr>
                <w:bCs/>
                <w:sz w:val="22"/>
                <w:szCs w:val="22"/>
              </w:rPr>
              <w:t>,</w:t>
            </w:r>
            <w:r w:rsidR="00FB0BCA" w:rsidRPr="0077128F">
              <w:rPr>
                <w:bCs/>
                <w:sz w:val="22"/>
                <w:szCs w:val="22"/>
              </w:rPr>
              <w:t>070</w:t>
            </w:r>
          </w:p>
          <w:p w14:paraId="70BB5FA7" w14:textId="075D9273" w:rsidR="002C658A" w:rsidRPr="0077128F" w:rsidRDefault="002C658A" w:rsidP="002C658A">
            <w:pPr>
              <w:jc w:val="center"/>
              <w:rPr>
                <w:bCs/>
                <w:sz w:val="22"/>
                <w:szCs w:val="22"/>
              </w:rPr>
            </w:pPr>
            <w:r w:rsidRPr="0077128F">
              <w:rPr>
                <w:bCs/>
                <w:sz w:val="22"/>
                <w:szCs w:val="22"/>
              </w:rPr>
              <w:t>-</w:t>
            </w:r>
          </w:p>
        </w:tc>
      </w:tr>
      <w:tr w:rsidR="0077128F" w:rsidRPr="0077128F" w14:paraId="7AA1457E" w14:textId="77777777" w:rsidTr="0003415E">
        <w:trPr>
          <w:trHeight w:val="596"/>
          <w:jc w:val="center"/>
        </w:trPr>
        <w:tc>
          <w:tcPr>
            <w:tcW w:w="2830" w:type="dxa"/>
            <w:shd w:val="clear" w:color="auto" w:fill="auto"/>
          </w:tcPr>
          <w:p w14:paraId="5555537F" w14:textId="40B74B99" w:rsidR="00A90FBE" w:rsidRPr="0077128F" w:rsidRDefault="00A90FBE" w:rsidP="001F0EA2">
            <w:pPr>
              <w:rPr>
                <w:sz w:val="22"/>
                <w:szCs w:val="22"/>
                <w:lang w:eastAsia="en-AU"/>
              </w:rPr>
            </w:pPr>
            <w:r w:rsidRPr="0077128F">
              <w:rPr>
                <w:sz w:val="22"/>
                <w:szCs w:val="22"/>
                <w:lang w:eastAsia="en-AU"/>
              </w:rPr>
              <w:t>Major Projects Canberra Independent Advisory Boards</w:t>
            </w:r>
          </w:p>
        </w:tc>
        <w:tc>
          <w:tcPr>
            <w:tcW w:w="2812" w:type="dxa"/>
            <w:shd w:val="clear" w:color="auto" w:fill="auto"/>
          </w:tcPr>
          <w:p w14:paraId="25DF420E" w14:textId="77777777" w:rsidR="00A90FBE" w:rsidRPr="0077128F" w:rsidRDefault="00A90FBE" w:rsidP="00A90FBE">
            <w:pPr>
              <w:rPr>
                <w:sz w:val="22"/>
                <w:szCs w:val="22"/>
                <w:lang w:eastAsia="en-AU"/>
              </w:rPr>
            </w:pPr>
            <w:r w:rsidRPr="0077128F">
              <w:rPr>
                <w:sz w:val="22"/>
                <w:szCs w:val="22"/>
                <w:lang w:eastAsia="en-AU"/>
              </w:rPr>
              <w:t xml:space="preserve">Chair </w:t>
            </w:r>
          </w:p>
          <w:p w14:paraId="4571199C" w14:textId="00F5DB9F" w:rsidR="00A90FBE" w:rsidRPr="0077128F" w:rsidRDefault="00A90FBE" w:rsidP="00A90FBE">
            <w:pPr>
              <w:rPr>
                <w:sz w:val="22"/>
                <w:szCs w:val="22"/>
                <w:lang w:eastAsia="en-AU"/>
              </w:rPr>
            </w:pPr>
            <w:r w:rsidRPr="0077128F">
              <w:rPr>
                <w:sz w:val="22"/>
                <w:szCs w:val="22"/>
                <w:lang w:eastAsia="en-AU"/>
              </w:rPr>
              <w:t>Member</w:t>
            </w:r>
          </w:p>
        </w:tc>
        <w:tc>
          <w:tcPr>
            <w:tcW w:w="1687" w:type="dxa"/>
            <w:gridSpan w:val="2"/>
            <w:shd w:val="clear" w:color="auto" w:fill="auto"/>
            <w:noWrap/>
          </w:tcPr>
          <w:p w14:paraId="4F4BD63C" w14:textId="77777777" w:rsidR="00A90FBE" w:rsidRPr="0077128F" w:rsidRDefault="00B353FA" w:rsidP="002C658A">
            <w:pPr>
              <w:jc w:val="center"/>
              <w:rPr>
                <w:bCs/>
                <w:sz w:val="22"/>
                <w:szCs w:val="22"/>
              </w:rPr>
            </w:pPr>
            <w:r w:rsidRPr="0077128F">
              <w:rPr>
                <w:bCs/>
                <w:sz w:val="22"/>
                <w:szCs w:val="22"/>
              </w:rPr>
              <w:t>-</w:t>
            </w:r>
          </w:p>
          <w:p w14:paraId="1EF053C9" w14:textId="2B66A8E5" w:rsidR="00B353FA" w:rsidRPr="0077128F" w:rsidRDefault="00B353FA" w:rsidP="002C658A">
            <w:pPr>
              <w:jc w:val="center"/>
              <w:rPr>
                <w:bCs/>
                <w:sz w:val="22"/>
                <w:szCs w:val="22"/>
              </w:rPr>
            </w:pPr>
            <w:r w:rsidRPr="0077128F">
              <w:rPr>
                <w:bCs/>
                <w:sz w:val="22"/>
                <w:szCs w:val="22"/>
              </w:rPr>
              <w:t>-</w:t>
            </w:r>
          </w:p>
        </w:tc>
        <w:tc>
          <w:tcPr>
            <w:tcW w:w="1688" w:type="dxa"/>
            <w:gridSpan w:val="2"/>
          </w:tcPr>
          <w:p w14:paraId="5B457980" w14:textId="77777777" w:rsidR="00A90FBE" w:rsidRPr="0077128F" w:rsidRDefault="00A90FBE" w:rsidP="00A90FBE">
            <w:pPr>
              <w:jc w:val="center"/>
              <w:rPr>
                <w:bCs/>
                <w:sz w:val="22"/>
                <w:szCs w:val="22"/>
              </w:rPr>
            </w:pPr>
            <w:r w:rsidRPr="0077128F">
              <w:rPr>
                <w:bCs/>
                <w:sz w:val="22"/>
                <w:szCs w:val="22"/>
              </w:rPr>
              <w:t>$81,090</w:t>
            </w:r>
          </w:p>
          <w:p w14:paraId="04CAFEE5" w14:textId="1353062F" w:rsidR="00A90FBE" w:rsidRPr="0077128F" w:rsidRDefault="00A90FBE" w:rsidP="00A90FBE">
            <w:pPr>
              <w:jc w:val="center"/>
              <w:rPr>
                <w:bCs/>
                <w:sz w:val="22"/>
                <w:szCs w:val="22"/>
              </w:rPr>
            </w:pPr>
            <w:r w:rsidRPr="0077128F">
              <w:rPr>
                <w:bCs/>
                <w:sz w:val="22"/>
                <w:szCs w:val="22"/>
              </w:rPr>
              <w:t>$48,665</w:t>
            </w:r>
          </w:p>
        </w:tc>
      </w:tr>
      <w:tr w:rsidR="0077128F" w:rsidRPr="0077128F" w14:paraId="504396A1" w14:textId="5F5180BA" w:rsidTr="0003415E">
        <w:trPr>
          <w:trHeight w:val="596"/>
          <w:jc w:val="center"/>
        </w:trPr>
        <w:tc>
          <w:tcPr>
            <w:tcW w:w="2830" w:type="dxa"/>
            <w:shd w:val="clear" w:color="auto" w:fill="auto"/>
          </w:tcPr>
          <w:p w14:paraId="5779B9DC" w14:textId="61A305C8" w:rsidR="009E484F" w:rsidRPr="0077128F" w:rsidRDefault="009E484F" w:rsidP="001F0EA2">
            <w:pPr>
              <w:rPr>
                <w:sz w:val="22"/>
                <w:szCs w:val="22"/>
                <w:lang w:eastAsia="en-AU"/>
              </w:rPr>
            </w:pPr>
            <w:r w:rsidRPr="0077128F">
              <w:rPr>
                <w:sz w:val="22"/>
                <w:szCs w:val="22"/>
                <w:lang w:eastAsia="en-AU"/>
              </w:rPr>
              <w:t>Management Assessment Panel</w:t>
            </w:r>
          </w:p>
        </w:tc>
        <w:tc>
          <w:tcPr>
            <w:tcW w:w="2812" w:type="dxa"/>
            <w:shd w:val="clear" w:color="auto" w:fill="auto"/>
          </w:tcPr>
          <w:p w14:paraId="73DC045C" w14:textId="11054F30"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AA03CA6" w14:textId="0E2D6F9E" w:rsidR="009E484F" w:rsidRPr="0077128F" w:rsidRDefault="00CE14AA" w:rsidP="002C658A">
            <w:pPr>
              <w:jc w:val="center"/>
              <w:rPr>
                <w:strike/>
                <w:sz w:val="22"/>
                <w:szCs w:val="22"/>
                <w:lang w:eastAsia="en-AU"/>
              </w:rPr>
            </w:pPr>
            <w:r w:rsidRPr="0077128F">
              <w:rPr>
                <w:bCs/>
                <w:sz w:val="22"/>
                <w:szCs w:val="22"/>
              </w:rPr>
              <w:t>$5</w:t>
            </w:r>
            <w:r w:rsidR="00FB0BCA" w:rsidRPr="0077128F">
              <w:rPr>
                <w:bCs/>
                <w:sz w:val="22"/>
                <w:szCs w:val="22"/>
              </w:rPr>
              <w:t>55</w:t>
            </w:r>
          </w:p>
        </w:tc>
        <w:tc>
          <w:tcPr>
            <w:tcW w:w="1688" w:type="dxa"/>
            <w:gridSpan w:val="2"/>
          </w:tcPr>
          <w:p w14:paraId="54C45189" w14:textId="2BC7F296"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C69D0AE" w14:textId="0A78D92D" w:rsidTr="0003415E">
        <w:trPr>
          <w:trHeight w:val="596"/>
          <w:jc w:val="center"/>
        </w:trPr>
        <w:tc>
          <w:tcPr>
            <w:tcW w:w="2830" w:type="dxa"/>
            <w:shd w:val="clear" w:color="auto" w:fill="auto"/>
            <w:hideMark/>
          </w:tcPr>
          <w:p w14:paraId="480030DF" w14:textId="77777777" w:rsidR="009E484F" w:rsidRPr="0077128F" w:rsidRDefault="009E484F" w:rsidP="001F0EA2">
            <w:pPr>
              <w:rPr>
                <w:sz w:val="22"/>
                <w:szCs w:val="22"/>
                <w:lang w:eastAsia="en-AU"/>
              </w:rPr>
            </w:pPr>
            <w:r w:rsidRPr="0077128F">
              <w:rPr>
                <w:sz w:val="22"/>
                <w:szCs w:val="22"/>
                <w:lang w:eastAsia="en-AU"/>
              </w:rPr>
              <w:t xml:space="preserve">Ministerial Advisory Council on Ageing </w:t>
            </w:r>
          </w:p>
        </w:tc>
        <w:tc>
          <w:tcPr>
            <w:tcW w:w="2812" w:type="dxa"/>
            <w:shd w:val="clear" w:color="auto" w:fill="auto"/>
            <w:hideMark/>
          </w:tcPr>
          <w:p w14:paraId="4A5FAEEE" w14:textId="13BB9E83"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53C6CB15" w14:textId="778087A5" w:rsidR="009E484F" w:rsidRPr="0077128F" w:rsidRDefault="00CE14AA" w:rsidP="002C658A">
            <w:pPr>
              <w:jc w:val="center"/>
              <w:rPr>
                <w:strike/>
                <w:sz w:val="22"/>
                <w:szCs w:val="22"/>
                <w:lang w:eastAsia="en-AU"/>
              </w:rPr>
            </w:pPr>
            <w:r w:rsidRPr="0077128F">
              <w:rPr>
                <w:bCs/>
                <w:sz w:val="22"/>
                <w:szCs w:val="22"/>
              </w:rPr>
              <w:t>$</w:t>
            </w:r>
            <w:r w:rsidR="00FB0BCA" w:rsidRPr="0077128F">
              <w:rPr>
                <w:bCs/>
                <w:sz w:val="22"/>
                <w:szCs w:val="22"/>
              </w:rPr>
              <w:t>535</w:t>
            </w:r>
          </w:p>
        </w:tc>
        <w:tc>
          <w:tcPr>
            <w:tcW w:w="1688" w:type="dxa"/>
            <w:gridSpan w:val="2"/>
          </w:tcPr>
          <w:p w14:paraId="5930561C" w14:textId="30B22FCC"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0D1CD59" w14:textId="302C5F16" w:rsidTr="0003415E">
        <w:trPr>
          <w:trHeight w:val="300"/>
          <w:jc w:val="center"/>
        </w:trPr>
        <w:tc>
          <w:tcPr>
            <w:tcW w:w="2830" w:type="dxa"/>
            <w:shd w:val="clear" w:color="auto" w:fill="auto"/>
          </w:tcPr>
          <w:p w14:paraId="46D83486" w14:textId="002A2F83" w:rsidR="009E484F" w:rsidRPr="0077128F" w:rsidRDefault="009E484F" w:rsidP="001F0EA2">
            <w:pPr>
              <w:rPr>
                <w:sz w:val="22"/>
                <w:szCs w:val="22"/>
                <w:lang w:eastAsia="en-AU"/>
              </w:rPr>
            </w:pPr>
            <w:r w:rsidRPr="0077128F">
              <w:rPr>
                <w:sz w:val="22"/>
                <w:szCs w:val="22"/>
                <w:lang w:eastAsia="en-AU"/>
              </w:rPr>
              <w:t>Medicinal Cannabis Medical Advisory Panel</w:t>
            </w:r>
          </w:p>
        </w:tc>
        <w:tc>
          <w:tcPr>
            <w:tcW w:w="2812" w:type="dxa"/>
            <w:shd w:val="clear" w:color="auto" w:fill="auto"/>
          </w:tcPr>
          <w:p w14:paraId="6F63D537" w14:textId="1FBCB24D" w:rsidR="009E484F" w:rsidRPr="0077128F" w:rsidRDefault="009E484F" w:rsidP="001F0EA2">
            <w:pPr>
              <w:rPr>
                <w:sz w:val="22"/>
                <w:szCs w:val="22"/>
                <w:lang w:eastAsia="en-AU"/>
              </w:rPr>
            </w:pPr>
            <w:r w:rsidRPr="0077128F">
              <w:rPr>
                <w:sz w:val="22"/>
                <w:szCs w:val="22"/>
                <w:lang w:eastAsia="en-AU"/>
              </w:rPr>
              <w:t xml:space="preserve">Chair </w:t>
            </w:r>
          </w:p>
          <w:p w14:paraId="63F78555" w14:textId="2510FBFB"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48899B8" w14:textId="6C582B27" w:rsidR="00CE14AA" w:rsidRPr="0077128F" w:rsidRDefault="00CE14AA" w:rsidP="002C658A">
            <w:pPr>
              <w:jc w:val="center"/>
              <w:rPr>
                <w:bCs/>
                <w:sz w:val="22"/>
                <w:szCs w:val="22"/>
                <w:lang w:eastAsia="en-AU"/>
              </w:rPr>
            </w:pPr>
            <w:r w:rsidRPr="0077128F">
              <w:rPr>
                <w:bCs/>
                <w:sz w:val="22"/>
                <w:szCs w:val="22"/>
              </w:rPr>
              <w:t>$5</w:t>
            </w:r>
            <w:r w:rsidR="00BF2F01" w:rsidRPr="0077128F">
              <w:rPr>
                <w:bCs/>
                <w:sz w:val="22"/>
                <w:szCs w:val="22"/>
              </w:rPr>
              <w:t>55</w:t>
            </w:r>
          </w:p>
          <w:p w14:paraId="35F8473D" w14:textId="47F58A93" w:rsidR="009E484F" w:rsidRPr="0077128F" w:rsidRDefault="00CE14AA" w:rsidP="002C658A">
            <w:pPr>
              <w:jc w:val="center"/>
              <w:rPr>
                <w:strike/>
                <w:sz w:val="22"/>
                <w:szCs w:val="22"/>
                <w:highlight w:val="yellow"/>
                <w:lang w:eastAsia="en-AU"/>
              </w:rPr>
            </w:pPr>
            <w:r w:rsidRPr="0077128F">
              <w:rPr>
                <w:bCs/>
                <w:sz w:val="22"/>
                <w:szCs w:val="22"/>
              </w:rPr>
              <w:t>$4</w:t>
            </w:r>
            <w:r w:rsidR="00BF2F01" w:rsidRPr="0077128F">
              <w:rPr>
                <w:bCs/>
                <w:sz w:val="22"/>
                <w:szCs w:val="22"/>
              </w:rPr>
              <w:t>80</w:t>
            </w:r>
          </w:p>
        </w:tc>
        <w:tc>
          <w:tcPr>
            <w:tcW w:w="1688" w:type="dxa"/>
            <w:gridSpan w:val="2"/>
          </w:tcPr>
          <w:p w14:paraId="184F9096" w14:textId="77777777" w:rsidR="009E484F" w:rsidRPr="0077128F" w:rsidRDefault="002C658A" w:rsidP="002C658A">
            <w:pPr>
              <w:jc w:val="center"/>
              <w:rPr>
                <w:sz w:val="22"/>
                <w:szCs w:val="22"/>
                <w:lang w:eastAsia="en-AU"/>
              </w:rPr>
            </w:pPr>
            <w:r w:rsidRPr="0077128F">
              <w:rPr>
                <w:sz w:val="22"/>
                <w:szCs w:val="22"/>
                <w:lang w:eastAsia="en-AU"/>
              </w:rPr>
              <w:t>-</w:t>
            </w:r>
          </w:p>
          <w:p w14:paraId="3148A53C" w14:textId="750D5224"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80041D6" w14:textId="4AF7CB42" w:rsidTr="0003415E">
        <w:trPr>
          <w:trHeight w:val="300"/>
          <w:jc w:val="center"/>
        </w:trPr>
        <w:tc>
          <w:tcPr>
            <w:tcW w:w="2830" w:type="dxa"/>
            <w:shd w:val="clear" w:color="auto" w:fill="auto"/>
            <w:hideMark/>
          </w:tcPr>
          <w:p w14:paraId="5EE45B88" w14:textId="3F6A88C2" w:rsidR="009E484F" w:rsidRPr="0077128F" w:rsidRDefault="009E484F" w:rsidP="001F0EA2">
            <w:pPr>
              <w:rPr>
                <w:sz w:val="22"/>
                <w:szCs w:val="22"/>
                <w:lang w:eastAsia="en-AU"/>
              </w:rPr>
            </w:pPr>
            <w:r w:rsidRPr="0077128F">
              <w:rPr>
                <w:sz w:val="22"/>
                <w:szCs w:val="22"/>
                <w:lang w:eastAsia="en-AU"/>
              </w:rPr>
              <w:t>Medicines Advisory Committee</w:t>
            </w:r>
          </w:p>
        </w:tc>
        <w:tc>
          <w:tcPr>
            <w:tcW w:w="2812" w:type="dxa"/>
            <w:shd w:val="clear" w:color="auto" w:fill="auto"/>
            <w:hideMark/>
          </w:tcPr>
          <w:p w14:paraId="7998545B" w14:textId="179F9504" w:rsidR="009E484F" w:rsidRPr="0077128F" w:rsidRDefault="009E484F" w:rsidP="001F0EA2">
            <w:pPr>
              <w:rPr>
                <w:sz w:val="22"/>
                <w:szCs w:val="22"/>
                <w:lang w:eastAsia="en-AU"/>
              </w:rPr>
            </w:pPr>
            <w:r w:rsidRPr="0077128F">
              <w:rPr>
                <w:sz w:val="22"/>
                <w:szCs w:val="22"/>
                <w:lang w:eastAsia="en-AU"/>
              </w:rPr>
              <w:t xml:space="preserve">Chair </w:t>
            </w:r>
          </w:p>
          <w:p w14:paraId="63E93319" w14:textId="6024833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A355F78" w14:textId="77777777" w:rsidR="00BF2F01" w:rsidRPr="0077128F" w:rsidRDefault="00BF2F01" w:rsidP="00BF2F01">
            <w:pPr>
              <w:jc w:val="center"/>
              <w:rPr>
                <w:bCs/>
                <w:sz w:val="22"/>
                <w:szCs w:val="22"/>
                <w:lang w:eastAsia="en-AU"/>
              </w:rPr>
            </w:pPr>
            <w:r w:rsidRPr="0077128F">
              <w:rPr>
                <w:bCs/>
                <w:sz w:val="22"/>
                <w:szCs w:val="22"/>
              </w:rPr>
              <w:t>$555</w:t>
            </w:r>
          </w:p>
          <w:p w14:paraId="13561214" w14:textId="5C9C4F71"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1B151CDA" w14:textId="77777777" w:rsidR="009E484F" w:rsidRPr="0077128F" w:rsidRDefault="002C658A" w:rsidP="002C658A">
            <w:pPr>
              <w:jc w:val="center"/>
              <w:rPr>
                <w:sz w:val="22"/>
                <w:szCs w:val="22"/>
                <w:lang w:eastAsia="en-AU"/>
              </w:rPr>
            </w:pPr>
            <w:r w:rsidRPr="0077128F">
              <w:rPr>
                <w:sz w:val="22"/>
                <w:szCs w:val="22"/>
                <w:lang w:eastAsia="en-AU"/>
              </w:rPr>
              <w:t>-</w:t>
            </w:r>
          </w:p>
          <w:p w14:paraId="1F3D825D" w14:textId="746FF32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BCAE156" w14:textId="15BEE608" w:rsidTr="0003415E">
        <w:trPr>
          <w:trHeight w:val="300"/>
          <w:jc w:val="center"/>
        </w:trPr>
        <w:tc>
          <w:tcPr>
            <w:tcW w:w="2830" w:type="dxa"/>
            <w:shd w:val="clear" w:color="auto" w:fill="auto"/>
          </w:tcPr>
          <w:p w14:paraId="7D52A49D" w14:textId="14008EB8" w:rsidR="009E484F" w:rsidRPr="0077128F" w:rsidRDefault="009E484F" w:rsidP="001F0EA2">
            <w:pPr>
              <w:rPr>
                <w:sz w:val="22"/>
                <w:szCs w:val="22"/>
                <w:lang w:eastAsia="en-AU"/>
              </w:rPr>
            </w:pPr>
            <w:r w:rsidRPr="0077128F">
              <w:rPr>
                <w:sz w:val="22"/>
                <w:szCs w:val="22"/>
                <w:lang w:eastAsia="en-AU"/>
              </w:rPr>
              <w:t>Mental Health Advisory Council</w:t>
            </w:r>
          </w:p>
        </w:tc>
        <w:tc>
          <w:tcPr>
            <w:tcW w:w="2812" w:type="dxa"/>
            <w:shd w:val="clear" w:color="auto" w:fill="auto"/>
          </w:tcPr>
          <w:p w14:paraId="6682292C" w14:textId="73CA7067" w:rsidR="009E484F" w:rsidRPr="0077128F" w:rsidRDefault="009E484F" w:rsidP="001F0EA2">
            <w:pPr>
              <w:rPr>
                <w:sz w:val="22"/>
                <w:szCs w:val="22"/>
                <w:lang w:eastAsia="en-AU"/>
              </w:rPr>
            </w:pPr>
            <w:r w:rsidRPr="0077128F">
              <w:rPr>
                <w:sz w:val="22"/>
                <w:szCs w:val="22"/>
                <w:lang w:eastAsia="en-AU"/>
              </w:rPr>
              <w:t xml:space="preserve">Chair </w:t>
            </w:r>
          </w:p>
          <w:p w14:paraId="2A726CDB" w14:textId="38470BB1"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6EAF4C25" w14:textId="77777777" w:rsidR="00BF2F01" w:rsidRPr="0077128F" w:rsidRDefault="00BF2F01" w:rsidP="00BF2F01">
            <w:pPr>
              <w:jc w:val="center"/>
              <w:rPr>
                <w:bCs/>
                <w:sz w:val="22"/>
                <w:szCs w:val="22"/>
                <w:lang w:eastAsia="en-AU"/>
              </w:rPr>
            </w:pPr>
            <w:r w:rsidRPr="0077128F">
              <w:rPr>
                <w:bCs/>
                <w:sz w:val="22"/>
                <w:szCs w:val="22"/>
              </w:rPr>
              <w:t>$555</w:t>
            </w:r>
          </w:p>
          <w:p w14:paraId="1EFF1B66" w14:textId="56091583"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05D0C005" w14:textId="77777777" w:rsidR="009E484F" w:rsidRPr="0077128F" w:rsidRDefault="002C658A" w:rsidP="002C658A">
            <w:pPr>
              <w:jc w:val="center"/>
              <w:rPr>
                <w:sz w:val="22"/>
                <w:szCs w:val="22"/>
                <w:lang w:eastAsia="en-AU"/>
              </w:rPr>
            </w:pPr>
            <w:r w:rsidRPr="0077128F">
              <w:rPr>
                <w:sz w:val="22"/>
                <w:szCs w:val="22"/>
                <w:lang w:eastAsia="en-AU"/>
              </w:rPr>
              <w:t>-</w:t>
            </w:r>
          </w:p>
          <w:p w14:paraId="578B75E1" w14:textId="5E0106EA"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168FFDC" w14:textId="1C3622B0" w:rsidTr="0003415E">
        <w:trPr>
          <w:trHeight w:val="300"/>
          <w:jc w:val="center"/>
        </w:trPr>
        <w:tc>
          <w:tcPr>
            <w:tcW w:w="2830" w:type="dxa"/>
            <w:shd w:val="clear" w:color="auto" w:fill="auto"/>
            <w:hideMark/>
          </w:tcPr>
          <w:p w14:paraId="60469922" w14:textId="34633BFC" w:rsidR="009E484F" w:rsidRPr="0077128F" w:rsidRDefault="009E484F" w:rsidP="001F0EA2">
            <w:pPr>
              <w:rPr>
                <w:sz w:val="22"/>
                <w:szCs w:val="22"/>
                <w:lang w:eastAsia="en-AU"/>
              </w:rPr>
            </w:pPr>
            <w:r w:rsidRPr="0077128F">
              <w:rPr>
                <w:sz w:val="22"/>
                <w:szCs w:val="22"/>
                <w:lang w:eastAsia="en-AU"/>
              </w:rPr>
              <w:t>Ministerial Advisory Council on Women</w:t>
            </w:r>
          </w:p>
        </w:tc>
        <w:tc>
          <w:tcPr>
            <w:tcW w:w="2812" w:type="dxa"/>
            <w:shd w:val="clear" w:color="auto" w:fill="auto"/>
            <w:hideMark/>
          </w:tcPr>
          <w:p w14:paraId="0F6D9CC6" w14:textId="18984AE9" w:rsidR="009E484F" w:rsidRPr="0077128F" w:rsidRDefault="009E484F" w:rsidP="001F0EA2">
            <w:pPr>
              <w:rPr>
                <w:sz w:val="22"/>
                <w:szCs w:val="22"/>
                <w:lang w:eastAsia="en-AU"/>
              </w:rPr>
            </w:pPr>
            <w:r w:rsidRPr="0077128F">
              <w:rPr>
                <w:sz w:val="22"/>
                <w:szCs w:val="22"/>
                <w:lang w:eastAsia="en-AU"/>
              </w:rPr>
              <w:t xml:space="preserve">Chair </w:t>
            </w:r>
          </w:p>
        </w:tc>
        <w:tc>
          <w:tcPr>
            <w:tcW w:w="1687" w:type="dxa"/>
            <w:gridSpan w:val="2"/>
            <w:shd w:val="clear" w:color="auto" w:fill="auto"/>
            <w:noWrap/>
          </w:tcPr>
          <w:p w14:paraId="7B240F39" w14:textId="647582A4" w:rsidR="009E484F" w:rsidRPr="0077128F" w:rsidRDefault="00CE14AA" w:rsidP="002C658A">
            <w:pPr>
              <w:jc w:val="center"/>
              <w:rPr>
                <w:strike/>
                <w:sz w:val="22"/>
                <w:szCs w:val="22"/>
                <w:lang w:eastAsia="en-AU"/>
              </w:rPr>
            </w:pPr>
            <w:r w:rsidRPr="0077128F">
              <w:rPr>
                <w:bCs/>
                <w:sz w:val="22"/>
                <w:szCs w:val="22"/>
              </w:rPr>
              <w:t>$5</w:t>
            </w:r>
            <w:r w:rsidR="00BF2F01" w:rsidRPr="0077128F">
              <w:rPr>
                <w:bCs/>
                <w:sz w:val="22"/>
                <w:szCs w:val="22"/>
              </w:rPr>
              <w:t>35</w:t>
            </w:r>
          </w:p>
        </w:tc>
        <w:tc>
          <w:tcPr>
            <w:tcW w:w="1688" w:type="dxa"/>
            <w:gridSpan w:val="2"/>
          </w:tcPr>
          <w:p w14:paraId="63DD8DA1" w14:textId="66B5F2BB"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2E17188C" w14:textId="458F5592" w:rsidTr="0003415E">
        <w:trPr>
          <w:trHeight w:val="610"/>
          <w:jc w:val="center"/>
        </w:trPr>
        <w:tc>
          <w:tcPr>
            <w:tcW w:w="2830" w:type="dxa"/>
            <w:shd w:val="clear" w:color="auto" w:fill="auto"/>
            <w:hideMark/>
          </w:tcPr>
          <w:p w14:paraId="55B98ED8" w14:textId="25952B96" w:rsidR="009E484F" w:rsidRPr="0077128F" w:rsidRDefault="009E484F" w:rsidP="001F0EA2">
            <w:pPr>
              <w:rPr>
                <w:sz w:val="22"/>
                <w:szCs w:val="22"/>
                <w:lang w:eastAsia="en-AU"/>
              </w:rPr>
            </w:pPr>
            <w:r w:rsidRPr="0077128F">
              <w:rPr>
                <w:sz w:val="22"/>
                <w:szCs w:val="22"/>
                <w:lang w:eastAsia="en-AU"/>
              </w:rPr>
              <w:lastRenderedPageBreak/>
              <w:t>Multicultural Advisory Council</w:t>
            </w:r>
          </w:p>
        </w:tc>
        <w:tc>
          <w:tcPr>
            <w:tcW w:w="2812" w:type="dxa"/>
            <w:shd w:val="clear" w:color="auto" w:fill="auto"/>
            <w:hideMark/>
          </w:tcPr>
          <w:p w14:paraId="4AA9C850" w14:textId="257E9CAB" w:rsidR="009E484F" w:rsidRPr="0077128F" w:rsidRDefault="009E484F" w:rsidP="001F0EA2">
            <w:pPr>
              <w:rPr>
                <w:sz w:val="22"/>
                <w:szCs w:val="22"/>
                <w:lang w:eastAsia="en-AU"/>
              </w:rPr>
            </w:pPr>
            <w:r w:rsidRPr="0077128F">
              <w:rPr>
                <w:sz w:val="22"/>
                <w:szCs w:val="22"/>
                <w:lang w:eastAsia="en-AU"/>
              </w:rPr>
              <w:t xml:space="preserve">Chair </w:t>
            </w:r>
          </w:p>
          <w:p w14:paraId="6E7688B7" w14:textId="054D25AA" w:rsidR="009E484F" w:rsidRPr="0077128F" w:rsidRDefault="009E484F" w:rsidP="001F0EA2">
            <w:pPr>
              <w:rPr>
                <w:sz w:val="22"/>
                <w:szCs w:val="22"/>
                <w:lang w:eastAsia="en-AU"/>
              </w:rPr>
            </w:pPr>
            <w:r w:rsidRPr="0077128F">
              <w:rPr>
                <w:sz w:val="22"/>
                <w:szCs w:val="22"/>
                <w:lang w:eastAsia="en-AU"/>
              </w:rPr>
              <w:t xml:space="preserve">Deputy Chair </w:t>
            </w:r>
          </w:p>
        </w:tc>
        <w:tc>
          <w:tcPr>
            <w:tcW w:w="1687" w:type="dxa"/>
            <w:gridSpan w:val="2"/>
            <w:shd w:val="clear" w:color="auto" w:fill="auto"/>
            <w:noWrap/>
          </w:tcPr>
          <w:p w14:paraId="347040B1" w14:textId="066F94E4" w:rsidR="00CE14AA" w:rsidRPr="0077128F" w:rsidRDefault="00CE14AA" w:rsidP="002C658A">
            <w:pPr>
              <w:jc w:val="center"/>
              <w:rPr>
                <w:bCs/>
                <w:sz w:val="22"/>
                <w:szCs w:val="22"/>
              </w:rPr>
            </w:pPr>
            <w:r w:rsidRPr="0077128F">
              <w:rPr>
                <w:bCs/>
                <w:sz w:val="22"/>
                <w:szCs w:val="22"/>
              </w:rPr>
              <w:t>$5</w:t>
            </w:r>
            <w:r w:rsidR="00BF2F01" w:rsidRPr="0077128F">
              <w:rPr>
                <w:bCs/>
                <w:sz w:val="22"/>
                <w:szCs w:val="22"/>
              </w:rPr>
              <w:t>35</w:t>
            </w:r>
          </w:p>
          <w:p w14:paraId="2BEFEB00" w14:textId="7F8D42FD" w:rsidR="009E484F" w:rsidRPr="0077128F" w:rsidRDefault="00CE14AA" w:rsidP="002C658A">
            <w:pPr>
              <w:jc w:val="center"/>
              <w:rPr>
                <w:strike/>
                <w:sz w:val="22"/>
                <w:szCs w:val="22"/>
                <w:lang w:eastAsia="en-AU"/>
              </w:rPr>
            </w:pPr>
            <w:r w:rsidRPr="0077128F">
              <w:rPr>
                <w:bCs/>
                <w:sz w:val="22"/>
                <w:szCs w:val="22"/>
              </w:rPr>
              <w:t>$4</w:t>
            </w:r>
            <w:r w:rsidR="00BF2F01" w:rsidRPr="0077128F">
              <w:rPr>
                <w:bCs/>
                <w:sz w:val="22"/>
                <w:szCs w:val="22"/>
              </w:rPr>
              <w:t>80</w:t>
            </w:r>
          </w:p>
        </w:tc>
        <w:tc>
          <w:tcPr>
            <w:tcW w:w="1688" w:type="dxa"/>
            <w:gridSpan w:val="2"/>
          </w:tcPr>
          <w:p w14:paraId="6D2DD695" w14:textId="77777777" w:rsidR="009E484F" w:rsidRPr="0077128F" w:rsidRDefault="002C658A" w:rsidP="002C658A">
            <w:pPr>
              <w:jc w:val="center"/>
              <w:rPr>
                <w:sz w:val="22"/>
                <w:szCs w:val="22"/>
                <w:lang w:eastAsia="en-AU"/>
              </w:rPr>
            </w:pPr>
            <w:r w:rsidRPr="0077128F">
              <w:rPr>
                <w:sz w:val="22"/>
                <w:szCs w:val="22"/>
                <w:lang w:eastAsia="en-AU"/>
              </w:rPr>
              <w:t>-</w:t>
            </w:r>
          </w:p>
          <w:p w14:paraId="26D29416" w14:textId="6E81E2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477E0E56" w14:textId="7787E5DB" w:rsidTr="0003415E">
        <w:trPr>
          <w:trHeight w:val="610"/>
          <w:jc w:val="center"/>
        </w:trPr>
        <w:tc>
          <w:tcPr>
            <w:tcW w:w="2830" w:type="dxa"/>
            <w:shd w:val="clear" w:color="auto" w:fill="auto"/>
          </w:tcPr>
          <w:p w14:paraId="1DE3A1CF" w14:textId="128E0C7D" w:rsidR="009E484F" w:rsidRPr="0077128F" w:rsidRDefault="009E484F" w:rsidP="001F0EA2">
            <w:pPr>
              <w:rPr>
                <w:sz w:val="22"/>
                <w:szCs w:val="22"/>
                <w:lang w:eastAsia="en-AU"/>
              </w:rPr>
            </w:pPr>
            <w:r w:rsidRPr="0077128F">
              <w:rPr>
                <w:sz w:val="22"/>
                <w:szCs w:val="22"/>
                <w:lang w:eastAsia="en-AU"/>
              </w:rPr>
              <w:t>Natural Resource Management Advisory Committee</w:t>
            </w:r>
          </w:p>
        </w:tc>
        <w:tc>
          <w:tcPr>
            <w:tcW w:w="2812" w:type="dxa"/>
            <w:shd w:val="clear" w:color="auto" w:fill="auto"/>
          </w:tcPr>
          <w:p w14:paraId="40C34868" w14:textId="7BAAA08E" w:rsidR="009E484F" w:rsidRPr="0077128F" w:rsidRDefault="009E484F" w:rsidP="001F0EA2">
            <w:pPr>
              <w:rPr>
                <w:sz w:val="22"/>
                <w:szCs w:val="22"/>
                <w:lang w:eastAsia="en-AU"/>
              </w:rPr>
            </w:pPr>
            <w:r w:rsidRPr="0077128F">
              <w:rPr>
                <w:sz w:val="22"/>
                <w:szCs w:val="22"/>
                <w:lang w:eastAsia="en-AU"/>
              </w:rPr>
              <w:t xml:space="preserve">Chair </w:t>
            </w:r>
          </w:p>
          <w:p w14:paraId="1EBD9F31" w14:textId="5BDE5175"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3A30EFCC" w14:textId="77777777" w:rsidR="00BF2F01" w:rsidRPr="0077128F" w:rsidRDefault="00BF2F01" w:rsidP="00BF2F01">
            <w:pPr>
              <w:jc w:val="center"/>
              <w:rPr>
                <w:bCs/>
                <w:sz w:val="22"/>
                <w:szCs w:val="22"/>
                <w:lang w:eastAsia="en-AU"/>
              </w:rPr>
            </w:pPr>
            <w:r w:rsidRPr="0077128F">
              <w:rPr>
                <w:bCs/>
                <w:sz w:val="22"/>
                <w:szCs w:val="22"/>
              </w:rPr>
              <w:t>$555</w:t>
            </w:r>
          </w:p>
          <w:p w14:paraId="2E09C2AC" w14:textId="026C4446"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07E34F04" w14:textId="77777777" w:rsidR="009E484F" w:rsidRPr="0077128F" w:rsidRDefault="002C658A" w:rsidP="002C658A">
            <w:pPr>
              <w:jc w:val="center"/>
              <w:rPr>
                <w:sz w:val="22"/>
                <w:szCs w:val="22"/>
                <w:lang w:eastAsia="en-AU"/>
              </w:rPr>
            </w:pPr>
            <w:r w:rsidRPr="0077128F">
              <w:rPr>
                <w:sz w:val="22"/>
                <w:szCs w:val="22"/>
                <w:lang w:eastAsia="en-AU"/>
              </w:rPr>
              <w:t>-</w:t>
            </w:r>
          </w:p>
          <w:p w14:paraId="338A08E8" w14:textId="5B1C2A83"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EF76D0" w14:textId="518479FB" w:rsidTr="0003415E">
        <w:trPr>
          <w:trHeight w:val="300"/>
          <w:jc w:val="center"/>
        </w:trPr>
        <w:tc>
          <w:tcPr>
            <w:tcW w:w="2830" w:type="dxa"/>
            <w:shd w:val="clear" w:color="auto" w:fill="auto"/>
            <w:hideMark/>
          </w:tcPr>
          <w:p w14:paraId="68315089" w14:textId="365AF956" w:rsidR="009E484F" w:rsidRPr="0077128F" w:rsidRDefault="009E484F" w:rsidP="001F0EA2">
            <w:pPr>
              <w:rPr>
                <w:sz w:val="22"/>
                <w:szCs w:val="22"/>
                <w:lang w:eastAsia="en-AU"/>
              </w:rPr>
            </w:pPr>
            <w:r w:rsidRPr="0077128F">
              <w:rPr>
                <w:sz w:val="22"/>
                <w:szCs w:val="22"/>
                <w:lang w:eastAsia="en-AU"/>
              </w:rPr>
              <w:t xml:space="preserve">Official Visitor </w:t>
            </w:r>
          </w:p>
        </w:tc>
        <w:tc>
          <w:tcPr>
            <w:tcW w:w="2812" w:type="dxa"/>
            <w:shd w:val="clear" w:color="auto" w:fill="auto"/>
            <w:hideMark/>
          </w:tcPr>
          <w:p w14:paraId="46EB76C7" w14:textId="7AE7E8AA" w:rsidR="009E484F" w:rsidRPr="0077128F" w:rsidRDefault="009E484F" w:rsidP="001F0EA2">
            <w:pPr>
              <w:rPr>
                <w:sz w:val="22"/>
                <w:szCs w:val="22"/>
                <w:lang w:eastAsia="en-AU"/>
              </w:rPr>
            </w:pPr>
            <w:r w:rsidRPr="0077128F">
              <w:rPr>
                <w:sz w:val="22"/>
                <w:szCs w:val="22"/>
                <w:lang w:eastAsia="en-AU"/>
              </w:rPr>
              <w:t xml:space="preserve">Visitor </w:t>
            </w:r>
          </w:p>
        </w:tc>
        <w:tc>
          <w:tcPr>
            <w:tcW w:w="1687" w:type="dxa"/>
            <w:gridSpan w:val="2"/>
            <w:shd w:val="clear" w:color="auto" w:fill="auto"/>
            <w:noWrap/>
          </w:tcPr>
          <w:p w14:paraId="5238966B" w14:textId="21F5ABBB" w:rsidR="009E484F" w:rsidRPr="0077128F" w:rsidRDefault="00CE14AA" w:rsidP="002C658A">
            <w:pPr>
              <w:jc w:val="center"/>
              <w:rPr>
                <w:bCs/>
                <w:sz w:val="22"/>
                <w:szCs w:val="22"/>
                <w:lang w:eastAsia="en-AU"/>
              </w:rPr>
            </w:pPr>
            <w:r w:rsidRPr="0077128F">
              <w:rPr>
                <w:bCs/>
                <w:sz w:val="22"/>
                <w:szCs w:val="22"/>
              </w:rPr>
              <w:t>$5</w:t>
            </w:r>
            <w:r w:rsidR="00BF2F01" w:rsidRPr="0077128F">
              <w:rPr>
                <w:bCs/>
                <w:sz w:val="22"/>
                <w:szCs w:val="22"/>
              </w:rPr>
              <w:t>55</w:t>
            </w:r>
          </w:p>
        </w:tc>
        <w:tc>
          <w:tcPr>
            <w:tcW w:w="1688" w:type="dxa"/>
            <w:gridSpan w:val="2"/>
          </w:tcPr>
          <w:p w14:paraId="624879E2" w14:textId="6297CE5C"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A9A6CD5" w14:textId="1178BBEE" w:rsidTr="0003415E">
        <w:trPr>
          <w:trHeight w:val="634"/>
          <w:jc w:val="center"/>
        </w:trPr>
        <w:tc>
          <w:tcPr>
            <w:tcW w:w="2830" w:type="dxa"/>
            <w:shd w:val="clear" w:color="auto" w:fill="auto"/>
            <w:hideMark/>
          </w:tcPr>
          <w:p w14:paraId="2C1BDF85" w14:textId="77777777" w:rsidR="009E484F" w:rsidRPr="0077128F" w:rsidRDefault="009E484F" w:rsidP="001F0EA2">
            <w:pPr>
              <w:rPr>
                <w:sz w:val="22"/>
                <w:szCs w:val="22"/>
                <w:lang w:eastAsia="en-AU"/>
              </w:rPr>
            </w:pPr>
            <w:r w:rsidRPr="0077128F">
              <w:rPr>
                <w:sz w:val="22"/>
                <w:szCs w:val="22"/>
                <w:lang w:eastAsia="en-AU"/>
              </w:rPr>
              <w:t xml:space="preserve">Plumbing Advisory Board </w:t>
            </w:r>
          </w:p>
        </w:tc>
        <w:tc>
          <w:tcPr>
            <w:tcW w:w="2812" w:type="dxa"/>
            <w:shd w:val="clear" w:color="auto" w:fill="auto"/>
            <w:hideMark/>
          </w:tcPr>
          <w:p w14:paraId="445ABAF9" w14:textId="2DD5C8EE" w:rsidR="009E484F" w:rsidRPr="0077128F" w:rsidRDefault="009E484F" w:rsidP="001F0EA2">
            <w:pPr>
              <w:rPr>
                <w:sz w:val="22"/>
                <w:szCs w:val="22"/>
                <w:lang w:eastAsia="en-AU"/>
              </w:rPr>
            </w:pPr>
            <w:r w:rsidRPr="0077128F">
              <w:rPr>
                <w:sz w:val="22"/>
                <w:szCs w:val="22"/>
                <w:lang w:eastAsia="en-AU"/>
              </w:rPr>
              <w:t xml:space="preserve">Chair </w:t>
            </w:r>
          </w:p>
          <w:p w14:paraId="67C3B6A3" w14:textId="7D8A2002"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279BEAFA" w14:textId="77777777" w:rsidR="00BF2F01" w:rsidRPr="0077128F" w:rsidRDefault="00BF2F01" w:rsidP="00BF2F01">
            <w:pPr>
              <w:jc w:val="center"/>
              <w:rPr>
                <w:bCs/>
                <w:sz w:val="22"/>
                <w:szCs w:val="22"/>
                <w:lang w:eastAsia="en-AU"/>
              </w:rPr>
            </w:pPr>
            <w:r w:rsidRPr="0077128F">
              <w:rPr>
                <w:bCs/>
                <w:sz w:val="22"/>
                <w:szCs w:val="22"/>
              </w:rPr>
              <w:t>$555</w:t>
            </w:r>
          </w:p>
          <w:p w14:paraId="4375D5DE" w14:textId="23923092" w:rsidR="009E484F" w:rsidRPr="0077128F" w:rsidRDefault="00BF2F01" w:rsidP="00BF2F01">
            <w:pPr>
              <w:jc w:val="center"/>
              <w:rPr>
                <w:strike/>
                <w:sz w:val="22"/>
                <w:szCs w:val="22"/>
                <w:lang w:eastAsia="en-AU"/>
              </w:rPr>
            </w:pPr>
            <w:r w:rsidRPr="0077128F">
              <w:rPr>
                <w:bCs/>
                <w:sz w:val="22"/>
                <w:szCs w:val="22"/>
              </w:rPr>
              <w:t>$480</w:t>
            </w:r>
          </w:p>
        </w:tc>
        <w:tc>
          <w:tcPr>
            <w:tcW w:w="1688" w:type="dxa"/>
            <w:gridSpan w:val="2"/>
          </w:tcPr>
          <w:p w14:paraId="74D49967" w14:textId="77777777" w:rsidR="009E484F" w:rsidRPr="0077128F" w:rsidRDefault="002C658A" w:rsidP="002C658A">
            <w:pPr>
              <w:jc w:val="center"/>
              <w:rPr>
                <w:sz w:val="22"/>
                <w:szCs w:val="22"/>
                <w:lang w:eastAsia="en-AU"/>
              </w:rPr>
            </w:pPr>
            <w:r w:rsidRPr="0077128F">
              <w:rPr>
                <w:sz w:val="22"/>
                <w:szCs w:val="22"/>
                <w:lang w:eastAsia="en-AU"/>
              </w:rPr>
              <w:t>-</w:t>
            </w:r>
          </w:p>
          <w:p w14:paraId="5FCE515B" w14:textId="022AAC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7737E3C0" w14:textId="0913FD3C" w:rsidTr="0003415E">
        <w:trPr>
          <w:trHeight w:val="610"/>
          <w:jc w:val="center"/>
        </w:trPr>
        <w:tc>
          <w:tcPr>
            <w:tcW w:w="2830" w:type="dxa"/>
            <w:shd w:val="clear" w:color="auto" w:fill="auto"/>
            <w:hideMark/>
          </w:tcPr>
          <w:p w14:paraId="1607F03F" w14:textId="1B0DF989" w:rsidR="009E484F" w:rsidRPr="0077128F" w:rsidRDefault="009E484F" w:rsidP="001F0EA2">
            <w:pPr>
              <w:rPr>
                <w:sz w:val="22"/>
                <w:szCs w:val="22"/>
                <w:highlight w:val="yellow"/>
                <w:lang w:eastAsia="en-AU"/>
              </w:rPr>
            </w:pPr>
            <w:r w:rsidRPr="0077128F">
              <w:rPr>
                <w:sz w:val="22"/>
                <w:szCs w:val="22"/>
                <w:lang w:eastAsia="en-AU"/>
              </w:rPr>
              <w:t>Public Cemeteries Board</w:t>
            </w:r>
          </w:p>
        </w:tc>
        <w:tc>
          <w:tcPr>
            <w:tcW w:w="2812" w:type="dxa"/>
            <w:shd w:val="clear" w:color="auto" w:fill="auto"/>
            <w:hideMark/>
          </w:tcPr>
          <w:p w14:paraId="49985E8D" w14:textId="36FAECDB" w:rsidR="009E484F" w:rsidRPr="0077128F" w:rsidRDefault="009E484F" w:rsidP="001F0EA2">
            <w:pPr>
              <w:rPr>
                <w:sz w:val="22"/>
                <w:szCs w:val="22"/>
                <w:lang w:eastAsia="en-AU"/>
              </w:rPr>
            </w:pPr>
            <w:r w:rsidRPr="0077128F">
              <w:rPr>
                <w:sz w:val="22"/>
                <w:szCs w:val="22"/>
                <w:lang w:eastAsia="en-AU"/>
              </w:rPr>
              <w:t xml:space="preserve">Chair </w:t>
            </w:r>
          </w:p>
          <w:p w14:paraId="757033DE" w14:textId="535D5869"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44AF0450" w14:textId="5CB1C7D8" w:rsidR="00BF2F01" w:rsidRPr="0077128F" w:rsidRDefault="00BF2F01" w:rsidP="00BF2F01">
            <w:pPr>
              <w:jc w:val="center"/>
              <w:rPr>
                <w:bCs/>
                <w:sz w:val="22"/>
                <w:szCs w:val="22"/>
                <w:lang w:eastAsia="en-AU"/>
              </w:rPr>
            </w:pPr>
            <w:r w:rsidRPr="0077128F">
              <w:rPr>
                <w:bCs/>
                <w:sz w:val="22"/>
                <w:szCs w:val="22"/>
              </w:rPr>
              <w:t>$</w:t>
            </w:r>
            <w:r w:rsidR="00E510A6" w:rsidRPr="0077128F">
              <w:rPr>
                <w:bCs/>
                <w:sz w:val="22"/>
                <w:szCs w:val="22"/>
              </w:rPr>
              <w:t>590</w:t>
            </w:r>
          </w:p>
          <w:p w14:paraId="6D412511" w14:textId="2B4C9A76" w:rsidR="009E484F" w:rsidRPr="0077128F" w:rsidRDefault="00BF2F01" w:rsidP="00BF2F01">
            <w:pPr>
              <w:jc w:val="center"/>
              <w:rPr>
                <w:strike/>
                <w:sz w:val="22"/>
                <w:szCs w:val="22"/>
                <w:lang w:eastAsia="en-AU"/>
              </w:rPr>
            </w:pPr>
            <w:r w:rsidRPr="0077128F">
              <w:rPr>
                <w:bCs/>
                <w:sz w:val="22"/>
                <w:szCs w:val="22"/>
              </w:rPr>
              <w:t>$</w:t>
            </w:r>
            <w:r w:rsidR="00E510A6" w:rsidRPr="0077128F">
              <w:rPr>
                <w:bCs/>
                <w:sz w:val="22"/>
                <w:szCs w:val="22"/>
              </w:rPr>
              <w:t>510</w:t>
            </w:r>
          </w:p>
        </w:tc>
        <w:tc>
          <w:tcPr>
            <w:tcW w:w="1688" w:type="dxa"/>
            <w:gridSpan w:val="2"/>
          </w:tcPr>
          <w:p w14:paraId="3A2E38C4" w14:textId="77777777" w:rsidR="009E484F" w:rsidRPr="0077128F" w:rsidRDefault="002C658A" w:rsidP="002C658A">
            <w:pPr>
              <w:jc w:val="center"/>
              <w:rPr>
                <w:sz w:val="22"/>
                <w:szCs w:val="22"/>
                <w:lang w:eastAsia="en-AU"/>
              </w:rPr>
            </w:pPr>
            <w:r w:rsidRPr="0077128F">
              <w:rPr>
                <w:sz w:val="22"/>
                <w:szCs w:val="22"/>
                <w:lang w:eastAsia="en-AU"/>
              </w:rPr>
              <w:t>-</w:t>
            </w:r>
          </w:p>
          <w:p w14:paraId="5EE68CDC" w14:textId="5451F21A"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04828961" w14:textId="4DB6B840" w:rsidTr="0003415E">
        <w:trPr>
          <w:trHeight w:val="300"/>
          <w:jc w:val="center"/>
        </w:trPr>
        <w:tc>
          <w:tcPr>
            <w:tcW w:w="2830" w:type="dxa"/>
            <w:shd w:val="clear" w:color="auto" w:fill="auto"/>
            <w:hideMark/>
          </w:tcPr>
          <w:p w14:paraId="652B845F" w14:textId="1A449698" w:rsidR="009E484F" w:rsidRPr="0077128F" w:rsidRDefault="009E484F" w:rsidP="001F0EA2">
            <w:pPr>
              <w:rPr>
                <w:sz w:val="22"/>
                <w:szCs w:val="22"/>
                <w:lang w:eastAsia="en-AU"/>
              </w:rPr>
            </w:pPr>
            <w:r w:rsidRPr="0077128F">
              <w:rPr>
                <w:sz w:val="22"/>
                <w:szCs w:val="22"/>
                <w:lang w:eastAsia="en-AU"/>
              </w:rPr>
              <w:t>Public Interest Monitor Panel</w:t>
            </w:r>
          </w:p>
        </w:tc>
        <w:tc>
          <w:tcPr>
            <w:tcW w:w="2812" w:type="dxa"/>
            <w:shd w:val="clear" w:color="auto" w:fill="auto"/>
            <w:hideMark/>
          </w:tcPr>
          <w:p w14:paraId="51821AE9" w14:textId="3F159F98" w:rsidR="009E484F" w:rsidRPr="0077128F" w:rsidRDefault="009E484F" w:rsidP="001F0EA2">
            <w:pPr>
              <w:rPr>
                <w:sz w:val="22"/>
                <w:szCs w:val="22"/>
                <w:lang w:eastAsia="en-AU"/>
              </w:rPr>
            </w:pPr>
            <w:r w:rsidRPr="0077128F">
              <w:rPr>
                <w:sz w:val="22"/>
                <w:szCs w:val="22"/>
                <w:lang w:eastAsia="en-AU"/>
              </w:rPr>
              <w:t xml:space="preserve">Member </w:t>
            </w:r>
          </w:p>
        </w:tc>
        <w:tc>
          <w:tcPr>
            <w:tcW w:w="1687" w:type="dxa"/>
            <w:gridSpan w:val="2"/>
            <w:shd w:val="clear" w:color="auto" w:fill="auto"/>
            <w:noWrap/>
          </w:tcPr>
          <w:p w14:paraId="074F33CA" w14:textId="6431E478" w:rsidR="009E484F" w:rsidRPr="0077128F" w:rsidRDefault="009E484F" w:rsidP="002C658A">
            <w:pPr>
              <w:jc w:val="center"/>
              <w:rPr>
                <w:bCs/>
                <w:sz w:val="22"/>
                <w:szCs w:val="22"/>
              </w:rPr>
            </w:pPr>
            <w:r w:rsidRPr="0077128F">
              <w:rPr>
                <w:bCs/>
                <w:sz w:val="22"/>
                <w:szCs w:val="22"/>
              </w:rPr>
              <w:t>$1,</w:t>
            </w:r>
            <w:r w:rsidR="00CE14AA" w:rsidRPr="0077128F">
              <w:rPr>
                <w:bCs/>
                <w:sz w:val="22"/>
                <w:szCs w:val="22"/>
              </w:rPr>
              <w:t>1</w:t>
            </w:r>
            <w:r w:rsidR="00BF2F01" w:rsidRPr="0077128F">
              <w:rPr>
                <w:bCs/>
                <w:sz w:val="22"/>
                <w:szCs w:val="22"/>
              </w:rPr>
              <w:t>55</w:t>
            </w:r>
          </w:p>
        </w:tc>
        <w:tc>
          <w:tcPr>
            <w:tcW w:w="1688" w:type="dxa"/>
            <w:gridSpan w:val="2"/>
          </w:tcPr>
          <w:p w14:paraId="75C75167" w14:textId="73439FB7"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0E5514CC" w14:textId="7A8ADAAB" w:rsidTr="0003415E">
        <w:trPr>
          <w:trHeight w:val="300"/>
          <w:jc w:val="center"/>
        </w:trPr>
        <w:tc>
          <w:tcPr>
            <w:tcW w:w="2830" w:type="dxa"/>
            <w:shd w:val="clear" w:color="auto" w:fill="auto"/>
          </w:tcPr>
          <w:p w14:paraId="1EC2E4BA" w14:textId="77777777" w:rsidR="009E484F" w:rsidRPr="0077128F" w:rsidRDefault="009E484F" w:rsidP="009E484F">
            <w:pPr>
              <w:rPr>
                <w:sz w:val="22"/>
                <w:szCs w:val="22"/>
                <w:lang w:eastAsia="en-AU"/>
              </w:rPr>
            </w:pPr>
            <w:r w:rsidRPr="0077128F">
              <w:rPr>
                <w:sz w:val="22"/>
                <w:szCs w:val="22"/>
                <w:lang w:eastAsia="en-AU"/>
              </w:rPr>
              <w:t>Public Sector Standards Commissioner</w:t>
            </w:r>
          </w:p>
        </w:tc>
        <w:tc>
          <w:tcPr>
            <w:tcW w:w="2812" w:type="dxa"/>
            <w:shd w:val="clear" w:color="auto" w:fill="auto"/>
          </w:tcPr>
          <w:p w14:paraId="35CD64A6" w14:textId="3490FFAA" w:rsidR="009E484F" w:rsidRPr="0077128F" w:rsidRDefault="009E484F" w:rsidP="009E484F">
            <w:pPr>
              <w:rPr>
                <w:sz w:val="22"/>
                <w:szCs w:val="22"/>
                <w:lang w:eastAsia="en-AU"/>
              </w:rPr>
            </w:pPr>
            <w:r w:rsidRPr="0077128F">
              <w:rPr>
                <w:sz w:val="22"/>
                <w:szCs w:val="22"/>
                <w:lang w:eastAsia="en-AU"/>
              </w:rPr>
              <w:t xml:space="preserve">Public Sector Standards Commissioner </w:t>
            </w:r>
          </w:p>
        </w:tc>
        <w:tc>
          <w:tcPr>
            <w:tcW w:w="1687" w:type="dxa"/>
            <w:gridSpan w:val="2"/>
            <w:shd w:val="clear" w:color="auto" w:fill="auto"/>
            <w:noWrap/>
          </w:tcPr>
          <w:p w14:paraId="239B0D2C" w14:textId="14B68F25" w:rsidR="009E484F" w:rsidRPr="0077128F" w:rsidRDefault="001137B5" w:rsidP="002C658A">
            <w:pPr>
              <w:jc w:val="center"/>
              <w:rPr>
                <w:strike/>
                <w:sz w:val="22"/>
                <w:szCs w:val="22"/>
                <w:lang w:eastAsia="en-AU"/>
              </w:rPr>
            </w:pPr>
            <w:r w:rsidRPr="0077128F">
              <w:rPr>
                <w:bCs/>
                <w:sz w:val="22"/>
                <w:szCs w:val="22"/>
              </w:rPr>
              <w:t>-</w:t>
            </w:r>
          </w:p>
        </w:tc>
        <w:tc>
          <w:tcPr>
            <w:tcW w:w="1688" w:type="dxa"/>
            <w:gridSpan w:val="2"/>
          </w:tcPr>
          <w:p w14:paraId="3D6FFC48" w14:textId="6D8D688C" w:rsidR="001142FD" w:rsidRPr="0077128F" w:rsidRDefault="001137B5" w:rsidP="002C658A">
            <w:pPr>
              <w:jc w:val="center"/>
              <w:rPr>
                <w:bCs/>
                <w:sz w:val="22"/>
                <w:szCs w:val="22"/>
              </w:rPr>
            </w:pPr>
            <w:r w:rsidRPr="0077128F">
              <w:rPr>
                <w:bCs/>
                <w:sz w:val="22"/>
                <w:szCs w:val="22"/>
              </w:rPr>
              <w:t>$</w:t>
            </w:r>
            <w:r w:rsidR="00AE696C">
              <w:rPr>
                <w:bCs/>
                <w:sz w:val="22"/>
                <w:szCs w:val="22"/>
              </w:rPr>
              <w:t>170,727</w:t>
            </w:r>
          </w:p>
          <w:p w14:paraId="3BF3D4DF" w14:textId="2249E3B7" w:rsidR="009E484F" w:rsidRPr="0077128F" w:rsidRDefault="009E484F" w:rsidP="002C658A">
            <w:pPr>
              <w:jc w:val="center"/>
              <w:rPr>
                <w:bCs/>
                <w:sz w:val="22"/>
                <w:szCs w:val="22"/>
              </w:rPr>
            </w:pPr>
          </w:p>
        </w:tc>
      </w:tr>
      <w:tr w:rsidR="0077128F" w:rsidRPr="0077128F" w14:paraId="5BE87F5E" w14:textId="143A4781" w:rsidTr="0003415E">
        <w:trPr>
          <w:gridAfter w:val="1"/>
          <w:wAfter w:w="13" w:type="dxa"/>
          <w:trHeight w:val="1125"/>
          <w:jc w:val="center"/>
        </w:trPr>
        <w:tc>
          <w:tcPr>
            <w:tcW w:w="2830" w:type="dxa"/>
            <w:shd w:val="clear" w:color="auto" w:fill="auto"/>
            <w:hideMark/>
          </w:tcPr>
          <w:p w14:paraId="64E057AF" w14:textId="77777777" w:rsidR="009E484F" w:rsidRPr="0077128F" w:rsidRDefault="009E484F" w:rsidP="009E484F">
            <w:pPr>
              <w:rPr>
                <w:sz w:val="22"/>
                <w:szCs w:val="22"/>
                <w:lang w:eastAsia="en-AU"/>
              </w:rPr>
            </w:pPr>
            <w:r w:rsidRPr="0077128F">
              <w:rPr>
                <w:sz w:val="22"/>
                <w:szCs w:val="22"/>
                <w:lang w:eastAsia="en-AU"/>
              </w:rPr>
              <w:t>Racing Appeals Tribunal</w:t>
            </w:r>
          </w:p>
        </w:tc>
        <w:tc>
          <w:tcPr>
            <w:tcW w:w="2812" w:type="dxa"/>
            <w:shd w:val="clear" w:color="auto" w:fill="auto"/>
            <w:hideMark/>
          </w:tcPr>
          <w:p w14:paraId="0D90CE30" w14:textId="3B984FD4" w:rsidR="009E484F" w:rsidRPr="0077128F" w:rsidRDefault="009E484F" w:rsidP="009E484F">
            <w:pPr>
              <w:rPr>
                <w:sz w:val="22"/>
                <w:szCs w:val="22"/>
                <w:lang w:eastAsia="en-AU"/>
              </w:rPr>
            </w:pPr>
            <w:r w:rsidRPr="0077128F">
              <w:rPr>
                <w:sz w:val="22"/>
                <w:szCs w:val="22"/>
                <w:lang w:eastAsia="en-AU"/>
              </w:rPr>
              <w:t xml:space="preserve">President </w:t>
            </w:r>
          </w:p>
          <w:p w14:paraId="0742B359" w14:textId="5D3B480A" w:rsidR="009E484F" w:rsidRPr="0077128F" w:rsidRDefault="009E484F" w:rsidP="009E484F">
            <w:pPr>
              <w:rPr>
                <w:sz w:val="22"/>
                <w:szCs w:val="22"/>
                <w:lang w:eastAsia="en-AU"/>
              </w:rPr>
            </w:pPr>
            <w:r w:rsidRPr="0077128F">
              <w:rPr>
                <w:sz w:val="22"/>
                <w:szCs w:val="22"/>
                <w:lang w:eastAsia="en-AU"/>
              </w:rPr>
              <w:t xml:space="preserve">Deputy President </w:t>
            </w:r>
          </w:p>
          <w:p w14:paraId="24E721BE" w14:textId="4647812C" w:rsidR="009E484F" w:rsidRPr="0077128F" w:rsidRDefault="009E484F" w:rsidP="009E484F">
            <w:pPr>
              <w:rPr>
                <w:sz w:val="22"/>
                <w:szCs w:val="22"/>
                <w:lang w:eastAsia="en-AU"/>
              </w:rPr>
            </w:pPr>
            <w:r w:rsidRPr="0077128F">
              <w:rPr>
                <w:sz w:val="22"/>
                <w:szCs w:val="22"/>
                <w:lang w:eastAsia="en-AU"/>
              </w:rPr>
              <w:t xml:space="preserve">Member </w:t>
            </w:r>
          </w:p>
          <w:p w14:paraId="520649A5" w14:textId="40335126" w:rsidR="009E484F" w:rsidRPr="0077128F" w:rsidRDefault="009E484F" w:rsidP="009E484F">
            <w:pPr>
              <w:rPr>
                <w:sz w:val="22"/>
                <w:szCs w:val="22"/>
                <w:lang w:eastAsia="en-AU"/>
              </w:rPr>
            </w:pPr>
            <w:r w:rsidRPr="0077128F">
              <w:rPr>
                <w:sz w:val="22"/>
                <w:szCs w:val="22"/>
                <w:lang w:eastAsia="en-AU"/>
              </w:rPr>
              <w:t xml:space="preserve">Assessor </w:t>
            </w:r>
          </w:p>
        </w:tc>
        <w:tc>
          <w:tcPr>
            <w:tcW w:w="1681" w:type="dxa"/>
            <w:shd w:val="clear" w:color="auto" w:fill="auto"/>
            <w:noWrap/>
          </w:tcPr>
          <w:p w14:paraId="56440DB1" w14:textId="267526B8" w:rsidR="009E484F" w:rsidRPr="0077128F" w:rsidRDefault="009E484F" w:rsidP="002C658A">
            <w:pPr>
              <w:jc w:val="center"/>
              <w:rPr>
                <w:bCs/>
                <w:sz w:val="22"/>
                <w:szCs w:val="22"/>
              </w:rPr>
            </w:pPr>
            <w:r w:rsidRPr="0077128F">
              <w:rPr>
                <w:bCs/>
                <w:sz w:val="22"/>
                <w:szCs w:val="22"/>
              </w:rPr>
              <w:t>$</w:t>
            </w:r>
            <w:r w:rsidR="00C81493" w:rsidRPr="0077128F">
              <w:rPr>
                <w:bCs/>
                <w:sz w:val="22"/>
                <w:szCs w:val="22"/>
              </w:rPr>
              <w:t>875</w:t>
            </w:r>
          </w:p>
          <w:p w14:paraId="0BCE1579" w14:textId="2373424B" w:rsidR="009E484F" w:rsidRPr="0077128F" w:rsidRDefault="00C81493" w:rsidP="002C658A">
            <w:pPr>
              <w:jc w:val="center"/>
              <w:rPr>
                <w:bCs/>
                <w:sz w:val="22"/>
                <w:szCs w:val="22"/>
              </w:rPr>
            </w:pPr>
            <w:r w:rsidRPr="0077128F">
              <w:rPr>
                <w:bCs/>
                <w:sz w:val="22"/>
                <w:szCs w:val="22"/>
              </w:rPr>
              <w:t>$800</w:t>
            </w:r>
          </w:p>
          <w:p w14:paraId="7C1A7215" w14:textId="1D0B03E6" w:rsidR="009E484F" w:rsidRPr="0077128F" w:rsidRDefault="00CE14AA" w:rsidP="002C658A">
            <w:pPr>
              <w:jc w:val="center"/>
              <w:rPr>
                <w:bCs/>
                <w:sz w:val="22"/>
                <w:szCs w:val="22"/>
              </w:rPr>
            </w:pPr>
            <w:r w:rsidRPr="0077128F">
              <w:rPr>
                <w:bCs/>
                <w:sz w:val="22"/>
                <w:szCs w:val="22"/>
              </w:rPr>
              <w:t>$</w:t>
            </w:r>
            <w:r w:rsidR="00B353FA" w:rsidRPr="0077128F">
              <w:rPr>
                <w:bCs/>
                <w:sz w:val="22"/>
                <w:szCs w:val="22"/>
              </w:rPr>
              <w:t>525</w:t>
            </w:r>
          </w:p>
          <w:p w14:paraId="1D979980" w14:textId="58C45A03" w:rsidR="009E484F" w:rsidRPr="0077128F" w:rsidRDefault="00CE14AA" w:rsidP="00B353FA">
            <w:pPr>
              <w:jc w:val="center"/>
              <w:rPr>
                <w:bCs/>
                <w:sz w:val="22"/>
                <w:szCs w:val="22"/>
              </w:rPr>
            </w:pPr>
            <w:r w:rsidRPr="0077128F">
              <w:rPr>
                <w:bCs/>
                <w:sz w:val="22"/>
                <w:szCs w:val="22"/>
              </w:rPr>
              <w:t>$</w:t>
            </w:r>
            <w:r w:rsidR="00B353FA" w:rsidRPr="0077128F">
              <w:rPr>
                <w:bCs/>
                <w:sz w:val="22"/>
                <w:szCs w:val="22"/>
              </w:rPr>
              <w:t>525</w:t>
            </w:r>
          </w:p>
        </w:tc>
        <w:tc>
          <w:tcPr>
            <w:tcW w:w="1681" w:type="dxa"/>
            <w:gridSpan w:val="2"/>
          </w:tcPr>
          <w:p w14:paraId="0453189C" w14:textId="77777777" w:rsidR="009E484F" w:rsidRPr="0077128F" w:rsidRDefault="002C658A" w:rsidP="002C658A">
            <w:pPr>
              <w:jc w:val="center"/>
              <w:rPr>
                <w:sz w:val="22"/>
                <w:szCs w:val="22"/>
                <w:lang w:eastAsia="en-AU"/>
              </w:rPr>
            </w:pPr>
            <w:r w:rsidRPr="0077128F">
              <w:rPr>
                <w:sz w:val="22"/>
                <w:szCs w:val="22"/>
                <w:lang w:eastAsia="en-AU"/>
              </w:rPr>
              <w:t>-</w:t>
            </w:r>
          </w:p>
          <w:p w14:paraId="7735A9D2" w14:textId="77777777" w:rsidR="002C658A" w:rsidRPr="0077128F" w:rsidRDefault="002C658A" w:rsidP="002C658A">
            <w:pPr>
              <w:jc w:val="center"/>
              <w:rPr>
                <w:sz w:val="22"/>
                <w:szCs w:val="22"/>
                <w:lang w:eastAsia="en-AU"/>
              </w:rPr>
            </w:pPr>
            <w:r w:rsidRPr="0077128F">
              <w:rPr>
                <w:sz w:val="22"/>
                <w:szCs w:val="22"/>
                <w:lang w:eastAsia="en-AU"/>
              </w:rPr>
              <w:t>-</w:t>
            </w:r>
          </w:p>
          <w:p w14:paraId="3C606E80" w14:textId="77777777" w:rsidR="002C658A" w:rsidRPr="0077128F" w:rsidRDefault="002C658A" w:rsidP="002C658A">
            <w:pPr>
              <w:jc w:val="center"/>
              <w:rPr>
                <w:sz w:val="22"/>
                <w:szCs w:val="22"/>
                <w:lang w:eastAsia="en-AU"/>
              </w:rPr>
            </w:pPr>
            <w:r w:rsidRPr="0077128F">
              <w:rPr>
                <w:sz w:val="22"/>
                <w:szCs w:val="22"/>
                <w:lang w:eastAsia="en-AU"/>
              </w:rPr>
              <w:t>-</w:t>
            </w:r>
          </w:p>
          <w:p w14:paraId="1AD5E733" w14:textId="5FB6F9D9"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615E7A65" w14:textId="1B134002" w:rsidTr="0003415E">
        <w:trPr>
          <w:gridAfter w:val="1"/>
          <w:wAfter w:w="13" w:type="dxa"/>
          <w:trHeight w:val="610"/>
          <w:jc w:val="center"/>
        </w:trPr>
        <w:tc>
          <w:tcPr>
            <w:tcW w:w="2830" w:type="dxa"/>
            <w:shd w:val="clear" w:color="auto" w:fill="auto"/>
            <w:hideMark/>
          </w:tcPr>
          <w:p w14:paraId="0484DCEC" w14:textId="5A7BF01A" w:rsidR="009E484F" w:rsidRPr="0077128F" w:rsidRDefault="009E484F" w:rsidP="009E484F">
            <w:pPr>
              <w:rPr>
                <w:sz w:val="22"/>
                <w:szCs w:val="22"/>
                <w:lang w:eastAsia="en-AU"/>
              </w:rPr>
            </w:pPr>
            <w:r w:rsidRPr="0077128F">
              <w:rPr>
                <w:sz w:val="22"/>
                <w:szCs w:val="22"/>
                <w:lang w:eastAsia="en-AU"/>
              </w:rPr>
              <w:t>Radiation Council</w:t>
            </w:r>
          </w:p>
        </w:tc>
        <w:tc>
          <w:tcPr>
            <w:tcW w:w="2812" w:type="dxa"/>
            <w:shd w:val="clear" w:color="auto" w:fill="auto"/>
            <w:hideMark/>
          </w:tcPr>
          <w:p w14:paraId="781BF531" w14:textId="0BBCE252" w:rsidR="009E484F" w:rsidRPr="0077128F" w:rsidRDefault="009E484F" w:rsidP="009E484F">
            <w:pPr>
              <w:rPr>
                <w:sz w:val="22"/>
                <w:szCs w:val="22"/>
                <w:lang w:eastAsia="en-AU"/>
              </w:rPr>
            </w:pPr>
            <w:r w:rsidRPr="0077128F">
              <w:rPr>
                <w:sz w:val="22"/>
                <w:szCs w:val="22"/>
                <w:lang w:eastAsia="en-AU"/>
              </w:rPr>
              <w:t xml:space="preserve">Chair </w:t>
            </w:r>
          </w:p>
          <w:p w14:paraId="639A4B9F" w14:textId="68430A26"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22134CD" w14:textId="0A290D18" w:rsidR="00CE14AA" w:rsidRPr="0077128F" w:rsidRDefault="00CE14AA" w:rsidP="002C658A">
            <w:pPr>
              <w:jc w:val="center"/>
              <w:rPr>
                <w:bCs/>
                <w:sz w:val="22"/>
                <w:szCs w:val="22"/>
                <w:lang w:eastAsia="en-AU"/>
              </w:rPr>
            </w:pPr>
            <w:r w:rsidRPr="0077128F">
              <w:rPr>
                <w:bCs/>
                <w:sz w:val="22"/>
                <w:szCs w:val="22"/>
              </w:rPr>
              <w:t>$5</w:t>
            </w:r>
            <w:r w:rsidR="00C81493" w:rsidRPr="0077128F">
              <w:rPr>
                <w:bCs/>
                <w:sz w:val="22"/>
                <w:szCs w:val="22"/>
              </w:rPr>
              <w:t>55</w:t>
            </w:r>
          </w:p>
          <w:p w14:paraId="7F7FB562" w14:textId="72BA1A37" w:rsidR="009E484F" w:rsidRPr="0077128F" w:rsidRDefault="00CE14AA" w:rsidP="002C658A">
            <w:pPr>
              <w:jc w:val="center"/>
              <w:rPr>
                <w:strike/>
                <w:sz w:val="22"/>
                <w:szCs w:val="22"/>
                <w:lang w:eastAsia="en-AU"/>
              </w:rPr>
            </w:pPr>
            <w:r w:rsidRPr="0077128F">
              <w:rPr>
                <w:bCs/>
                <w:sz w:val="22"/>
                <w:szCs w:val="22"/>
              </w:rPr>
              <w:t>$4</w:t>
            </w:r>
            <w:r w:rsidR="00C81493" w:rsidRPr="0077128F">
              <w:rPr>
                <w:bCs/>
                <w:sz w:val="22"/>
                <w:szCs w:val="22"/>
              </w:rPr>
              <w:t>80</w:t>
            </w:r>
          </w:p>
        </w:tc>
        <w:tc>
          <w:tcPr>
            <w:tcW w:w="1681" w:type="dxa"/>
            <w:gridSpan w:val="2"/>
          </w:tcPr>
          <w:p w14:paraId="099BE2F6" w14:textId="77777777" w:rsidR="009E484F" w:rsidRPr="0077128F" w:rsidRDefault="002C658A" w:rsidP="002C658A">
            <w:pPr>
              <w:jc w:val="center"/>
              <w:rPr>
                <w:sz w:val="22"/>
                <w:szCs w:val="22"/>
                <w:lang w:eastAsia="en-AU"/>
              </w:rPr>
            </w:pPr>
            <w:r w:rsidRPr="0077128F">
              <w:rPr>
                <w:sz w:val="22"/>
                <w:szCs w:val="22"/>
                <w:lang w:eastAsia="en-AU"/>
              </w:rPr>
              <w:t>-</w:t>
            </w:r>
          </w:p>
          <w:p w14:paraId="4C8B5435" w14:textId="15E41C9E"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72DED07A" w14:textId="182A5A09" w:rsidTr="0003415E">
        <w:trPr>
          <w:gridAfter w:val="1"/>
          <w:wAfter w:w="13" w:type="dxa"/>
          <w:trHeight w:val="300"/>
          <w:jc w:val="center"/>
        </w:trPr>
        <w:tc>
          <w:tcPr>
            <w:tcW w:w="2830" w:type="dxa"/>
            <w:shd w:val="clear" w:color="auto" w:fill="auto"/>
            <w:hideMark/>
          </w:tcPr>
          <w:p w14:paraId="3B5EE378" w14:textId="3C5EA4C6" w:rsidR="009E484F" w:rsidRPr="0077128F" w:rsidRDefault="009E484F" w:rsidP="009E484F">
            <w:pPr>
              <w:rPr>
                <w:sz w:val="22"/>
                <w:szCs w:val="22"/>
                <w:lang w:eastAsia="en-AU"/>
              </w:rPr>
            </w:pPr>
            <w:r w:rsidRPr="0077128F">
              <w:rPr>
                <w:sz w:val="22"/>
                <w:szCs w:val="22"/>
                <w:lang w:eastAsia="en-AU"/>
              </w:rPr>
              <w:t>Scientific Committee</w:t>
            </w:r>
          </w:p>
        </w:tc>
        <w:tc>
          <w:tcPr>
            <w:tcW w:w="2812" w:type="dxa"/>
            <w:shd w:val="clear" w:color="auto" w:fill="auto"/>
            <w:hideMark/>
          </w:tcPr>
          <w:p w14:paraId="424953C7" w14:textId="6EE95401" w:rsidR="009E484F" w:rsidRPr="0077128F" w:rsidRDefault="009E484F" w:rsidP="009E484F">
            <w:pPr>
              <w:rPr>
                <w:sz w:val="22"/>
                <w:szCs w:val="22"/>
                <w:lang w:eastAsia="en-AU"/>
              </w:rPr>
            </w:pPr>
            <w:r w:rsidRPr="0077128F">
              <w:rPr>
                <w:sz w:val="22"/>
                <w:szCs w:val="22"/>
                <w:lang w:eastAsia="en-AU"/>
              </w:rPr>
              <w:t xml:space="preserve">Chair </w:t>
            </w:r>
          </w:p>
          <w:p w14:paraId="121FC353" w14:textId="0848A267"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F47CCE1" w14:textId="77777777" w:rsidR="00C81493" w:rsidRPr="0077128F" w:rsidRDefault="00C81493" w:rsidP="00C81493">
            <w:pPr>
              <w:jc w:val="center"/>
              <w:rPr>
                <w:bCs/>
                <w:sz w:val="22"/>
                <w:szCs w:val="22"/>
                <w:lang w:eastAsia="en-AU"/>
              </w:rPr>
            </w:pPr>
            <w:r w:rsidRPr="0077128F">
              <w:rPr>
                <w:bCs/>
                <w:sz w:val="22"/>
                <w:szCs w:val="22"/>
              </w:rPr>
              <w:t>$555</w:t>
            </w:r>
          </w:p>
          <w:p w14:paraId="5C0625A3" w14:textId="708B9227" w:rsidR="009E484F" w:rsidRPr="0077128F" w:rsidRDefault="00C81493" w:rsidP="00C81493">
            <w:pPr>
              <w:jc w:val="center"/>
              <w:rPr>
                <w:strike/>
                <w:sz w:val="22"/>
                <w:szCs w:val="22"/>
                <w:lang w:eastAsia="en-AU"/>
              </w:rPr>
            </w:pPr>
            <w:r w:rsidRPr="0077128F">
              <w:rPr>
                <w:bCs/>
                <w:sz w:val="22"/>
                <w:szCs w:val="22"/>
              </w:rPr>
              <w:t>$480</w:t>
            </w:r>
          </w:p>
        </w:tc>
        <w:tc>
          <w:tcPr>
            <w:tcW w:w="1681" w:type="dxa"/>
            <w:gridSpan w:val="2"/>
          </w:tcPr>
          <w:p w14:paraId="6B2AA752" w14:textId="77777777" w:rsidR="009E484F"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p w14:paraId="2BCCCA83" w14:textId="6E768C3A" w:rsidR="002C658A" w:rsidRPr="00E074DF" w:rsidRDefault="002C658A" w:rsidP="002C658A">
            <w:pPr>
              <w:jc w:val="center"/>
              <w:rPr>
                <w:color w:val="000000" w:themeColor="text1"/>
                <w:sz w:val="22"/>
                <w:szCs w:val="22"/>
                <w:lang w:eastAsia="en-AU"/>
              </w:rPr>
            </w:pPr>
            <w:r w:rsidRPr="00E074DF">
              <w:rPr>
                <w:color w:val="000000" w:themeColor="text1"/>
                <w:sz w:val="22"/>
                <w:szCs w:val="22"/>
                <w:lang w:eastAsia="en-AU"/>
              </w:rPr>
              <w:t>-</w:t>
            </w:r>
          </w:p>
        </w:tc>
      </w:tr>
      <w:tr w:rsidR="0077128F" w:rsidRPr="0077128F" w14:paraId="4DF36C4F" w14:textId="6A81C2C1" w:rsidTr="0003415E">
        <w:trPr>
          <w:gridAfter w:val="1"/>
          <w:wAfter w:w="13" w:type="dxa"/>
          <w:trHeight w:val="920"/>
          <w:jc w:val="center"/>
        </w:trPr>
        <w:tc>
          <w:tcPr>
            <w:tcW w:w="2830" w:type="dxa"/>
            <w:shd w:val="clear" w:color="auto" w:fill="auto"/>
            <w:hideMark/>
          </w:tcPr>
          <w:p w14:paraId="7AB23E38" w14:textId="5E61F165" w:rsidR="009E484F" w:rsidRPr="0077128F" w:rsidRDefault="009E484F" w:rsidP="009E484F">
            <w:pPr>
              <w:rPr>
                <w:sz w:val="22"/>
                <w:szCs w:val="22"/>
                <w:lang w:eastAsia="en-AU"/>
              </w:rPr>
            </w:pPr>
            <w:r w:rsidRPr="0077128F">
              <w:rPr>
                <w:sz w:val="22"/>
                <w:szCs w:val="22"/>
                <w:lang w:eastAsia="en-AU"/>
              </w:rPr>
              <w:t>Sentence Administration Board</w:t>
            </w:r>
          </w:p>
        </w:tc>
        <w:tc>
          <w:tcPr>
            <w:tcW w:w="2812" w:type="dxa"/>
            <w:shd w:val="clear" w:color="auto" w:fill="auto"/>
            <w:hideMark/>
          </w:tcPr>
          <w:p w14:paraId="2309E5FA" w14:textId="39ACFA7E" w:rsidR="009E484F" w:rsidRPr="0077128F" w:rsidRDefault="009E484F" w:rsidP="009E484F">
            <w:pPr>
              <w:rPr>
                <w:sz w:val="22"/>
                <w:szCs w:val="22"/>
                <w:lang w:eastAsia="en-AU"/>
              </w:rPr>
            </w:pPr>
            <w:r w:rsidRPr="0077128F">
              <w:rPr>
                <w:sz w:val="22"/>
                <w:szCs w:val="22"/>
                <w:lang w:eastAsia="en-AU"/>
              </w:rPr>
              <w:t xml:space="preserve">Chair </w:t>
            </w:r>
          </w:p>
          <w:p w14:paraId="4DC87692" w14:textId="3C129688" w:rsidR="009E484F" w:rsidRPr="0077128F" w:rsidRDefault="009E484F" w:rsidP="009E484F">
            <w:pPr>
              <w:rPr>
                <w:sz w:val="22"/>
                <w:szCs w:val="22"/>
                <w:lang w:eastAsia="en-AU"/>
              </w:rPr>
            </w:pPr>
            <w:r w:rsidRPr="0077128F">
              <w:rPr>
                <w:sz w:val="22"/>
                <w:szCs w:val="22"/>
                <w:lang w:eastAsia="en-AU"/>
              </w:rPr>
              <w:t xml:space="preserve">Deputy Chair </w:t>
            </w:r>
          </w:p>
          <w:p w14:paraId="1E799535" w14:textId="658AFC98"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6460EE67" w14:textId="77777777" w:rsidR="009E484F" w:rsidRPr="0077128F" w:rsidRDefault="002C658A" w:rsidP="002C658A">
            <w:pPr>
              <w:jc w:val="center"/>
              <w:rPr>
                <w:bCs/>
                <w:sz w:val="22"/>
                <w:szCs w:val="22"/>
              </w:rPr>
            </w:pPr>
            <w:r w:rsidRPr="0077128F">
              <w:rPr>
                <w:bCs/>
                <w:sz w:val="22"/>
                <w:szCs w:val="22"/>
              </w:rPr>
              <w:t>-</w:t>
            </w:r>
          </w:p>
          <w:p w14:paraId="75A6CB64" w14:textId="009B6BCC" w:rsidR="009E484F" w:rsidRPr="0077128F" w:rsidRDefault="002C658A" w:rsidP="002C658A">
            <w:pPr>
              <w:jc w:val="center"/>
              <w:rPr>
                <w:bCs/>
                <w:sz w:val="22"/>
                <w:szCs w:val="22"/>
              </w:rPr>
            </w:pPr>
            <w:r w:rsidRPr="0077128F">
              <w:rPr>
                <w:bCs/>
                <w:sz w:val="22"/>
                <w:szCs w:val="22"/>
              </w:rPr>
              <w:t>-</w:t>
            </w:r>
          </w:p>
          <w:p w14:paraId="59D4A60F" w14:textId="4D53318E" w:rsidR="009E484F" w:rsidRPr="0077128F" w:rsidRDefault="009E484F" w:rsidP="002C658A">
            <w:pPr>
              <w:jc w:val="center"/>
              <w:rPr>
                <w:bCs/>
                <w:sz w:val="22"/>
                <w:szCs w:val="22"/>
              </w:rPr>
            </w:pPr>
            <w:r w:rsidRPr="0077128F">
              <w:rPr>
                <w:bCs/>
                <w:sz w:val="22"/>
                <w:szCs w:val="22"/>
              </w:rPr>
              <w:t>$1,0</w:t>
            </w:r>
            <w:r w:rsidR="00C81493" w:rsidRPr="0077128F">
              <w:rPr>
                <w:bCs/>
                <w:sz w:val="22"/>
                <w:szCs w:val="22"/>
              </w:rPr>
              <w:t>55</w:t>
            </w:r>
          </w:p>
        </w:tc>
        <w:tc>
          <w:tcPr>
            <w:tcW w:w="1681" w:type="dxa"/>
            <w:gridSpan w:val="2"/>
          </w:tcPr>
          <w:p w14:paraId="563EB837" w14:textId="4BD34695"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C81493" w:rsidRPr="00E074DF">
              <w:rPr>
                <w:bCs/>
                <w:color w:val="000000" w:themeColor="text1"/>
                <w:sz w:val="22"/>
                <w:szCs w:val="22"/>
              </w:rPr>
              <w:t>81,155</w:t>
            </w:r>
          </w:p>
          <w:p w14:paraId="3F2E0ACB" w14:textId="31077261" w:rsidR="009E484F" w:rsidRPr="00E074DF" w:rsidRDefault="00CE14AA" w:rsidP="002C658A">
            <w:pPr>
              <w:jc w:val="center"/>
              <w:rPr>
                <w:bCs/>
                <w:color w:val="000000" w:themeColor="text1"/>
                <w:sz w:val="22"/>
                <w:szCs w:val="22"/>
              </w:rPr>
            </w:pPr>
            <w:r w:rsidRPr="00E074DF">
              <w:rPr>
                <w:bCs/>
                <w:color w:val="000000" w:themeColor="text1"/>
                <w:sz w:val="22"/>
                <w:szCs w:val="22"/>
              </w:rPr>
              <w:t>$6</w:t>
            </w:r>
            <w:r w:rsidR="00C81493" w:rsidRPr="00E074DF">
              <w:rPr>
                <w:bCs/>
                <w:color w:val="000000" w:themeColor="text1"/>
                <w:sz w:val="22"/>
                <w:szCs w:val="22"/>
              </w:rPr>
              <w:t>4,890</w:t>
            </w:r>
          </w:p>
          <w:p w14:paraId="0F1944AD" w14:textId="74F9AAD3" w:rsidR="002C658A" w:rsidRPr="00E074DF" w:rsidRDefault="002C658A" w:rsidP="002C658A">
            <w:pPr>
              <w:jc w:val="center"/>
              <w:rPr>
                <w:bCs/>
                <w:color w:val="000000" w:themeColor="text1"/>
                <w:sz w:val="22"/>
                <w:szCs w:val="22"/>
              </w:rPr>
            </w:pPr>
            <w:r w:rsidRPr="00E074DF">
              <w:rPr>
                <w:bCs/>
                <w:color w:val="000000" w:themeColor="text1"/>
                <w:sz w:val="22"/>
                <w:szCs w:val="22"/>
              </w:rPr>
              <w:t>-</w:t>
            </w:r>
          </w:p>
        </w:tc>
      </w:tr>
      <w:tr w:rsidR="0077128F" w:rsidRPr="0077128F" w14:paraId="180E369B" w14:textId="576C5D2A" w:rsidTr="0003415E">
        <w:trPr>
          <w:gridAfter w:val="1"/>
          <w:wAfter w:w="13" w:type="dxa"/>
          <w:trHeight w:val="920"/>
          <w:jc w:val="center"/>
        </w:trPr>
        <w:tc>
          <w:tcPr>
            <w:tcW w:w="2830" w:type="dxa"/>
            <w:shd w:val="clear" w:color="auto" w:fill="auto"/>
          </w:tcPr>
          <w:p w14:paraId="1BD5FEA7" w14:textId="5ACED4DE" w:rsidR="009E484F" w:rsidRPr="0077128F" w:rsidRDefault="009E484F" w:rsidP="009E484F">
            <w:pPr>
              <w:rPr>
                <w:sz w:val="22"/>
                <w:szCs w:val="22"/>
                <w:lang w:eastAsia="en-AU"/>
              </w:rPr>
            </w:pPr>
            <w:r w:rsidRPr="0077128F">
              <w:rPr>
                <w:sz w:val="22"/>
                <w:szCs w:val="22"/>
                <w:lang w:eastAsia="en-AU"/>
              </w:rPr>
              <w:t>Suburban Land Agency Board</w:t>
            </w:r>
          </w:p>
        </w:tc>
        <w:tc>
          <w:tcPr>
            <w:tcW w:w="2812" w:type="dxa"/>
            <w:shd w:val="clear" w:color="auto" w:fill="auto"/>
          </w:tcPr>
          <w:p w14:paraId="7B970DA1" w14:textId="3025A252" w:rsidR="009E484F" w:rsidRPr="0077128F" w:rsidRDefault="009E484F" w:rsidP="009E484F">
            <w:pPr>
              <w:rPr>
                <w:sz w:val="22"/>
                <w:szCs w:val="22"/>
                <w:lang w:eastAsia="en-AU"/>
              </w:rPr>
            </w:pPr>
            <w:r w:rsidRPr="0077128F">
              <w:rPr>
                <w:sz w:val="22"/>
                <w:szCs w:val="22"/>
                <w:lang w:eastAsia="en-AU"/>
              </w:rPr>
              <w:t xml:space="preserve">Chair </w:t>
            </w:r>
          </w:p>
          <w:p w14:paraId="6CF2C5D5" w14:textId="2ED0DF22" w:rsidR="009E484F" w:rsidRPr="0077128F" w:rsidRDefault="009E484F" w:rsidP="009E484F">
            <w:pPr>
              <w:rPr>
                <w:sz w:val="22"/>
                <w:szCs w:val="22"/>
                <w:lang w:eastAsia="en-AU"/>
              </w:rPr>
            </w:pPr>
            <w:r w:rsidRPr="0077128F">
              <w:rPr>
                <w:sz w:val="22"/>
                <w:szCs w:val="22"/>
                <w:lang w:eastAsia="en-AU"/>
              </w:rPr>
              <w:t xml:space="preserve">Deputy Chair </w:t>
            </w:r>
          </w:p>
          <w:p w14:paraId="389C6F65" w14:textId="1E0CEFCC"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291B5013" w14:textId="77777777" w:rsidR="009E484F" w:rsidRPr="0077128F" w:rsidRDefault="002C658A" w:rsidP="002C658A">
            <w:pPr>
              <w:jc w:val="center"/>
              <w:rPr>
                <w:sz w:val="22"/>
                <w:szCs w:val="22"/>
                <w:lang w:eastAsia="en-AU"/>
              </w:rPr>
            </w:pPr>
            <w:r w:rsidRPr="0077128F">
              <w:rPr>
                <w:sz w:val="22"/>
                <w:szCs w:val="22"/>
                <w:lang w:eastAsia="en-AU"/>
              </w:rPr>
              <w:t>-</w:t>
            </w:r>
          </w:p>
          <w:p w14:paraId="5FA0802F" w14:textId="77777777" w:rsidR="002C658A" w:rsidRPr="0077128F" w:rsidRDefault="002C658A" w:rsidP="002C658A">
            <w:pPr>
              <w:jc w:val="center"/>
              <w:rPr>
                <w:sz w:val="22"/>
                <w:szCs w:val="22"/>
                <w:lang w:eastAsia="en-AU"/>
              </w:rPr>
            </w:pPr>
            <w:r w:rsidRPr="0077128F">
              <w:rPr>
                <w:sz w:val="22"/>
                <w:szCs w:val="22"/>
                <w:lang w:eastAsia="en-AU"/>
              </w:rPr>
              <w:t>-</w:t>
            </w:r>
          </w:p>
          <w:p w14:paraId="072E58B8" w14:textId="23D5C014" w:rsidR="002C658A" w:rsidRPr="0077128F" w:rsidRDefault="002C658A" w:rsidP="002C658A">
            <w:pPr>
              <w:jc w:val="center"/>
              <w:rPr>
                <w:strike/>
                <w:sz w:val="22"/>
                <w:szCs w:val="22"/>
                <w:highlight w:val="yellow"/>
                <w:lang w:eastAsia="en-AU"/>
              </w:rPr>
            </w:pPr>
            <w:r w:rsidRPr="0077128F">
              <w:rPr>
                <w:sz w:val="22"/>
                <w:szCs w:val="22"/>
                <w:lang w:eastAsia="en-AU"/>
              </w:rPr>
              <w:t>-</w:t>
            </w:r>
          </w:p>
        </w:tc>
        <w:tc>
          <w:tcPr>
            <w:tcW w:w="1681" w:type="dxa"/>
            <w:gridSpan w:val="2"/>
          </w:tcPr>
          <w:p w14:paraId="749900DD" w14:textId="67DDCBE2"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C81493" w:rsidRPr="00E074DF">
              <w:rPr>
                <w:bCs/>
                <w:color w:val="000000" w:themeColor="text1"/>
                <w:sz w:val="22"/>
                <w:szCs w:val="22"/>
              </w:rPr>
              <w:t>75,385</w:t>
            </w:r>
          </w:p>
          <w:p w14:paraId="2CC315F2" w14:textId="24CA2109" w:rsidR="009E484F" w:rsidRPr="00E074DF" w:rsidRDefault="008B2F59" w:rsidP="002C658A">
            <w:pPr>
              <w:jc w:val="center"/>
              <w:rPr>
                <w:bCs/>
                <w:color w:val="000000" w:themeColor="text1"/>
                <w:sz w:val="22"/>
                <w:szCs w:val="22"/>
              </w:rPr>
            </w:pPr>
            <w:r w:rsidRPr="00E074DF">
              <w:rPr>
                <w:bCs/>
                <w:color w:val="000000" w:themeColor="text1"/>
                <w:sz w:val="22"/>
                <w:szCs w:val="22"/>
              </w:rPr>
              <w:t>$</w:t>
            </w:r>
            <w:r w:rsidR="00C81493" w:rsidRPr="00E074DF">
              <w:rPr>
                <w:bCs/>
                <w:color w:val="000000" w:themeColor="text1"/>
                <w:sz w:val="22"/>
                <w:szCs w:val="22"/>
              </w:rPr>
              <w:t>60,310</w:t>
            </w:r>
          </w:p>
          <w:p w14:paraId="733EF690" w14:textId="2724CD9F" w:rsidR="009E484F" w:rsidRPr="00E074DF" w:rsidRDefault="009E484F" w:rsidP="002C658A">
            <w:pPr>
              <w:jc w:val="center"/>
              <w:rPr>
                <w:bCs/>
                <w:color w:val="000000" w:themeColor="text1"/>
                <w:sz w:val="22"/>
                <w:szCs w:val="22"/>
              </w:rPr>
            </w:pPr>
            <w:r w:rsidRPr="00E074DF">
              <w:rPr>
                <w:bCs/>
                <w:color w:val="000000" w:themeColor="text1"/>
                <w:sz w:val="22"/>
                <w:szCs w:val="22"/>
              </w:rPr>
              <w:t>$</w:t>
            </w:r>
            <w:r w:rsidR="007E64D2" w:rsidRPr="00E074DF">
              <w:rPr>
                <w:bCs/>
                <w:color w:val="000000" w:themeColor="text1"/>
                <w:sz w:val="22"/>
                <w:szCs w:val="22"/>
              </w:rPr>
              <w:t>40,395</w:t>
            </w:r>
          </w:p>
        </w:tc>
      </w:tr>
      <w:tr w:rsidR="0077128F" w:rsidRPr="0077128F" w14:paraId="0176A736" w14:textId="5185D824" w:rsidTr="0003415E">
        <w:trPr>
          <w:gridAfter w:val="1"/>
          <w:wAfter w:w="13" w:type="dxa"/>
          <w:trHeight w:val="300"/>
          <w:jc w:val="center"/>
        </w:trPr>
        <w:tc>
          <w:tcPr>
            <w:tcW w:w="2830" w:type="dxa"/>
            <w:shd w:val="clear" w:color="auto" w:fill="auto"/>
            <w:hideMark/>
          </w:tcPr>
          <w:p w14:paraId="77DF6A84" w14:textId="2B62745A" w:rsidR="009E484F" w:rsidRPr="0077128F" w:rsidRDefault="009E484F" w:rsidP="009E484F">
            <w:pPr>
              <w:rPr>
                <w:sz w:val="22"/>
                <w:szCs w:val="22"/>
                <w:lang w:eastAsia="en-AU"/>
              </w:rPr>
            </w:pPr>
            <w:r w:rsidRPr="0077128F">
              <w:rPr>
                <w:sz w:val="22"/>
                <w:szCs w:val="22"/>
                <w:lang w:eastAsia="en-AU"/>
              </w:rPr>
              <w:t>Survey Practice Advisory Committee</w:t>
            </w:r>
          </w:p>
        </w:tc>
        <w:tc>
          <w:tcPr>
            <w:tcW w:w="2812" w:type="dxa"/>
            <w:shd w:val="clear" w:color="auto" w:fill="auto"/>
            <w:hideMark/>
          </w:tcPr>
          <w:p w14:paraId="51063E77" w14:textId="20092F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77974673" w14:textId="31A4A9D5" w:rsidR="009E484F" w:rsidRPr="0077128F" w:rsidRDefault="008B2F59" w:rsidP="002C658A">
            <w:pPr>
              <w:jc w:val="center"/>
              <w:rPr>
                <w:strike/>
                <w:sz w:val="22"/>
                <w:szCs w:val="22"/>
                <w:lang w:eastAsia="en-AU"/>
              </w:rPr>
            </w:pPr>
            <w:r w:rsidRPr="0077128F">
              <w:rPr>
                <w:bCs/>
                <w:sz w:val="22"/>
                <w:szCs w:val="22"/>
              </w:rPr>
              <w:t>$4</w:t>
            </w:r>
            <w:r w:rsidR="007E64D2" w:rsidRPr="0077128F">
              <w:rPr>
                <w:bCs/>
                <w:sz w:val="22"/>
                <w:szCs w:val="22"/>
              </w:rPr>
              <w:t>70</w:t>
            </w:r>
          </w:p>
        </w:tc>
        <w:tc>
          <w:tcPr>
            <w:tcW w:w="1681" w:type="dxa"/>
            <w:gridSpan w:val="2"/>
          </w:tcPr>
          <w:p w14:paraId="16C1B13A" w14:textId="5A368E0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1F34F2D9" w14:textId="1FB8B0E0" w:rsidTr="0003415E">
        <w:trPr>
          <w:gridAfter w:val="1"/>
          <w:wAfter w:w="13" w:type="dxa"/>
          <w:trHeight w:val="300"/>
          <w:jc w:val="center"/>
        </w:trPr>
        <w:tc>
          <w:tcPr>
            <w:tcW w:w="2830" w:type="dxa"/>
            <w:shd w:val="clear" w:color="auto" w:fill="auto"/>
            <w:hideMark/>
          </w:tcPr>
          <w:p w14:paraId="609BC3BC" w14:textId="77777777" w:rsidR="009E484F" w:rsidRPr="0077128F" w:rsidRDefault="009E484F" w:rsidP="009E484F">
            <w:pPr>
              <w:rPr>
                <w:sz w:val="22"/>
                <w:szCs w:val="22"/>
                <w:lang w:eastAsia="en-AU"/>
              </w:rPr>
            </w:pPr>
            <w:r w:rsidRPr="0077128F">
              <w:rPr>
                <w:sz w:val="22"/>
                <w:szCs w:val="22"/>
                <w:lang w:eastAsia="en-AU"/>
              </w:rPr>
              <w:t>Teacher Quality Institute Board</w:t>
            </w:r>
          </w:p>
        </w:tc>
        <w:tc>
          <w:tcPr>
            <w:tcW w:w="2812" w:type="dxa"/>
            <w:shd w:val="clear" w:color="auto" w:fill="auto"/>
            <w:hideMark/>
          </w:tcPr>
          <w:p w14:paraId="52B0ED3F" w14:textId="715833C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688A5D94" w14:textId="79F3059E"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0B663AB3" w14:textId="3E8C7BB3" w:rsidR="009E484F" w:rsidRPr="0077128F" w:rsidRDefault="002F3CB8" w:rsidP="002C658A">
            <w:pPr>
              <w:jc w:val="center"/>
              <w:rPr>
                <w:bCs/>
                <w:sz w:val="22"/>
                <w:szCs w:val="22"/>
                <w:lang w:eastAsia="en-AU"/>
              </w:rPr>
            </w:pPr>
            <w:r w:rsidRPr="0077128F">
              <w:rPr>
                <w:bCs/>
                <w:sz w:val="22"/>
                <w:szCs w:val="22"/>
              </w:rPr>
              <w:t>$</w:t>
            </w:r>
            <w:r w:rsidR="007E64D2" w:rsidRPr="0077128F">
              <w:rPr>
                <w:bCs/>
                <w:sz w:val="22"/>
                <w:szCs w:val="22"/>
              </w:rPr>
              <w:t>20,100</w:t>
            </w:r>
          </w:p>
        </w:tc>
      </w:tr>
      <w:tr w:rsidR="0077128F" w:rsidRPr="0077128F" w14:paraId="356C3EF2" w14:textId="6BE696C7" w:rsidTr="0003415E">
        <w:trPr>
          <w:gridAfter w:val="1"/>
          <w:wAfter w:w="13" w:type="dxa"/>
          <w:trHeight w:val="300"/>
          <w:jc w:val="center"/>
        </w:trPr>
        <w:tc>
          <w:tcPr>
            <w:tcW w:w="2830" w:type="dxa"/>
            <w:shd w:val="clear" w:color="auto" w:fill="auto"/>
          </w:tcPr>
          <w:p w14:paraId="1EE8B098" w14:textId="6DC00FA3" w:rsidR="009E484F" w:rsidRPr="0077128F" w:rsidRDefault="009E484F" w:rsidP="009E484F">
            <w:pPr>
              <w:rPr>
                <w:sz w:val="22"/>
                <w:szCs w:val="22"/>
                <w:lang w:eastAsia="en-AU"/>
              </w:rPr>
            </w:pPr>
            <w:r w:rsidRPr="0077128F">
              <w:rPr>
                <w:sz w:val="22"/>
                <w:szCs w:val="22"/>
                <w:lang w:eastAsia="en-AU"/>
              </w:rPr>
              <w:t xml:space="preserve">Territory Records Advisory Council </w:t>
            </w:r>
          </w:p>
        </w:tc>
        <w:tc>
          <w:tcPr>
            <w:tcW w:w="2812" w:type="dxa"/>
            <w:shd w:val="clear" w:color="auto" w:fill="auto"/>
          </w:tcPr>
          <w:p w14:paraId="00B492BD" w14:textId="1B6B861D" w:rsidR="009E484F" w:rsidRPr="0077128F" w:rsidRDefault="009E484F" w:rsidP="009E484F">
            <w:pPr>
              <w:rPr>
                <w:sz w:val="22"/>
                <w:szCs w:val="22"/>
                <w:lang w:eastAsia="en-AU"/>
              </w:rPr>
            </w:pPr>
            <w:r w:rsidRPr="0077128F">
              <w:rPr>
                <w:sz w:val="22"/>
                <w:szCs w:val="22"/>
                <w:lang w:eastAsia="en-AU"/>
              </w:rPr>
              <w:t xml:space="preserve">Chair </w:t>
            </w:r>
          </w:p>
          <w:p w14:paraId="5FCB6E97" w14:textId="0704D344"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5779F230" w14:textId="3D167AB7" w:rsidR="009E484F" w:rsidRPr="0077128F" w:rsidRDefault="009E484F" w:rsidP="002C658A">
            <w:pPr>
              <w:jc w:val="center"/>
              <w:rPr>
                <w:bCs/>
                <w:sz w:val="22"/>
                <w:szCs w:val="22"/>
              </w:rPr>
            </w:pPr>
            <w:r w:rsidRPr="0077128F">
              <w:rPr>
                <w:bCs/>
                <w:sz w:val="22"/>
                <w:szCs w:val="22"/>
              </w:rPr>
              <w:t>$</w:t>
            </w:r>
            <w:r w:rsidR="00E2542D" w:rsidRPr="0077128F">
              <w:rPr>
                <w:bCs/>
                <w:sz w:val="22"/>
                <w:szCs w:val="22"/>
              </w:rPr>
              <w:t>710</w:t>
            </w:r>
          </w:p>
          <w:p w14:paraId="1A5E799D" w14:textId="772C1FED" w:rsidR="009E484F" w:rsidRPr="0077128F" w:rsidRDefault="008B2F59" w:rsidP="002C658A">
            <w:pPr>
              <w:jc w:val="center"/>
              <w:rPr>
                <w:bCs/>
                <w:sz w:val="22"/>
                <w:szCs w:val="22"/>
              </w:rPr>
            </w:pPr>
            <w:r w:rsidRPr="0077128F">
              <w:rPr>
                <w:bCs/>
                <w:sz w:val="22"/>
                <w:szCs w:val="22"/>
              </w:rPr>
              <w:t>$</w:t>
            </w:r>
            <w:r w:rsidR="00E2542D" w:rsidRPr="0077128F">
              <w:rPr>
                <w:bCs/>
                <w:sz w:val="22"/>
                <w:szCs w:val="22"/>
              </w:rPr>
              <w:t>555</w:t>
            </w:r>
          </w:p>
        </w:tc>
        <w:tc>
          <w:tcPr>
            <w:tcW w:w="1681" w:type="dxa"/>
            <w:gridSpan w:val="2"/>
          </w:tcPr>
          <w:p w14:paraId="7B2B7A40" w14:textId="77777777" w:rsidR="009E484F" w:rsidRPr="0077128F" w:rsidRDefault="002C658A" w:rsidP="002C658A">
            <w:pPr>
              <w:jc w:val="center"/>
              <w:rPr>
                <w:sz w:val="22"/>
                <w:szCs w:val="22"/>
                <w:lang w:eastAsia="en-AU"/>
              </w:rPr>
            </w:pPr>
            <w:r w:rsidRPr="0077128F">
              <w:rPr>
                <w:sz w:val="22"/>
                <w:szCs w:val="22"/>
                <w:lang w:eastAsia="en-AU"/>
              </w:rPr>
              <w:t>-</w:t>
            </w:r>
          </w:p>
          <w:p w14:paraId="08334183" w14:textId="22678814"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520D121" w14:textId="316503C0" w:rsidTr="0003415E">
        <w:trPr>
          <w:gridAfter w:val="1"/>
          <w:wAfter w:w="13" w:type="dxa"/>
          <w:trHeight w:val="300"/>
          <w:jc w:val="center"/>
        </w:trPr>
        <w:tc>
          <w:tcPr>
            <w:tcW w:w="2830" w:type="dxa"/>
            <w:shd w:val="clear" w:color="auto" w:fill="auto"/>
            <w:hideMark/>
          </w:tcPr>
          <w:p w14:paraId="5AA6CD9B" w14:textId="4DFDF331" w:rsidR="009E484F" w:rsidRPr="0077128F" w:rsidRDefault="009E484F" w:rsidP="009E484F">
            <w:pPr>
              <w:rPr>
                <w:sz w:val="22"/>
                <w:szCs w:val="22"/>
                <w:lang w:eastAsia="en-AU"/>
              </w:rPr>
            </w:pPr>
            <w:r w:rsidRPr="0077128F">
              <w:rPr>
                <w:sz w:val="22"/>
                <w:szCs w:val="22"/>
                <w:lang w:eastAsia="en-AU"/>
              </w:rPr>
              <w:t>Tree Advisory Panel</w:t>
            </w:r>
          </w:p>
        </w:tc>
        <w:tc>
          <w:tcPr>
            <w:tcW w:w="2812" w:type="dxa"/>
            <w:shd w:val="clear" w:color="auto" w:fill="auto"/>
            <w:hideMark/>
          </w:tcPr>
          <w:p w14:paraId="4C2A934B" w14:textId="5F298B2D" w:rsidR="009E484F" w:rsidRPr="0077128F" w:rsidRDefault="009E484F" w:rsidP="009E484F">
            <w:pPr>
              <w:rPr>
                <w:sz w:val="22"/>
                <w:szCs w:val="22"/>
                <w:lang w:eastAsia="en-AU"/>
              </w:rPr>
            </w:pPr>
            <w:r w:rsidRPr="0077128F">
              <w:rPr>
                <w:sz w:val="22"/>
                <w:szCs w:val="22"/>
                <w:lang w:eastAsia="en-AU"/>
              </w:rPr>
              <w:t xml:space="preserve">Chair </w:t>
            </w:r>
          </w:p>
          <w:p w14:paraId="186171E0" w14:textId="57CD3562"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4316AAB2" w14:textId="77777777" w:rsidR="007E64D2" w:rsidRPr="0077128F" w:rsidRDefault="007E64D2" w:rsidP="007E64D2">
            <w:pPr>
              <w:jc w:val="center"/>
              <w:rPr>
                <w:bCs/>
                <w:sz w:val="22"/>
                <w:szCs w:val="22"/>
                <w:lang w:eastAsia="en-AU"/>
              </w:rPr>
            </w:pPr>
            <w:r w:rsidRPr="0077128F">
              <w:rPr>
                <w:bCs/>
                <w:sz w:val="22"/>
                <w:szCs w:val="22"/>
              </w:rPr>
              <w:t>$555</w:t>
            </w:r>
          </w:p>
          <w:p w14:paraId="3E0B5DF8" w14:textId="579F3C10" w:rsidR="009E484F" w:rsidRPr="0077128F" w:rsidRDefault="007E64D2" w:rsidP="007E64D2">
            <w:pPr>
              <w:jc w:val="center"/>
              <w:rPr>
                <w:strike/>
                <w:sz w:val="22"/>
                <w:szCs w:val="22"/>
                <w:lang w:eastAsia="en-AU"/>
              </w:rPr>
            </w:pPr>
            <w:r w:rsidRPr="0077128F">
              <w:rPr>
                <w:bCs/>
                <w:sz w:val="22"/>
                <w:szCs w:val="22"/>
              </w:rPr>
              <w:t>$480</w:t>
            </w:r>
          </w:p>
        </w:tc>
        <w:tc>
          <w:tcPr>
            <w:tcW w:w="1681" w:type="dxa"/>
            <w:gridSpan w:val="2"/>
          </w:tcPr>
          <w:p w14:paraId="78DC229B" w14:textId="77777777" w:rsidR="009E484F" w:rsidRPr="0077128F" w:rsidRDefault="002C658A" w:rsidP="002C658A">
            <w:pPr>
              <w:jc w:val="center"/>
              <w:rPr>
                <w:sz w:val="22"/>
                <w:szCs w:val="22"/>
                <w:lang w:eastAsia="en-AU"/>
              </w:rPr>
            </w:pPr>
            <w:r w:rsidRPr="0077128F">
              <w:rPr>
                <w:sz w:val="22"/>
                <w:szCs w:val="22"/>
                <w:lang w:eastAsia="en-AU"/>
              </w:rPr>
              <w:t>-</w:t>
            </w:r>
          </w:p>
          <w:p w14:paraId="0B4DA955" w14:textId="1F0740A7"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6A61905" w14:textId="100950AA" w:rsidTr="0003415E">
        <w:trPr>
          <w:gridAfter w:val="1"/>
          <w:wAfter w:w="13" w:type="dxa"/>
          <w:trHeight w:val="70"/>
          <w:jc w:val="center"/>
        </w:trPr>
        <w:tc>
          <w:tcPr>
            <w:tcW w:w="2830" w:type="dxa"/>
            <w:shd w:val="clear" w:color="auto" w:fill="auto"/>
          </w:tcPr>
          <w:p w14:paraId="2C4AE3B1" w14:textId="77777777" w:rsidR="009E484F" w:rsidRPr="0077128F" w:rsidRDefault="009E484F" w:rsidP="009E484F">
            <w:pPr>
              <w:rPr>
                <w:sz w:val="22"/>
                <w:szCs w:val="22"/>
                <w:lang w:eastAsia="en-AU"/>
              </w:rPr>
            </w:pPr>
            <w:r w:rsidRPr="0077128F">
              <w:rPr>
                <w:sz w:val="22"/>
                <w:szCs w:val="22"/>
                <w:lang w:eastAsia="en-AU"/>
              </w:rPr>
              <w:t>Veterans’ Advisory Council</w:t>
            </w:r>
          </w:p>
        </w:tc>
        <w:tc>
          <w:tcPr>
            <w:tcW w:w="2812" w:type="dxa"/>
            <w:shd w:val="clear" w:color="auto" w:fill="auto"/>
          </w:tcPr>
          <w:p w14:paraId="500DBF3D" w14:textId="7685C9FD"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3A6E5B01" w14:textId="27C56C76" w:rsidR="009E484F" w:rsidRPr="0077128F" w:rsidRDefault="008B2F59" w:rsidP="002C658A">
            <w:pPr>
              <w:jc w:val="center"/>
              <w:rPr>
                <w:bCs/>
                <w:sz w:val="22"/>
                <w:szCs w:val="22"/>
              </w:rPr>
            </w:pPr>
            <w:r w:rsidRPr="0077128F">
              <w:rPr>
                <w:bCs/>
                <w:sz w:val="22"/>
                <w:szCs w:val="22"/>
              </w:rPr>
              <w:t>$5</w:t>
            </w:r>
            <w:r w:rsidR="007E64D2" w:rsidRPr="0077128F">
              <w:rPr>
                <w:bCs/>
                <w:sz w:val="22"/>
                <w:szCs w:val="22"/>
              </w:rPr>
              <w:t>35</w:t>
            </w:r>
          </w:p>
        </w:tc>
        <w:tc>
          <w:tcPr>
            <w:tcW w:w="1681" w:type="dxa"/>
            <w:gridSpan w:val="2"/>
          </w:tcPr>
          <w:p w14:paraId="506838AA" w14:textId="07C75574" w:rsidR="009E484F" w:rsidRPr="0077128F" w:rsidRDefault="002C658A" w:rsidP="002C658A">
            <w:pPr>
              <w:jc w:val="center"/>
              <w:rPr>
                <w:sz w:val="22"/>
                <w:szCs w:val="22"/>
                <w:lang w:eastAsia="en-AU"/>
              </w:rPr>
            </w:pPr>
            <w:r w:rsidRPr="0077128F">
              <w:rPr>
                <w:sz w:val="22"/>
                <w:szCs w:val="22"/>
                <w:lang w:eastAsia="en-AU"/>
              </w:rPr>
              <w:t>-</w:t>
            </w:r>
          </w:p>
        </w:tc>
      </w:tr>
      <w:tr w:rsidR="0077128F" w:rsidRPr="0077128F" w14:paraId="6B45F598" w14:textId="4952A05B" w:rsidTr="0003415E">
        <w:trPr>
          <w:gridAfter w:val="1"/>
          <w:wAfter w:w="13" w:type="dxa"/>
          <w:trHeight w:val="70"/>
          <w:jc w:val="center"/>
        </w:trPr>
        <w:tc>
          <w:tcPr>
            <w:tcW w:w="2830" w:type="dxa"/>
            <w:shd w:val="clear" w:color="auto" w:fill="auto"/>
            <w:hideMark/>
          </w:tcPr>
          <w:p w14:paraId="21441062" w14:textId="0E76E463" w:rsidR="009E484F" w:rsidRPr="0077128F" w:rsidRDefault="00813DE0" w:rsidP="009E484F">
            <w:pPr>
              <w:rPr>
                <w:sz w:val="22"/>
                <w:szCs w:val="22"/>
                <w:lang w:eastAsia="en-AU"/>
              </w:rPr>
            </w:pPr>
            <w:r w:rsidRPr="0077128F">
              <w:rPr>
                <w:sz w:val="22"/>
                <w:szCs w:val="22"/>
                <w:lang w:eastAsia="en-AU"/>
              </w:rPr>
              <w:t xml:space="preserve">Veterinary Practitioners </w:t>
            </w:r>
            <w:r w:rsidR="009E484F" w:rsidRPr="0077128F">
              <w:rPr>
                <w:sz w:val="22"/>
                <w:szCs w:val="22"/>
                <w:lang w:eastAsia="en-AU"/>
              </w:rPr>
              <w:t>Board</w:t>
            </w:r>
          </w:p>
        </w:tc>
        <w:tc>
          <w:tcPr>
            <w:tcW w:w="2812" w:type="dxa"/>
            <w:shd w:val="clear" w:color="auto" w:fill="auto"/>
            <w:hideMark/>
          </w:tcPr>
          <w:p w14:paraId="4B35322E" w14:textId="4E45DFD5" w:rsidR="009E484F" w:rsidRPr="0077128F" w:rsidRDefault="00BB0E2D" w:rsidP="009E484F">
            <w:pPr>
              <w:rPr>
                <w:sz w:val="22"/>
                <w:szCs w:val="22"/>
                <w:lang w:eastAsia="en-AU"/>
              </w:rPr>
            </w:pPr>
            <w:r w:rsidRPr="0077128F">
              <w:rPr>
                <w:sz w:val="22"/>
                <w:szCs w:val="22"/>
                <w:lang w:eastAsia="en-AU"/>
              </w:rPr>
              <w:t>President</w:t>
            </w:r>
          </w:p>
          <w:p w14:paraId="52D2D97D" w14:textId="54FE7140"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0B6F6DF7" w14:textId="77777777" w:rsidR="007E64D2" w:rsidRPr="0077128F" w:rsidRDefault="007E64D2" w:rsidP="007E64D2">
            <w:pPr>
              <w:jc w:val="center"/>
              <w:rPr>
                <w:bCs/>
                <w:sz w:val="22"/>
                <w:szCs w:val="22"/>
                <w:lang w:eastAsia="en-AU"/>
              </w:rPr>
            </w:pPr>
            <w:r w:rsidRPr="0077128F">
              <w:rPr>
                <w:bCs/>
                <w:sz w:val="22"/>
                <w:szCs w:val="22"/>
              </w:rPr>
              <w:t>$555</w:t>
            </w:r>
          </w:p>
          <w:p w14:paraId="4007188F" w14:textId="4CDA5334" w:rsidR="009E484F" w:rsidRPr="0077128F" w:rsidRDefault="007E64D2" w:rsidP="007E64D2">
            <w:pPr>
              <w:jc w:val="center"/>
              <w:rPr>
                <w:bCs/>
                <w:sz w:val="22"/>
                <w:szCs w:val="22"/>
              </w:rPr>
            </w:pPr>
            <w:r w:rsidRPr="0077128F">
              <w:rPr>
                <w:bCs/>
                <w:sz w:val="22"/>
                <w:szCs w:val="22"/>
              </w:rPr>
              <w:t>$480</w:t>
            </w:r>
          </w:p>
        </w:tc>
        <w:tc>
          <w:tcPr>
            <w:tcW w:w="1681" w:type="dxa"/>
            <w:gridSpan w:val="2"/>
          </w:tcPr>
          <w:p w14:paraId="0526005C" w14:textId="1DE88C43" w:rsidR="009E484F" w:rsidRPr="0077128F" w:rsidRDefault="002C658A" w:rsidP="002C658A">
            <w:pPr>
              <w:jc w:val="center"/>
              <w:rPr>
                <w:sz w:val="22"/>
                <w:szCs w:val="22"/>
                <w:lang w:eastAsia="en-AU"/>
              </w:rPr>
            </w:pPr>
            <w:r w:rsidRPr="0077128F">
              <w:rPr>
                <w:sz w:val="22"/>
                <w:szCs w:val="22"/>
                <w:lang w:eastAsia="en-AU"/>
              </w:rPr>
              <w:t>-</w:t>
            </w:r>
          </w:p>
          <w:p w14:paraId="01DEB1A8" w14:textId="7D599AB6"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3A034ED2" w14:textId="57523167" w:rsidTr="0003415E">
        <w:trPr>
          <w:gridAfter w:val="1"/>
          <w:wAfter w:w="13" w:type="dxa"/>
          <w:trHeight w:val="70"/>
          <w:jc w:val="center"/>
        </w:trPr>
        <w:tc>
          <w:tcPr>
            <w:tcW w:w="2830" w:type="dxa"/>
            <w:shd w:val="clear" w:color="auto" w:fill="auto"/>
            <w:hideMark/>
          </w:tcPr>
          <w:p w14:paraId="71F0437E" w14:textId="022470A0" w:rsidR="009E484F" w:rsidRPr="0077128F" w:rsidRDefault="009E484F" w:rsidP="00813DE0">
            <w:pPr>
              <w:rPr>
                <w:sz w:val="22"/>
                <w:szCs w:val="22"/>
                <w:lang w:eastAsia="en-AU"/>
              </w:rPr>
            </w:pPr>
            <w:r w:rsidRPr="0077128F">
              <w:rPr>
                <w:sz w:val="22"/>
                <w:szCs w:val="22"/>
                <w:lang w:eastAsia="en-AU"/>
              </w:rPr>
              <w:t xml:space="preserve">Veterinary </w:t>
            </w:r>
            <w:r w:rsidR="00813DE0" w:rsidRPr="0077128F">
              <w:rPr>
                <w:sz w:val="22"/>
                <w:szCs w:val="22"/>
                <w:lang w:eastAsia="en-AU"/>
              </w:rPr>
              <w:t>Practitioners Committee</w:t>
            </w:r>
            <w:r w:rsidRPr="0077128F">
              <w:rPr>
                <w:sz w:val="22"/>
                <w:szCs w:val="22"/>
                <w:lang w:eastAsia="en-AU"/>
              </w:rPr>
              <w:t xml:space="preserve"> of Inquiry</w:t>
            </w:r>
          </w:p>
        </w:tc>
        <w:tc>
          <w:tcPr>
            <w:tcW w:w="2812" w:type="dxa"/>
            <w:shd w:val="clear" w:color="auto" w:fill="auto"/>
            <w:hideMark/>
          </w:tcPr>
          <w:p w14:paraId="295A2ECA" w14:textId="404B9697" w:rsidR="009E484F" w:rsidRPr="0077128F" w:rsidRDefault="009E484F" w:rsidP="009E484F">
            <w:pPr>
              <w:rPr>
                <w:sz w:val="22"/>
                <w:szCs w:val="22"/>
                <w:lang w:eastAsia="en-AU"/>
              </w:rPr>
            </w:pPr>
            <w:r w:rsidRPr="0077128F">
              <w:rPr>
                <w:sz w:val="22"/>
                <w:szCs w:val="22"/>
                <w:lang w:eastAsia="en-AU"/>
              </w:rPr>
              <w:t xml:space="preserve">Chair </w:t>
            </w:r>
          </w:p>
          <w:p w14:paraId="03C1B229" w14:textId="2EDCFFBD" w:rsidR="009E484F" w:rsidRPr="0077128F" w:rsidRDefault="009E484F" w:rsidP="009E484F">
            <w:pPr>
              <w:rPr>
                <w:sz w:val="22"/>
                <w:szCs w:val="22"/>
                <w:lang w:eastAsia="en-AU"/>
              </w:rPr>
            </w:pPr>
            <w:r w:rsidRPr="0077128F">
              <w:rPr>
                <w:sz w:val="22"/>
                <w:szCs w:val="22"/>
                <w:lang w:eastAsia="en-AU"/>
              </w:rPr>
              <w:t xml:space="preserve">Member </w:t>
            </w:r>
          </w:p>
        </w:tc>
        <w:tc>
          <w:tcPr>
            <w:tcW w:w="1681" w:type="dxa"/>
            <w:shd w:val="clear" w:color="auto" w:fill="auto"/>
            <w:noWrap/>
          </w:tcPr>
          <w:p w14:paraId="38DC79E7" w14:textId="00B5BCD3" w:rsidR="009E484F" w:rsidRPr="0077128F" w:rsidRDefault="009E484F" w:rsidP="002C658A">
            <w:pPr>
              <w:jc w:val="center"/>
              <w:rPr>
                <w:bCs/>
                <w:sz w:val="22"/>
                <w:szCs w:val="22"/>
              </w:rPr>
            </w:pPr>
            <w:r w:rsidRPr="0077128F">
              <w:rPr>
                <w:bCs/>
                <w:sz w:val="22"/>
                <w:szCs w:val="22"/>
              </w:rPr>
              <w:t>$8</w:t>
            </w:r>
            <w:r w:rsidR="007E64D2" w:rsidRPr="0077128F">
              <w:rPr>
                <w:bCs/>
                <w:sz w:val="22"/>
                <w:szCs w:val="22"/>
              </w:rPr>
              <w:t>75</w:t>
            </w:r>
          </w:p>
          <w:p w14:paraId="7D3D76CB" w14:textId="0DA8E018" w:rsidR="009E484F" w:rsidRPr="0077128F" w:rsidRDefault="008B2F59" w:rsidP="002C658A">
            <w:pPr>
              <w:jc w:val="center"/>
              <w:rPr>
                <w:bCs/>
                <w:sz w:val="22"/>
                <w:szCs w:val="22"/>
              </w:rPr>
            </w:pPr>
            <w:r w:rsidRPr="0077128F">
              <w:rPr>
                <w:bCs/>
                <w:sz w:val="22"/>
                <w:szCs w:val="22"/>
              </w:rPr>
              <w:t>$7</w:t>
            </w:r>
            <w:r w:rsidR="007E64D2" w:rsidRPr="0077128F">
              <w:rPr>
                <w:bCs/>
                <w:sz w:val="22"/>
                <w:szCs w:val="22"/>
              </w:rPr>
              <w:t>8</w:t>
            </w:r>
            <w:r w:rsidRPr="0077128F">
              <w:rPr>
                <w:bCs/>
                <w:sz w:val="22"/>
                <w:szCs w:val="22"/>
              </w:rPr>
              <w:t>5</w:t>
            </w:r>
          </w:p>
        </w:tc>
        <w:tc>
          <w:tcPr>
            <w:tcW w:w="1681" w:type="dxa"/>
            <w:gridSpan w:val="2"/>
          </w:tcPr>
          <w:p w14:paraId="6AF995CF" w14:textId="77777777" w:rsidR="009E484F" w:rsidRPr="0077128F" w:rsidRDefault="002C658A" w:rsidP="002C658A">
            <w:pPr>
              <w:jc w:val="center"/>
              <w:rPr>
                <w:sz w:val="22"/>
                <w:szCs w:val="22"/>
                <w:lang w:eastAsia="en-AU"/>
              </w:rPr>
            </w:pPr>
            <w:r w:rsidRPr="0077128F">
              <w:rPr>
                <w:sz w:val="22"/>
                <w:szCs w:val="22"/>
                <w:lang w:eastAsia="en-AU"/>
              </w:rPr>
              <w:t>-</w:t>
            </w:r>
          </w:p>
          <w:p w14:paraId="073E1F2E" w14:textId="03F506F0" w:rsidR="002C658A" w:rsidRPr="0077128F" w:rsidRDefault="002C658A" w:rsidP="002C658A">
            <w:pPr>
              <w:jc w:val="center"/>
              <w:rPr>
                <w:sz w:val="22"/>
                <w:szCs w:val="22"/>
                <w:lang w:eastAsia="en-AU"/>
              </w:rPr>
            </w:pPr>
            <w:r w:rsidRPr="0077128F">
              <w:rPr>
                <w:sz w:val="22"/>
                <w:szCs w:val="22"/>
                <w:lang w:eastAsia="en-AU"/>
              </w:rPr>
              <w:t>-</w:t>
            </w:r>
          </w:p>
        </w:tc>
      </w:tr>
      <w:tr w:rsidR="0077128F" w:rsidRPr="0077128F" w14:paraId="5F20B945" w14:textId="33177F87" w:rsidTr="0003415E">
        <w:trPr>
          <w:gridAfter w:val="1"/>
          <w:wAfter w:w="13" w:type="dxa"/>
          <w:trHeight w:val="300"/>
          <w:jc w:val="center"/>
        </w:trPr>
        <w:tc>
          <w:tcPr>
            <w:tcW w:w="2830" w:type="dxa"/>
            <w:shd w:val="clear" w:color="auto" w:fill="auto"/>
          </w:tcPr>
          <w:p w14:paraId="13850337" w14:textId="77777777" w:rsidR="009E484F" w:rsidRPr="0077128F" w:rsidRDefault="009E484F" w:rsidP="009E484F">
            <w:pPr>
              <w:rPr>
                <w:sz w:val="22"/>
                <w:szCs w:val="22"/>
                <w:lang w:eastAsia="en-AU"/>
              </w:rPr>
            </w:pPr>
            <w:r w:rsidRPr="0077128F">
              <w:rPr>
                <w:sz w:val="22"/>
                <w:szCs w:val="22"/>
                <w:lang w:eastAsia="en-AU"/>
              </w:rPr>
              <w:t>Work Safety Council</w:t>
            </w:r>
          </w:p>
        </w:tc>
        <w:tc>
          <w:tcPr>
            <w:tcW w:w="2812" w:type="dxa"/>
            <w:shd w:val="clear" w:color="auto" w:fill="auto"/>
          </w:tcPr>
          <w:p w14:paraId="70D910FF" w14:textId="5FC77538"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526DF36F" w14:textId="6FEF4857" w:rsidR="009E484F" w:rsidRPr="0077128F" w:rsidRDefault="002C658A" w:rsidP="002C658A">
            <w:pPr>
              <w:jc w:val="center"/>
              <w:rPr>
                <w:sz w:val="22"/>
                <w:szCs w:val="22"/>
                <w:lang w:eastAsia="en-AU"/>
              </w:rPr>
            </w:pPr>
            <w:r w:rsidRPr="0077128F">
              <w:rPr>
                <w:sz w:val="22"/>
                <w:szCs w:val="22"/>
                <w:lang w:eastAsia="en-AU"/>
              </w:rPr>
              <w:t>-</w:t>
            </w:r>
          </w:p>
        </w:tc>
        <w:tc>
          <w:tcPr>
            <w:tcW w:w="1681" w:type="dxa"/>
            <w:gridSpan w:val="2"/>
          </w:tcPr>
          <w:p w14:paraId="2784339D" w14:textId="3479F4C9" w:rsidR="009E484F" w:rsidRPr="0077128F" w:rsidRDefault="001A41D1" w:rsidP="002C658A">
            <w:pPr>
              <w:jc w:val="center"/>
              <w:rPr>
                <w:bCs/>
                <w:sz w:val="22"/>
                <w:szCs w:val="22"/>
              </w:rPr>
            </w:pPr>
            <w:r w:rsidRPr="0077128F">
              <w:rPr>
                <w:bCs/>
                <w:sz w:val="22"/>
                <w:szCs w:val="22"/>
              </w:rPr>
              <w:t>$</w:t>
            </w:r>
            <w:r w:rsidR="007E64D2" w:rsidRPr="0077128F">
              <w:rPr>
                <w:bCs/>
                <w:sz w:val="22"/>
                <w:szCs w:val="22"/>
              </w:rPr>
              <w:t>20,100</w:t>
            </w:r>
          </w:p>
        </w:tc>
      </w:tr>
      <w:tr w:rsidR="0077128F" w:rsidRPr="0077128F" w14:paraId="79D4FB3C" w14:textId="15BCD226" w:rsidTr="0003415E">
        <w:trPr>
          <w:gridAfter w:val="1"/>
          <w:wAfter w:w="13" w:type="dxa"/>
          <w:trHeight w:val="300"/>
          <w:jc w:val="center"/>
        </w:trPr>
        <w:tc>
          <w:tcPr>
            <w:tcW w:w="2830" w:type="dxa"/>
            <w:shd w:val="clear" w:color="auto" w:fill="auto"/>
            <w:hideMark/>
          </w:tcPr>
          <w:p w14:paraId="48AB3148" w14:textId="77777777" w:rsidR="009E484F" w:rsidRPr="0077128F" w:rsidRDefault="009E484F" w:rsidP="009E484F">
            <w:pPr>
              <w:rPr>
                <w:sz w:val="22"/>
                <w:szCs w:val="22"/>
                <w:lang w:eastAsia="en-AU"/>
              </w:rPr>
            </w:pPr>
            <w:r w:rsidRPr="0077128F">
              <w:rPr>
                <w:sz w:val="22"/>
                <w:szCs w:val="22"/>
                <w:lang w:eastAsia="en-AU"/>
              </w:rPr>
              <w:t>Youth Advisory Council</w:t>
            </w:r>
          </w:p>
        </w:tc>
        <w:tc>
          <w:tcPr>
            <w:tcW w:w="2812" w:type="dxa"/>
            <w:shd w:val="clear" w:color="auto" w:fill="auto"/>
            <w:hideMark/>
          </w:tcPr>
          <w:p w14:paraId="6A8E80A7" w14:textId="49981C5B" w:rsidR="009E484F" w:rsidRPr="0077128F" w:rsidRDefault="009E484F" w:rsidP="009E484F">
            <w:pPr>
              <w:rPr>
                <w:sz w:val="22"/>
                <w:szCs w:val="22"/>
                <w:lang w:eastAsia="en-AU"/>
              </w:rPr>
            </w:pPr>
            <w:r w:rsidRPr="0077128F">
              <w:rPr>
                <w:sz w:val="22"/>
                <w:szCs w:val="22"/>
                <w:lang w:eastAsia="en-AU"/>
              </w:rPr>
              <w:t xml:space="preserve">Chair </w:t>
            </w:r>
          </w:p>
        </w:tc>
        <w:tc>
          <w:tcPr>
            <w:tcW w:w="1681" w:type="dxa"/>
            <w:shd w:val="clear" w:color="auto" w:fill="auto"/>
            <w:noWrap/>
          </w:tcPr>
          <w:p w14:paraId="77EA7D47" w14:textId="2FEAC35F" w:rsidR="009E484F" w:rsidRPr="0077128F" w:rsidRDefault="008B2F59" w:rsidP="002C658A">
            <w:pPr>
              <w:jc w:val="center"/>
              <w:rPr>
                <w:bCs/>
                <w:sz w:val="22"/>
                <w:szCs w:val="22"/>
                <w:lang w:eastAsia="en-AU"/>
              </w:rPr>
            </w:pPr>
            <w:r w:rsidRPr="0077128F">
              <w:rPr>
                <w:bCs/>
                <w:sz w:val="22"/>
                <w:szCs w:val="22"/>
              </w:rPr>
              <w:t>$5</w:t>
            </w:r>
            <w:r w:rsidR="007E64D2" w:rsidRPr="0077128F">
              <w:rPr>
                <w:bCs/>
                <w:sz w:val="22"/>
                <w:szCs w:val="22"/>
              </w:rPr>
              <w:t>55</w:t>
            </w:r>
          </w:p>
        </w:tc>
        <w:tc>
          <w:tcPr>
            <w:tcW w:w="1681" w:type="dxa"/>
            <w:gridSpan w:val="2"/>
          </w:tcPr>
          <w:p w14:paraId="07D6B38E" w14:textId="2CFFE48A" w:rsidR="009E484F" w:rsidRPr="0077128F" w:rsidRDefault="002C658A" w:rsidP="002C658A">
            <w:pPr>
              <w:jc w:val="center"/>
              <w:rPr>
                <w:sz w:val="22"/>
                <w:szCs w:val="22"/>
                <w:lang w:eastAsia="en-AU"/>
              </w:rPr>
            </w:pPr>
            <w:r w:rsidRPr="0077128F">
              <w:rPr>
                <w:sz w:val="22"/>
                <w:szCs w:val="22"/>
                <w:lang w:eastAsia="en-AU"/>
              </w:rPr>
              <w:t>-</w:t>
            </w:r>
          </w:p>
        </w:tc>
      </w:tr>
    </w:tbl>
    <w:p w14:paraId="7AB7231B" w14:textId="3DC0E748" w:rsidR="001F0EA2" w:rsidRPr="00E074DF" w:rsidRDefault="001F0EA2" w:rsidP="00CD176E">
      <w:pPr>
        <w:pStyle w:val="Heading3"/>
        <w:numPr>
          <w:ilvl w:val="0"/>
          <w:numId w:val="0"/>
        </w:numPr>
        <w:spacing w:before="120"/>
        <w:rPr>
          <w:b w:val="0"/>
          <w:color w:val="000000" w:themeColor="text1"/>
          <w:sz w:val="22"/>
          <w:szCs w:val="22"/>
        </w:rPr>
      </w:pPr>
      <w:r w:rsidRPr="00E074DF">
        <w:rPr>
          <w:b w:val="0"/>
          <w:color w:val="000000" w:themeColor="text1"/>
          <w:sz w:val="22"/>
          <w:szCs w:val="22"/>
        </w:rPr>
        <w:t>*The remuneration of the Inspector of Correctional Services cannot exceed $</w:t>
      </w:r>
      <w:r w:rsidR="00B353FA" w:rsidRPr="00E074DF">
        <w:rPr>
          <w:b w:val="0"/>
          <w:color w:val="000000" w:themeColor="text1"/>
          <w:sz w:val="22"/>
          <w:szCs w:val="22"/>
        </w:rPr>
        <w:t>202,111</w:t>
      </w:r>
      <w:r w:rsidRPr="00E074DF">
        <w:rPr>
          <w:b w:val="0"/>
          <w:color w:val="000000" w:themeColor="text1"/>
          <w:sz w:val="22"/>
          <w:szCs w:val="22"/>
        </w:rPr>
        <w:t xml:space="preserve"> per annum.</w:t>
      </w:r>
    </w:p>
    <w:p w14:paraId="147B473F" w14:textId="77777777" w:rsidR="00CD176E" w:rsidRPr="00CD176E" w:rsidRDefault="00CD176E" w:rsidP="00CD176E"/>
    <w:p w14:paraId="5ECABBD1" w14:textId="63A63A17" w:rsidR="001F0EA2" w:rsidRPr="00CA6C52" w:rsidRDefault="001F0EA2" w:rsidP="001F0EA2">
      <w:pPr>
        <w:pStyle w:val="Heading3"/>
        <w:numPr>
          <w:ilvl w:val="1"/>
          <w:numId w:val="1"/>
        </w:numPr>
        <w:spacing w:before="120"/>
        <w:rPr>
          <w:b w:val="0"/>
          <w:szCs w:val="24"/>
        </w:rPr>
      </w:pPr>
      <w:r w:rsidRPr="00B242F4">
        <w:rPr>
          <w:b w:val="0"/>
          <w:color w:val="000000" w:themeColor="text1"/>
          <w:szCs w:val="24"/>
        </w:rPr>
        <w:lastRenderedPageBreak/>
        <w:t xml:space="preserve">Public </w:t>
      </w:r>
      <w:r w:rsidRPr="00E074DF">
        <w:rPr>
          <w:b w:val="0"/>
          <w:color w:val="000000" w:themeColor="text1"/>
          <w:szCs w:val="24"/>
        </w:rPr>
        <w:t xml:space="preserve">servants </w:t>
      </w:r>
      <w:r w:rsidR="009B10E0" w:rsidRPr="00E074DF">
        <w:rPr>
          <w:b w:val="0"/>
          <w:color w:val="000000" w:themeColor="text1"/>
          <w:szCs w:val="24"/>
        </w:rPr>
        <w:t>who</w:t>
      </w:r>
      <w:r w:rsidRPr="00E074DF">
        <w:rPr>
          <w:b w:val="0"/>
          <w:color w:val="000000" w:themeColor="text1"/>
          <w:szCs w:val="24"/>
        </w:rPr>
        <w:t xml:space="preserve"> serve as a Part-time Public Office Holder are not entitled to receive remuneration, allowances or entitlements provided in this Determination, unless in exceptional circumstances</w:t>
      </w:r>
      <w:r w:rsidRPr="00CA6C52">
        <w:rPr>
          <w:b w:val="0"/>
          <w:szCs w:val="24"/>
        </w:rPr>
        <w:t>.</w:t>
      </w:r>
    </w:p>
    <w:p w14:paraId="22942841" w14:textId="77777777" w:rsidR="001F0EA2" w:rsidRDefault="001F0EA2" w:rsidP="001F0EA2">
      <w:pPr>
        <w:pStyle w:val="Heading3"/>
        <w:numPr>
          <w:ilvl w:val="1"/>
          <w:numId w:val="1"/>
        </w:numPr>
        <w:spacing w:before="120"/>
        <w:rPr>
          <w:b w:val="0"/>
          <w:szCs w:val="24"/>
        </w:rPr>
      </w:pPr>
      <w:r w:rsidRPr="00CA6C52">
        <w:rPr>
          <w:b w:val="0"/>
          <w:szCs w:val="24"/>
        </w:rPr>
        <w:t xml:space="preserve">The Chief Minister, Treasury and Economic Development Directorate </w:t>
      </w:r>
      <w:r>
        <w:rPr>
          <w:b w:val="0"/>
          <w:szCs w:val="24"/>
        </w:rPr>
        <w:t>will determine</w:t>
      </w:r>
      <w:r w:rsidRPr="00CA6C52">
        <w:rPr>
          <w:b w:val="0"/>
          <w:szCs w:val="24"/>
        </w:rPr>
        <w:t xml:space="preserve"> these exceptional circumstances.</w:t>
      </w:r>
    </w:p>
    <w:p w14:paraId="28D90B99" w14:textId="77777777" w:rsidR="001F0EA2" w:rsidRPr="00DE36C6" w:rsidRDefault="001F0EA2" w:rsidP="001F0EA2">
      <w:pPr>
        <w:pStyle w:val="Heading3"/>
        <w:numPr>
          <w:ilvl w:val="0"/>
          <w:numId w:val="0"/>
        </w:numPr>
        <w:spacing w:before="120"/>
      </w:pPr>
      <w:r>
        <w:t xml:space="preserve">3. </w:t>
      </w:r>
      <w:r>
        <w:tab/>
      </w:r>
      <w:r w:rsidRPr="00DE36C6">
        <w:t>Conditions of Payment of Daily Fees</w:t>
      </w:r>
      <w:r>
        <w:t xml:space="preserve"> (per diem)</w:t>
      </w:r>
      <w:r w:rsidRPr="00DE36C6">
        <w:t xml:space="preserve"> </w:t>
      </w:r>
    </w:p>
    <w:p w14:paraId="299EB916" w14:textId="77777777" w:rsidR="001F0EA2" w:rsidRPr="00D62589" w:rsidRDefault="001F0EA2" w:rsidP="001F0EA2">
      <w:pPr>
        <w:spacing w:before="120" w:after="60"/>
        <w:rPr>
          <w:b/>
        </w:rPr>
      </w:pPr>
      <w:r>
        <w:t>3.1</w:t>
      </w:r>
      <w:r>
        <w:tab/>
      </w:r>
      <w:r w:rsidRPr="00D62589">
        <w:t xml:space="preserve"> In this </w:t>
      </w:r>
      <w:r>
        <w:t xml:space="preserve">section: </w:t>
      </w:r>
    </w:p>
    <w:p w14:paraId="492F45ED" w14:textId="77777777" w:rsidR="001F0EA2" w:rsidRDefault="001F0EA2" w:rsidP="001F0EA2">
      <w:pPr>
        <w:tabs>
          <w:tab w:val="left" w:pos="1134"/>
        </w:tabs>
        <w:spacing w:before="120" w:after="60"/>
        <w:ind w:left="1134" w:hanging="414"/>
      </w:pPr>
      <w:r w:rsidRPr="00D62589">
        <w:t xml:space="preserve">(a) </w:t>
      </w:r>
      <w:r>
        <w:tab/>
      </w:r>
      <w:r w:rsidRPr="00D62589">
        <w:t xml:space="preserve">a reference to an </w:t>
      </w:r>
      <w:r>
        <w:t>‘</w:t>
      </w:r>
      <w:r w:rsidRPr="00D62589">
        <w:t>authority</w:t>
      </w:r>
      <w:r>
        <w:t>’</w:t>
      </w:r>
      <w:r w:rsidRPr="00D62589">
        <w:t xml:space="preserve"> is a reference to a commission, board, committee, tribunal or other body or office, the </w:t>
      </w:r>
      <w:r>
        <w:t>office holders</w:t>
      </w:r>
      <w:r w:rsidRPr="00D62589">
        <w:t xml:space="preserve"> of which are entitled to be paid daily fees referred to in this Determination; </w:t>
      </w:r>
    </w:p>
    <w:p w14:paraId="359A7322" w14:textId="77777777" w:rsidR="001F0EA2" w:rsidRDefault="001F0EA2" w:rsidP="001F0EA2">
      <w:pPr>
        <w:tabs>
          <w:tab w:val="left" w:pos="1134"/>
        </w:tabs>
        <w:spacing w:before="120" w:after="60"/>
        <w:ind w:left="1134" w:hanging="414"/>
      </w:pPr>
      <w:r w:rsidRPr="00D62589" w:rsidDel="00793B65">
        <w:rPr>
          <w:b/>
        </w:rPr>
        <w:t xml:space="preserve"> </w:t>
      </w:r>
      <w:r w:rsidRPr="00D62589">
        <w:t xml:space="preserve">(b) </w:t>
      </w:r>
      <w:r>
        <w:tab/>
      </w:r>
      <w:r w:rsidRPr="00D62589">
        <w:t xml:space="preserve">a reference to </w:t>
      </w:r>
      <w:r>
        <w:t>‘</w:t>
      </w:r>
      <w:r w:rsidRPr="00D62589">
        <w:t>business of the authority</w:t>
      </w:r>
      <w:r>
        <w:t>’</w:t>
      </w:r>
      <w:r w:rsidRPr="00D62589">
        <w:t xml:space="preserve"> means any business of the authority conducted by a</w:t>
      </w:r>
      <w:r>
        <w:t xml:space="preserve">n office holder </w:t>
      </w:r>
      <w:r w:rsidRPr="00D62589">
        <w:t xml:space="preserve">of the authority with the approval of the </w:t>
      </w:r>
      <w:r>
        <w:t>chairperson, the nominated presiding officer (if applicable) or the authorised secretariat</w:t>
      </w:r>
      <w:r w:rsidRPr="00D62589">
        <w:t>, other than attendance at a formal meeting</w:t>
      </w:r>
      <w:r>
        <w:t xml:space="preserve"> and official travel on a meeting day</w:t>
      </w:r>
      <w:r w:rsidRPr="00D62589">
        <w:t xml:space="preserve">; </w:t>
      </w:r>
    </w:p>
    <w:p w14:paraId="013FB79F" w14:textId="77777777" w:rsidR="001F0EA2" w:rsidRDefault="001F0EA2" w:rsidP="001F0EA2">
      <w:pPr>
        <w:tabs>
          <w:tab w:val="left" w:pos="1134"/>
        </w:tabs>
        <w:spacing w:before="120" w:after="60"/>
        <w:ind w:left="1134" w:hanging="414"/>
      </w:pPr>
      <w:r w:rsidRPr="00D62589">
        <w:t xml:space="preserve">(c) </w:t>
      </w:r>
      <w:r>
        <w:tab/>
        <w:t xml:space="preserve">‘normal preparation time’ means the time that an office holder of an authority ordinarily requires to prepare for a formal meeting of business of the authority. It can occur on either a day of a meeting/event/activity or on another day. Preparation time spent by an office holder that the chairperson, nominated president officer (if applicable) or the authorised secretariat considers is excessive to normal preparation time may be treated as ‘business of the authority’; </w:t>
      </w:r>
      <w:r w:rsidRPr="00D62589">
        <w:t xml:space="preserve"> </w:t>
      </w:r>
    </w:p>
    <w:p w14:paraId="04740131" w14:textId="77777777" w:rsidR="001F0EA2" w:rsidRDefault="001F0EA2" w:rsidP="001F0EA2">
      <w:pPr>
        <w:tabs>
          <w:tab w:val="left" w:pos="1134"/>
        </w:tabs>
        <w:spacing w:before="120" w:after="60"/>
        <w:ind w:left="1134" w:hanging="414"/>
      </w:pPr>
      <w:r w:rsidRPr="00D62589" w:rsidDel="00793B65">
        <w:rPr>
          <w:b/>
        </w:rPr>
        <w:t xml:space="preserve"> </w:t>
      </w:r>
      <w:r w:rsidRPr="00D62589">
        <w:t>(</w:t>
      </w:r>
      <w:r>
        <w:t>d</w:t>
      </w:r>
      <w:r w:rsidRPr="00D62589">
        <w:t xml:space="preserve">) </w:t>
      </w:r>
      <w:r>
        <w:tab/>
      </w:r>
      <w:r w:rsidRPr="00D62589">
        <w:t>the daily fee for a formal meeting includes a component to cover normal preparation time</w:t>
      </w:r>
      <w:r>
        <w:t>.</w:t>
      </w:r>
      <w:r w:rsidRPr="00D62589">
        <w:t xml:space="preserve"> </w:t>
      </w:r>
      <w:r>
        <w:t>W</w:t>
      </w:r>
      <w:r w:rsidRPr="00D62589">
        <w:t>here the chairperson</w:t>
      </w:r>
      <w:r>
        <w:t>, nominated presiding officer (if applicable) or the authorised secretariat</w:t>
      </w:r>
      <w:r w:rsidRPr="00D62589">
        <w:t xml:space="preserve"> of the authority considers it appropriate</w:t>
      </w:r>
      <w:r>
        <w:t>,</w:t>
      </w:r>
      <w:r w:rsidRPr="00D62589">
        <w:t xml:space="preserve"> that a period of preparation time beyond this warrants recognition, then the chairperson</w:t>
      </w:r>
      <w:r>
        <w:t xml:space="preserve">, nominated presiding officer (if applicable) or authorised secretariat </w:t>
      </w:r>
      <w:r w:rsidRPr="00D62589">
        <w:t xml:space="preserve">may determine that payment in accordance with the scheduled </w:t>
      </w:r>
      <w:r>
        <w:t xml:space="preserve">daily </w:t>
      </w:r>
      <w:r w:rsidRPr="00D62589">
        <w:t xml:space="preserve">fee shall be payable for such periods as </w:t>
      </w:r>
      <w:r>
        <w:t>‘</w:t>
      </w:r>
      <w:r w:rsidRPr="00D62589">
        <w:t>business of the authority</w:t>
      </w:r>
      <w:r>
        <w:t>’; and</w:t>
      </w:r>
    </w:p>
    <w:p w14:paraId="715E71A4" w14:textId="77777777" w:rsidR="001F0EA2" w:rsidRDefault="001F0EA2" w:rsidP="001F0EA2">
      <w:pPr>
        <w:spacing w:before="120" w:after="60"/>
        <w:ind w:left="720"/>
        <w:rPr>
          <w:sz w:val="18"/>
          <w:szCs w:val="18"/>
        </w:rPr>
      </w:pPr>
      <w:r>
        <w:rPr>
          <w:sz w:val="18"/>
          <w:szCs w:val="18"/>
        </w:rPr>
        <w:t>Example:</w:t>
      </w:r>
    </w:p>
    <w:p w14:paraId="4F3A98CC" w14:textId="77777777" w:rsidR="001F0EA2" w:rsidRPr="006D3DF5" w:rsidRDefault="001F0EA2" w:rsidP="001F0EA2">
      <w:pPr>
        <w:spacing w:before="120" w:after="60"/>
        <w:ind w:left="720"/>
        <w:rPr>
          <w:sz w:val="18"/>
          <w:szCs w:val="18"/>
        </w:rPr>
      </w:pPr>
      <w:r>
        <w:rPr>
          <w:sz w:val="18"/>
          <w:szCs w:val="18"/>
        </w:rPr>
        <w:t>A formal committee meeting is scheduled which usually consists of two hours of meeting time. A committee member undertakes one hour of preparation time. The total time commitment is three hours, so the committee member would be eligible for the daily fee.</w:t>
      </w:r>
    </w:p>
    <w:p w14:paraId="16049A36" w14:textId="77777777" w:rsidR="001F0EA2" w:rsidRDefault="001F0EA2" w:rsidP="001F0EA2">
      <w:pPr>
        <w:tabs>
          <w:tab w:val="left" w:pos="1134"/>
        </w:tabs>
        <w:spacing w:before="120" w:after="60"/>
        <w:ind w:left="1134" w:hanging="414"/>
      </w:pPr>
      <w:r w:rsidRPr="00D62589">
        <w:t xml:space="preserve"> (</w:t>
      </w:r>
      <w:r>
        <w:t>e</w:t>
      </w:r>
      <w:r w:rsidRPr="00D62589">
        <w:t>)</w:t>
      </w:r>
      <w:r>
        <w:t xml:space="preserve"> </w:t>
      </w:r>
      <w:r>
        <w:tab/>
        <w:t>‘official travel time’ is the reasonable period, certified by the chairperson, the nominated presiding officer (if applicable) or the authorised secretariat, that an office holder spends travelling on official business away from the metropolitan area of the capital city or the environs of the town in which the office holder lives</w:t>
      </w:r>
      <w:r w:rsidRPr="00D62589">
        <w:t xml:space="preserve">. </w:t>
      </w:r>
      <w:r w:rsidRPr="00271336">
        <w:t xml:space="preserve"> </w:t>
      </w:r>
    </w:p>
    <w:p w14:paraId="499CC3C3" w14:textId="77777777" w:rsidR="001F0EA2" w:rsidRPr="00D62589" w:rsidRDefault="001F0EA2" w:rsidP="001F0EA2">
      <w:pPr>
        <w:tabs>
          <w:tab w:val="left" w:pos="1134"/>
        </w:tabs>
        <w:spacing w:before="120" w:after="60"/>
        <w:ind w:left="1134" w:hanging="414"/>
        <w:rPr>
          <w:b/>
        </w:rPr>
      </w:pPr>
      <w:r w:rsidRPr="00D62589">
        <w:t xml:space="preserve"> (</w:t>
      </w:r>
      <w:r>
        <w:t>f</w:t>
      </w:r>
      <w:r w:rsidRPr="00D62589">
        <w:t xml:space="preserve">) </w:t>
      </w:r>
      <w:r>
        <w:tab/>
      </w:r>
      <w:r w:rsidRPr="00271336">
        <w:t>The Tribunal considers that preparation time</w:t>
      </w:r>
      <w:r>
        <w:t xml:space="preserve"> and travel time are </w:t>
      </w:r>
      <w:r w:rsidRPr="00271336">
        <w:t>legitimate claim</w:t>
      </w:r>
      <w:r>
        <w:t>s</w:t>
      </w:r>
      <w:r w:rsidRPr="00271336">
        <w:t>.</w:t>
      </w:r>
    </w:p>
    <w:p w14:paraId="2AADAEC9" w14:textId="77777777" w:rsidR="00EE66E8" w:rsidRDefault="00EE66E8" w:rsidP="001F0EA2">
      <w:pPr>
        <w:rPr>
          <w:u w:val="single"/>
        </w:rPr>
      </w:pPr>
    </w:p>
    <w:p w14:paraId="1E0EE7E2" w14:textId="77777777" w:rsidR="001F0EA2" w:rsidRPr="00B94655" w:rsidRDefault="001F0EA2" w:rsidP="001F0EA2">
      <w:pPr>
        <w:rPr>
          <w:u w:val="single"/>
        </w:rPr>
      </w:pPr>
      <w:r w:rsidRPr="00B94655">
        <w:rPr>
          <w:u w:val="single"/>
        </w:rPr>
        <w:t xml:space="preserve">Work </w:t>
      </w:r>
      <w:r>
        <w:rPr>
          <w:u w:val="single"/>
        </w:rPr>
        <w:t xml:space="preserve">periods </w:t>
      </w:r>
      <w:r w:rsidRPr="00B94655">
        <w:rPr>
          <w:u w:val="single"/>
        </w:rPr>
        <w:t xml:space="preserve">consisting of </w:t>
      </w:r>
      <w:r>
        <w:rPr>
          <w:u w:val="single"/>
        </w:rPr>
        <w:t xml:space="preserve">not </w:t>
      </w:r>
      <w:r w:rsidRPr="00B94655">
        <w:rPr>
          <w:u w:val="single"/>
        </w:rPr>
        <w:t>less than three hours</w:t>
      </w:r>
      <w:r>
        <w:rPr>
          <w:u w:val="single"/>
        </w:rPr>
        <w:t xml:space="preserve"> (formal meetings and business of the authority)</w:t>
      </w:r>
    </w:p>
    <w:p w14:paraId="3CE28CFD" w14:textId="77777777" w:rsidR="001F0EA2" w:rsidRPr="00D62589" w:rsidRDefault="001F0EA2" w:rsidP="001F0EA2">
      <w:pPr>
        <w:spacing w:before="120" w:after="60"/>
        <w:ind w:left="720" w:hanging="720"/>
        <w:rPr>
          <w:b/>
        </w:rPr>
      </w:pPr>
      <w:r>
        <w:t>3</w:t>
      </w:r>
      <w:r w:rsidRPr="00D62589">
        <w:t xml:space="preserve">.2 </w:t>
      </w:r>
      <w:r w:rsidRPr="00D62589">
        <w:tab/>
      </w:r>
      <w:r>
        <w:t>A Part-time H</w:t>
      </w:r>
      <w:r w:rsidRPr="00D62589">
        <w:t xml:space="preserve">older of a </w:t>
      </w:r>
      <w:r>
        <w:t>P</w:t>
      </w:r>
      <w:r w:rsidRPr="00D62589">
        <w:t xml:space="preserve">ublic </w:t>
      </w:r>
      <w:r>
        <w:t>O</w:t>
      </w:r>
      <w:r w:rsidRPr="00D62589">
        <w:t xml:space="preserve">ffice in an authority shall be paid a daily fee in respect of such period, not less than three hours, on any one day on which he or she </w:t>
      </w:r>
      <w:r w:rsidRPr="00D62589">
        <w:lastRenderedPageBreak/>
        <w:t>attends a formal meeting of an authority, and/or is engaged on business of the authority, subje</w:t>
      </w:r>
      <w:r>
        <w:t>ct to the following conditions:</w:t>
      </w:r>
      <w:r w:rsidRPr="00D62589">
        <w:t xml:space="preserve"> </w:t>
      </w:r>
    </w:p>
    <w:p w14:paraId="5A478F1D" w14:textId="77777777" w:rsidR="001F0EA2" w:rsidRPr="00793B65" w:rsidRDefault="001F0EA2" w:rsidP="009C2F2E">
      <w:pPr>
        <w:pStyle w:val="ColorfulList-Accent11"/>
        <w:numPr>
          <w:ilvl w:val="0"/>
          <w:numId w:val="6"/>
        </w:numPr>
        <w:spacing w:before="120" w:after="60"/>
        <w:rPr>
          <w:b/>
        </w:rPr>
      </w:pPr>
      <w:r w:rsidRPr="00D62589">
        <w:t>the chairperson</w:t>
      </w:r>
      <w:r>
        <w:t xml:space="preserve">, </w:t>
      </w:r>
      <w:r w:rsidRPr="00D62589">
        <w:t>nominated presiding officer</w:t>
      </w:r>
      <w:r>
        <w:t xml:space="preserve"> (if applicable) or the authorised secretariat</w:t>
      </w:r>
      <w:r w:rsidRPr="00D62589">
        <w:t xml:space="preserve">, shall in each case certify whether the period of three hours has elapsed and in so certifying may have regard to reasonable </w:t>
      </w:r>
      <w:r>
        <w:t xml:space="preserve">preparation time and </w:t>
      </w:r>
      <w:r w:rsidRPr="00D62589">
        <w:t xml:space="preserve">travelling time incurred by an office holder; and </w:t>
      </w:r>
    </w:p>
    <w:p w14:paraId="064A3723" w14:textId="77777777" w:rsidR="001F0EA2" w:rsidRDefault="001F0EA2" w:rsidP="001F0EA2">
      <w:pPr>
        <w:tabs>
          <w:tab w:val="left" w:pos="1134"/>
        </w:tabs>
        <w:spacing w:before="120" w:after="60"/>
        <w:ind w:left="1134" w:hanging="414"/>
      </w:pPr>
      <w:r w:rsidRPr="00D62589">
        <w:t xml:space="preserve">(b) </w:t>
      </w:r>
      <w:r>
        <w:tab/>
      </w:r>
      <w:r w:rsidRPr="00D62589">
        <w:t>the maximum payment in respect of any one day shall</w:t>
      </w:r>
      <w:r>
        <w:t xml:space="preserve"> be the appropriate daily fee. </w:t>
      </w:r>
    </w:p>
    <w:p w14:paraId="6831E6E5" w14:textId="77777777" w:rsidR="001F0EA2" w:rsidRDefault="001F0EA2" w:rsidP="001F0EA2">
      <w:pPr>
        <w:spacing w:before="120" w:after="60"/>
        <w:ind w:left="720"/>
        <w:rPr>
          <w:sz w:val="18"/>
          <w:szCs w:val="18"/>
        </w:rPr>
      </w:pPr>
      <w:r>
        <w:rPr>
          <w:sz w:val="18"/>
          <w:szCs w:val="18"/>
        </w:rPr>
        <w:t>Example:</w:t>
      </w:r>
    </w:p>
    <w:p w14:paraId="5D73CD56" w14:textId="77777777" w:rsidR="001F0EA2" w:rsidRPr="006D3DF5" w:rsidRDefault="001F0EA2" w:rsidP="001F0EA2">
      <w:pPr>
        <w:spacing w:before="120" w:after="60"/>
        <w:ind w:left="720"/>
        <w:rPr>
          <w:sz w:val="18"/>
          <w:szCs w:val="18"/>
        </w:rPr>
      </w:pPr>
      <w:r>
        <w:rPr>
          <w:sz w:val="18"/>
          <w:szCs w:val="18"/>
        </w:rPr>
        <w:t>A formal one hour committee meeting is scheduled. The matter to be discussed at the meeting is complex. A committee member undertakes three hours of preparation time. The total time commitment is four hours, so the committee member would be eligible for the daily fee.</w:t>
      </w:r>
    </w:p>
    <w:p w14:paraId="3E993688" w14:textId="77777777" w:rsidR="001F0EA2" w:rsidRPr="00B94655" w:rsidRDefault="001F0EA2" w:rsidP="001F0EA2">
      <w:pPr>
        <w:spacing w:before="120" w:after="60"/>
        <w:ind w:left="709"/>
        <w:rPr>
          <w:u w:val="single"/>
        </w:rPr>
      </w:pPr>
      <w:r w:rsidRPr="00B94655">
        <w:rPr>
          <w:u w:val="single"/>
        </w:rPr>
        <w:t xml:space="preserve">Work </w:t>
      </w:r>
      <w:r>
        <w:rPr>
          <w:u w:val="single"/>
        </w:rPr>
        <w:t xml:space="preserve">periods </w:t>
      </w:r>
      <w:r w:rsidRPr="00B94655">
        <w:rPr>
          <w:u w:val="single"/>
        </w:rPr>
        <w:t>consisting of less than three hours</w:t>
      </w:r>
      <w:r>
        <w:rPr>
          <w:u w:val="single"/>
        </w:rPr>
        <w:t xml:space="preserve"> (formal meetings and business of the authority)</w:t>
      </w:r>
    </w:p>
    <w:p w14:paraId="16CDD487" w14:textId="77777777" w:rsidR="001F0EA2" w:rsidRPr="00D62589" w:rsidRDefault="001F0EA2" w:rsidP="001F0EA2">
      <w:pPr>
        <w:spacing w:before="120" w:after="60"/>
        <w:ind w:left="720" w:hanging="720"/>
        <w:rPr>
          <w:b/>
        </w:rPr>
      </w:pPr>
      <w:r>
        <w:t>3</w:t>
      </w:r>
      <w:r w:rsidRPr="00D62589">
        <w:t xml:space="preserve">.3 </w:t>
      </w:r>
      <w:r w:rsidRPr="00D62589">
        <w:tab/>
      </w:r>
      <w:r>
        <w:t>A Part-time Holder of a Public O</w:t>
      </w:r>
      <w:r w:rsidRPr="00D62589">
        <w:t xml:space="preserve">ffice may be paid in respect of less than three hours </w:t>
      </w:r>
      <w:r>
        <w:t xml:space="preserve">for </w:t>
      </w:r>
      <w:r w:rsidRPr="00D62589">
        <w:t xml:space="preserve">formal meetings </w:t>
      </w:r>
      <w:r>
        <w:t xml:space="preserve">and/or on business of the authority, </w:t>
      </w:r>
      <w:r w:rsidRPr="00D62589">
        <w:t>subje</w:t>
      </w:r>
      <w:r>
        <w:t>ct to the following conditions:</w:t>
      </w:r>
      <w:r w:rsidRPr="00D62589">
        <w:t xml:space="preserve"> </w:t>
      </w:r>
    </w:p>
    <w:p w14:paraId="715EFFB4" w14:textId="77777777" w:rsidR="001F0EA2" w:rsidRPr="00793B65" w:rsidRDefault="001F0EA2" w:rsidP="009C2F2E">
      <w:pPr>
        <w:pStyle w:val="ColorfulList-Accent11"/>
        <w:numPr>
          <w:ilvl w:val="0"/>
          <w:numId w:val="7"/>
        </w:numPr>
        <w:tabs>
          <w:tab w:val="left" w:pos="1080"/>
        </w:tabs>
        <w:spacing w:before="120" w:after="60"/>
        <w:rPr>
          <w:b/>
        </w:rPr>
      </w:pPr>
      <w:r w:rsidRPr="00D62589">
        <w:t>for formal meetings</w:t>
      </w:r>
      <w:r>
        <w:t>,</w:t>
      </w:r>
      <w:r w:rsidRPr="00D62589">
        <w:t xml:space="preserve"> aggregating less than tw</w:t>
      </w:r>
      <w:r>
        <w:t>o hours, an amount equal to two</w:t>
      </w:r>
      <w:r>
        <w:noBreakHyphen/>
      </w:r>
      <w:r w:rsidRPr="00D62589">
        <w:t xml:space="preserve">fifths of the daily fee; </w:t>
      </w:r>
    </w:p>
    <w:p w14:paraId="6484933A" w14:textId="77777777" w:rsidR="001F0EA2" w:rsidRPr="00D62589" w:rsidRDefault="001F0EA2" w:rsidP="001F0EA2">
      <w:pPr>
        <w:tabs>
          <w:tab w:val="left" w:pos="1080"/>
        </w:tabs>
        <w:spacing w:before="120" w:after="60"/>
        <w:ind w:left="1080" w:hanging="371"/>
        <w:rPr>
          <w:b/>
        </w:rPr>
      </w:pPr>
      <w:r w:rsidRPr="00D62589">
        <w:t xml:space="preserve">(b) </w:t>
      </w:r>
      <w:r>
        <w:tab/>
      </w:r>
      <w:r w:rsidRPr="00D62589">
        <w:t xml:space="preserve">for formal meetings, or business of the authority on the day of the meeting, of two hours or more, but less than three hours on any one day, an amount equal to three-fifths of the daily fee; </w:t>
      </w:r>
    </w:p>
    <w:p w14:paraId="4D10F535" w14:textId="77777777" w:rsidR="001F0EA2" w:rsidRPr="00D62589" w:rsidRDefault="001F0EA2" w:rsidP="001F0EA2">
      <w:pPr>
        <w:tabs>
          <w:tab w:val="left" w:pos="1080"/>
        </w:tabs>
        <w:spacing w:before="120" w:after="60"/>
        <w:ind w:left="1080" w:hanging="371"/>
        <w:rPr>
          <w:b/>
        </w:rPr>
      </w:pPr>
      <w:r w:rsidRPr="00D62589">
        <w:t xml:space="preserve">(c) </w:t>
      </w:r>
      <w:r>
        <w:tab/>
      </w:r>
      <w:r w:rsidRPr="00D62589">
        <w:t xml:space="preserve">the maximum payment in respect of any one day shall be the appropriate daily fee; </w:t>
      </w:r>
    </w:p>
    <w:p w14:paraId="1E9BC3A1" w14:textId="77777777" w:rsidR="001F0EA2" w:rsidRPr="00D62589" w:rsidRDefault="001F0EA2" w:rsidP="001F0EA2">
      <w:pPr>
        <w:tabs>
          <w:tab w:val="left" w:pos="1440"/>
        </w:tabs>
        <w:spacing w:before="120" w:after="60"/>
        <w:ind w:left="1080" w:hanging="371"/>
        <w:rPr>
          <w:b/>
        </w:rPr>
      </w:pPr>
      <w:r w:rsidRPr="00D62589">
        <w:t xml:space="preserve">(d) </w:t>
      </w:r>
      <w:r>
        <w:t xml:space="preserve"> </w:t>
      </w:r>
      <w:r w:rsidRPr="00D62589">
        <w:t>eligibility for each payment shall be certified by the chairperson</w:t>
      </w:r>
      <w:r>
        <w:t xml:space="preserve">, </w:t>
      </w:r>
      <w:r w:rsidRPr="00D62589">
        <w:t xml:space="preserve">nominated presiding officer </w:t>
      </w:r>
      <w:r>
        <w:t xml:space="preserve">(if applicable) or the authorised secretariat, </w:t>
      </w:r>
      <w:r w:rsidRPr="00D62589">
        <w:t>and in so certifying the chairperson</w:t>
      </w:r>
      <w:r>
        <w:t xml:space="preserve">, presiding officer (if applicable) or the authorised secretariat </w:t>
      </w:r>
      <w:r w:rsidRPr="00D62589">
        <w:t xml:space="preserve">may have regard to reasonable travelling time; and </w:t>
      </w:r>
    </w:p>
    <w:p w14:paraId="58ACB501" w14:textId="77777777" w:rsidR="001F0EA2" w:rsidRDefault="001F0EA2" w:rsidP="001F0EA2">
      <w:pPr>
        <w:spacing w:before="120" w:after="60"/>
        <w:ind w:left="1080" w:hanging="371"/>
      </w:pPr>
      <w:r w:rsidRPr="00D62589">
        <w:t xml:space="preserve">(e) </w:t>
      </w:r>
      <w:r>
        <w:tab/>
      </w:r>
      <w:r w:rsidRPr="00D62589">
        <w:t xml:space="preserve">preparation time shall only be included in accordance with </w:t>
      </w:r>
      <w:r>
        <w:t>3</w:t>
      </w:r>
      <w:r w:rsidRPr="00D62589">
        <w:t xml:space="preserve">.1. </w:t>
      </w:r>
    </w:p>
    <w:p w14:paraId="74A8C612" w14:textId="77777777" w:rsidR="001F0EA2" w:rsidRDefault="001F0EA2" w:rsidP="001F0EA2">
      <w:pPr>
        <w:spacing w:before="120" w:after="60"/>
        <w:ind w:left="720"/>
        <w:rPr>
          <w:sz w:val="18"/>
          <w:szCs w:val="18"/>
        </w:rPr>
      </w:pPr>
      <w:r>
        <w:rPr>
          <w:sz w:val="18"/>
          <w:szCs w:val="18"/>
        </w:rPr>
        <w:t xml:space="preserve">Examples: </w:t>
      </w:r>
    </w:p>
    <w:p w14:paraId="09C39129" w14:textId="77777777" w:rsidR="001F0EA2" w:rsidRPr="006D3DF5" w:rsidRDefault="001F0EA2" w:rsidP="001F0EA2">
      <w:pPr>
        <w:spacing w:before="120" w:after="60"/>
        <w:ind w:left="720"/>
        <w:rPr>
          <w:sz w:val="18"/>
          <w:szCs w:val="18"/>
        </w:rPr>
      </w:pPr>
      <w:r>
        <w:rPr>
          <w:sz w:val="18"/>
          <w:szCs w:val="18"/>
        </w:rPr>
        <w:t>A formal one hour committee meeting is scheduled. No preparation time was required. The reasonable travelling time was 30 minutes. The total time commitment is one hour and 30 minutes. The committee member would be eligible for two-fifths of the daily fee.</w:t>
      </w:r>
    </w:p>
    <w:p w14:paraId="2EA485AC" w14:textId="77777777" w:rsidR="001F0EA2" w:rsidRPr="006D3DF5" w:rsidRDefault="001F0EA2" w:rsidP="001F0EA2">
      <w:pPr>
        <w:spacing w:before="120" w:after="60"/>
        <w:ind w:left="720"/>
        <w:rPr>
          <w:sz w:val="18"/>
          <w:szCs w:val="18"/>
        </w:rPr>
      </w:pPr>
      <w:r>
        <w:rPr>
          <w:sz w:val="18"/>
          <w:szCs w:val="18"/>
        </w:rPr>
        <w:t xml:space="preserve">A two hour committee event is scheduled and classified as ‘business of the authority’. No preparation time was required. The reasonable travelling time was 30 minutes. The total time commitment is two hours and </w:t>
      </w:r>
      <w:r>
        <w:rPr>
          <w:sz w:val="18"/>
          <w:szCs w:val="18"/>
        </w:rPr>
        <w:br/>
        <w:t>30 minutes. The committee member would be eligible for three-fifths of the daily fee.</w:t>
      </w:r>
    </w:p>
    <w:p w14:paraId="01730F08" w14:textId="11A3E2F3" w:rsidR="001F0EA2" w:rsidRPr="00B94655" w:rsidRDefault="001F0EA2" w:rsidP="001F0EA2">
      <w:pPr>
        <w:rPr>
          <w:u w:val="single"/>
        </w:rPr>
      </w:pPr>
      <w:r w:rsidRPr="00B94655">
        <w:rPr>
          <w:u w:val="single"/>
        </w:rPr>
        <w:t xml:space="preserve">Work </w:t>
      </w:r>
      <w:r>
        <w:rPr>
          <w:u w:val="single"/>
        </w:rPr>
        <w:t xml:space="preserve">aggregate periods </w:t>
      </w:r>
      <w:r w:rsidRPr="00B94655">
        <w:rPr>
          <w:u w:val="single"/>
        </w:rPr>
        <w:t>consisting of less than three hours</w:t>
      </w:r>
      <w:r>
        <w:rPr>
          <w:u w:val="single"/>
        </w:rPr>
        <w:t xml:space="preserve"> (business of the authority)</w:t>
      </w:r>
    </w:p>
    <w:p w14:paraId="36144F58" w14:textId="77777777" w:rsidR="001F0EA2" w:rsidRDefault="001F0EA2" w:rsidP="001F0EA2">
      <w:pPr>
        <w:spacing w:before="120" w:after="60"/>
        <w:ind w:left="709" w:hanging="709"/>
      </w:pPr>
      <w:r>
        <w:t>3</w:t>
      </w:r>
      <w:r w:rsidRPr="00D62589">
        <w:t xml:space="preserve">.4 </w:t>
      </w:r>
      <w:r w:rsidRPr="00D62589">
        <w:tab/>
        <w:t xml:space="preserve">A </w:t>
      </w:r>
      <w:r>
        <w:t>Part-time Holder of a Public O</w:t>
      </w:r>
      <w:r w:rsidRPr="00D62589">
        <w:t xml:space="preserve">ffice may also be paid a daily fee in respect of aggregate periods </w:t>
      </w:r>
      <w:r>
        <w:t xml:space="preserve">associated with </w:t>
      </w:r>
      <w:r w:rsidRPr="00D62589">
        <w:t xml:space="preserve">business of the authority </w:t>
      </w:r>
      <w:r>
        <w:t>which is</w:t>
      </w:r>
      <w:r w:rsidRPr="00D62589">
        <w:t xml:space="preserve"> less than three hours undertaken on behalf of the authority, subje</w:t>
      </w:r>
      <w:r>
        <w:t>ct to the following conditions:</w:t>
      </w:r>
      <w:r w:rsidRPr="00D62589">
        <w:t xml:space="preserve"> </w:t>
      </w:r>
      <w:r>
        <w:br/>
      </w:r>
      <w:r w:rsidRPr="00D62589">
        <w:t xml:space="preserve">(a) individual periods of business must be on other than formal meeting days and each period must be for a minimum of one hour; </w:t>
      </w:r>
      <w:r>
        <w:br/>
      </w:r>
      <w:r w:rsidRPr="00D62589">
        <w:t xml:space="preserve">(b) to attract payment of a daily fee, aggregated periods shall total at least five hours; </w:t>
      </w:r>
      <w:r>
        <w:br/>
      </w:r>
      <w:r w:rsidRPr="00D62589">
        <w:t xml:space="preserve">(c) the maximum period in respect of any one day shall be the appropriate daily fee; </w:t>
      </w:r>
      <w:r>
        <w:br/>
      </w:r>
      <w:r w:rsidRPr="00D62589">
        <w:lastRenderedPageBreak/>
        <w:t>(d) eligibility for each payment shall be certified by the chairperson</w:t>
      </w:r>
      <w:r>
        <w:t>, nominated presiding officer (if applicable) or the authorised secretariat</w:t>
      </w:r>
      <w:r w:rsidRPr="00D62589">
        <w:t>, and in so certifying the chairperson</w:t>
      </w:r>
      <w:r>
        <w:t xml:space="preserve">, nominated presiding officer (if applicable) or the authorised secretariat </w:t>
      </w:r>
      <w:r w:rsidRPr="00D62589">
        <w:t>may have regard to reasonable travelling time</w:t>
      </w:r>
      <w:r>
        <w:t xml:space="preserve"> incurred by an office holder</w:t>
      </w:r>
      <w:r w:rsidRPr="00D62589">
        <w:t xml:space="preserve">; and </w:t>
      </w:r>
      <w:r>
        <w:br/>
      </w:r>
      <w:r w:rsidRPr="00D62589">
        <w:t xml:space="preserve">(e) preparation time shall only be included in accordance with </w:t>
      </w:r>
      <w:r>
        <w:t>3</w:t>
      </w:r>
      <w:r w:rsidRPr="00D62589">
        <w:t xml:space="preserve">.1. </w:t>
      </w:r>
    </w:p>
    <w:p w14:paraId="4434A79B" w14:textId="77777777" w:rsidR="001F0EA2" w:rsidRDefault="001F0EA2" w:rsidP="001F0EA2">
      <w:pPr>
        <w:spacing w:before="120" w:after="60"/>
        <w:ind w:left="720"/>
        <w:rPr>
          <w:sz w:val="18"/>
          <w:szCs w:val="18"/>
        </w:rPr>
      </w:pPr>
      <w:r>
        <w:rPr>
          <w:sz w:val="18"/>
          <w:szCs w:val="18"/>
        </w:rPr>
        <w:t xml:space="preserve">Examples: </w:t>
      </w:r>
    </w:p>
    <w:p w14:paraId="330EB2EF" w14:textId="77777777" w:rsidR="001F0EA2" w:rsidRPr="006D3DF5" w:rsidRDefault="001F0EA2" w:rsidP="001F0EA2">
      <w:pPr>
        <w:spacing w:before="120" w:after="60"/>
        <w:ind w:left="720"/>
        <w:rPr>
          <w:sz w:val="18"/>
          <w:szCs w:val="18"/>
        </w:rPr>
      </w:pPr>
      <w:r>
        <w:rPr>
          <w:sz w:val="18"/>
          <w:szCs w:val="18"/>
        </w:rPr>
        <w:t>A committee member attends a one hour committee event over four days which is not a formal meeting day. The event is classified as ‘business of the authority’. No preparation time was required. The reasonable travelling time for each day was 30 minutes. The total time commitment is six hours. The committee member would be eligible for the daily fee.</w:t>
      </w:r>
    </w:p>
    <w:p w14:paraId="55F35B8E" w14:textId="77777777" w:rsidR="001F0EA2" w:rsidRDefault="001F0EA2" w:rsidP="001F0EA2">
      <w:pPr>
        <w:spacing w:before="120" w:after="60"/>
        <w:ind w:left="720"/>
        <w:rPr>
          <w:sz w:val="18"/>
          <w:szCs w:val="18"/>
        </w:rPr>
      </w:pPr>
      <w:r>
        <w:rPr>
          <w:sz w:val="18"/>
          <w:szCs w:val="18"/>
        </w:rPr>
        <w:t>A committee member attends a one hour committee event over three days which is not a formal meeting day. The event is classified as ‘business of the authority’. No preparation time was required. The reasonable travelling time for each day was 30 minutes. The total time commitment for the events is four hours and 30 minutes. The committee member would not be eligible for the daily fee. If the member had another 30 minutes, they would be eligible for the daily fee.</w:t>
      </w:r>
    </w:p>
    <w:p w14:paraId="740C4387" w14:textId="77777777" w:rsidR="001F0EA2" w:rsidRPr="00975F2B" w:rsidRDefault="001F0EA2" w:rsidP="001F0EA2">
      <w:pPr>
        <w:spacing w:before="120" w:after="60"/>
        <w:ind w:left="720" w:hanging="11"/>
        <w:rPr>
          <w:u w:val="single"/>
        </w:rPr>
      </w:pPr>
      <w:r w:rsidRPr="00975F2B">
        <w:rPr>
          <w:u w:val="single"/>
        </w:rPr>
        <w:t>Cancellation fee</w:t>
      </w:r>
    </w:p>
    <w:p w14:paraId="1587964B" w14:textId="77777777" w:rsidR="001F0EA2" w:rsidRPr="00975F2B" w:rsidRDefault="001F0EA2" w:rsidP="001F0EA2">
      <w:pPr>
        <w:spacing w:before="120" w:after="60"/>
        <w:ind w:left="709" w:hanging="709"/>
      </w:pPr>
      <w:r>
        <w:t>3</w:t>
      </w:r>
      <w:r w:rsidRPr="00D62589">
        <w:t>.</w:t>
      </w:r>
      <w:r>
        <w:t>5</w:t>
      </w:r>
      <w:r w:rsidRPr="00D62589">
        <w:t xml:space="preserve"> </w:t>
      </w:r>
      <w:r w:rsidRPr="00D62589">
        <w:tab/>
      </w:r>
      <w:r w:rsidRPr="00975F2B">
        <w:t xml:space="preserve">A cancellation fee is payable equivalent to 50% of one day’s fee for cancellation of all work on a day </w:t>
      </w:r>
      <w:r>
        <w:t>with less than five working day</w:t>
      </w:r>
      <w:r w:rsidRPr="00975F2B">
        <w:t>s</w:t>
      </w:r>
      <w:r>
        <w:t>’</w:t>
      </w:r>
      <w:r w:rsidRPr="00975F2B">
        <w:t xml:space="preserve"> notice.</w:t>
      </w:r>
    </w:p>
    <w:p w14:paraId="0D9D85A7" w14:textId="77777777" w:rsidR="001F0EA2" w:rsidRPr="00294FE9" w:rsidRDefault="001F0EA2" w:rsidP="001F0EA2">
      <w:pPr>
        <w:pStyle w:val="Heading3"/>
        <w:numPr>
          <w:ilvl w:val="0"/>
          <w:numId w:val="0"/>
        </w:numPr>
        <w:spacing w:before="120"/>
        <w:ind w:left="720" w:hanging="720"/>
      </w:pPr>
      <w:r w:rsidRPr="00294FE9">
        <w:t xml:space="preserve">4. </w:t>
      </w:r>
      <w:r w:rsidRPr="00294FE9">
        <w:tab/>
        <w:t xml:space="preserve">Salary Packaging </w:t>
      </w:r>
    </w:p>
    <w:p w14:paraId="6F1D194D" w14:textId="1916D974" w:rsidR="001F0EA2" w:rsidRDefault="001F0EA2" w:rsidP="001F0EA2">
      <w:pPr>
        <w:spacing w:before="120" w:after="60"/>
        <w:ind w:left="709" w:hanging="709"/>
      </w:pPr>
      <w:r>
        <w:t>4</w:t>
      </w:r>
      <w:r w:rsidRPr="00D62589">
        <w:t xml:space="preserve">.1 </w:t>
      </w:r>
      <w:r w:rsidRPr="00D62589">
        <w:tab/>
        <w:t xml:space="preserve">Subject to the following conditions, a person holding an office mentioned in </w:t>
      </w:r>
      <w:r>
        <w:t xml:space="preserve">Table 1 </w:t>
      </w:r>
      <w:r>
        <w:br/>
        <w:t>of this D</w:t>
      </w:r>
      <w:r w:rsidRPr="00D62589">
        <w:t xml:space="preserve">etermination may elect to take remuneration shown in Column 3 of </w:t>
      </w:r>
      <w:r>
        <w:t xml:space="preserve">Table 1 </w:t>
      </w:r>
      <w:r>
        <w:br/>
      </w:r>
      <w:r w:rsidRPr="00D62589">
        <w:t xml:space="preserve">as salary or take a combination of salary and other benefits best suited to </w:t>
      </w:r>
      <w:r>
        <w:t>their</w:t>
      </w:r>
      <w:r w:rsidRPr="00D62589">
        <w:t xml:space="preserve"> </w:t>
      </w:r>
      <w:r>
        <w:br/>
      </w:r>
      <w:r w:rsidRPr="00D62589">
        <w:t xml:space="preserve">personal needs and preferences. </w:t>
      </w:r>
    </w:p>
    <w:p w14:paraId="4A60A3AC" w14:textId="77777777" w:rsidR="001F0EA2" w:rsidRPr="00D62589" w:rsidRDefault="001F0EA2" w:rsidP="001F0EA2">
      <w:pPr>
        <w:spacing w:before="120" w:after="60"/>
        <w:ind w:left="709" w:hanging="709"/>
      </w:pPr>
      <w:r>
        <w:t>4</w:t>
      </w:r>
      <w:r w:rsidRPr="00D62589">
        <w:t>.2</w:t>
      </w:r>
      <w:r w:rsidRPr="00D62589">
        <w:tab/>
      </w:r>
      <w:r>
        <w:t xml:space="preserve">Salary packaging must </w:t>
      </w:r>
      <w:r w:rsidRPr="00D62589">
        <w:t>be consistent with taxation laws and guidelines issued by the Australian Taxation Office.</w:t>
      </w:r>
    </w:p>
    <w:p w14:paraId="7873CB55" w14:textId="77777777" w:rsidR="001F0EA2" w:rsidRPr="00D62589" w:rsidRDefault="001F0EA2" w:rsidP="001F0EA2">
      <w:pPr>
        <w:spacing w:before="120" w:after="60"/>
        <w:ind w:left="720" w:hanging="720"/>
      </w:pPr>
      <w:r>
        <w:t>4</w:t>
      </w:r>
      <w:r w:rsidRPr="00D62589">
        <w:t xml:space="preserve">.3 </w:t>
      </w:r>
      <w:r w:rsidRPr="00D62589">
        <w:tab/>
      </w:r>
      <w:r>
        <w:t xml:space="preserve">Any salary packaging policy and/or procedures </w:t>
      </w:r>
      <w:r w:rsidRPr="00D62589">
        <w:t xml:space="preserve">issued </w:t>
      </w:r>
      <w:r>
        <w:t>for the ACT Public Service</w:t>
      </w:r>
      <w:r w:rsidRPr="00D62589">
        <w:t xml:space="preserve">, with up to 100% of the relevant remuneration shown in Column 3 of </w:t>
      </w:r>
      <w:r>
        <w:t xml:space="preserve">Table 1 </w:t>
      </w:r>
      <w:r w:rsidRPr="00D62589">
        <w:t xml:space="preserve">being taken as benefits and related costs such as fringe benefits tax. </w:t>
      </w:r>
    </w:p>
    <w:p w14:paraId="0D4C7185" w14:textId="77777777" w:rsidR="001F0EA2" w:rsidRPr="00D62589" w:rsidRDefault="001F0EA2" w:rsidP="001F0EA2">
      <w:pPr>
        <w:spacing w:before="120" w:after="60"/>
        <w:ind w:left="720" w:hanging="720"/>
      </w:pPr>
      <w:r>
        <w:t>4</w:t>
      </w:r>
      <w:r w:rsidRPr="00D62589">
        <w:t xml:space="preserve">.4 </w:t>
      </w:r>
      <w:r w:rsidRPr="00D62589">
        <w:tab/>
      </w:r>
      <w:r>
        <w:t>Salary packaging must</w:t>
      </w:r>
      <w:r w:rsidRPr="00BF6FC8">
        <w:t xml:space="preserve"> be administered </w:t>
      </w:r>
      <w:r>
        <w:t>without</w:t>
      </w:r>
      <w:r w:rsidRPr="00D62589" w:rsidDel="00380585">
        <w:t xml:space="preserve"> </w:t>
      </w:r>
      <w:r w:rsidRPr="00D62589">
        <w:t xml:space="preserve">additional cost to the </w:t>
      </w:r>
      <w:r>
        <w:t xml:space="preserve">employer and </w:t>
      </w:r>
      <w:r w:rsidRPr="00D62589">
        <w:t xml:space="preserve">any fringe benefits tax associated with the provision of a benefit </w:t>
      </w:r>
      <w:r>
        <w:t>must</w:t>
      </w:r>
      <w:r w:rsidRPr="00D62589">
        <w:t xml:space="preserve"> be included in the salary package. </w:t>
      </w:r>
    </w:p>
    <w:p w14:paraId="48ABB5AF" w14:textId="77777777" w:rsidR="001F0EA2" w:rsidRDefault="001F0EA2" w:rsidP="001F0EA2">
      <w:pPr>
        <w:spacing w:before="120" w:after="60"/>
        <w:ind w:left="720" w:hanging="720"/>
      </w:pPr>
      <w:r>
        <w:t>4</w:t>
      </w:r>
      <w:r w:rsidRPr="00D62589">
        <w:t xml:space="preserve">.5 </w:t>
      </w:r>
      <w:r w:rsidRPr="00D62589">
        <w:tab/>
      </w:r>
      <w:r>
        <w:t>S</w:t>
      </w:r>
      <w:r w:rsidRPr="00D62589">
        <w:t xml:space="preserve">alary for superannuation purposes of each person holding a Part-time Public Office is </w:t>
      </w:r>
      <w:r>
        <w:t xml:space="preserve">not </w:t>
      </w:r>
      <w:r w:rsidRPr="00D62589">
        <w:t xml:space="preserve">affected by salary packaging. </w:t>
      </w:r>
    </w:p>
    <w:p w14:paraId="7E65E784" w14:textId="77777777" w:rsidR="001F0EA2" w:rsidRPr="00EA1A9E" w:rsidRDefault="001F0EA2" w:rsidP="001F0EA2">
      <w:pPr>
        <w:pStyle w:val="Heading3"/>
        <w:numPr>
          <w:ilvl w:val="0"/>
          <w:numId w:val="0"/>
        </w:numPr>
        <w:spacing w:before="120"/>
        <w:ind w:left="720" w:hanging="720"/>
      </w:pPr>
      <w:r>
        <w:t>5</w:t>
      </w:r>
      <w:r w:rsidRPr="00294FE9">
        <w:t xml:space="preserve">. </w:t>
      </w:r>
      <w:r w:rsidRPr="00294FE9">
        <w:tab/>
      </w:r>
      <w:r w:rsidRPr="0040603C">
        <w:rPr>
          <w:rFonts w:cs="Arial"/>
          <w:szCs w:val="26"/>
        </w:rPr>
        <w:t>Employer’s superannuation contribution</w:t>
      </w:r>
      <w:r>
        <w:t xml:space="preserve"> </w:t>
      </w:r>
    </w:p>
    <w:p w14:paraId="266FB734" w14:textId="66F2A6C8" w:rsidR="001F0EA2" w:rsidRPr="008879E2" w:rsidRDefault="001F0EA2" w:rsidP="001F0EA2">
      <w:pPr>
        <w:spacing w:before="120" w:after="60"/>
        <w:ind w:left="709" w:hanging="709"/>
        <w:rPr>
          <w:color w:val="000000" w:themeColor="text1"/>
          <w:szCs w:val="24"/>
          <w:lang w:val="en-US"/>
        </w:rPr>
      </w:pPr>
      <w:r>
        <w:t>5.1</w:t>
      </w:r>
      <w:r w:rsidRPr="00D62589">
        <w:t xml:space="preserve"> </w:t>
      </w:r>
      <w:r w:rsidRPr="00D62589">
        <w:tab/>
      </w:r>
      <w:r>
        <w:rPr>
          <w:szCs w:val="24"/>
        </w:rPr>
        <w:t xml:space="preserve">A person, appointed to an </w:t>
      </w:r>
      <w:r w:rsidRPr="008879E2">
        <w:rPr>
          <w:color w:val="000000" w:themeColor="text1"/>
          <w:szCs w:val="24"/>
        </w:rPr>
        <w:t>office</w:t>
      </w:r>
      <w:r w:rsidR="00BE5B36" w:rsidRPr="008879E2">
        <w:rPr>
          <w:color w:val="000000" w:themeColor="text1"/>
          <w:szCs w:val="24"/>
        </w:rPr>
        <w:t xml:space="preserve"> listed</w:t>
      </w:r>
      <w:r w:rsidRPr="008879E2">
        <w:rPr>
          <w:color w:val="000000" w:themeColor="text1"/>
          <w:szCs w:val="24"/>
        </w:rPr>
        <w:t xml:space="preserve"> in clause 2 of this Determination, is only eligible for the employer’s superannuation contribution </w:t>
      </w:r>
      <w:r w:rsidRPr="008879E2">
        <w:rPr>
          <w:color w:val="000000" w:themeColor="text1"/>
          <w:szCs w:val="24"/>
          <w:lang w:val="en-US"/>
        </w:rPr>
        <w:t xml:space="preserve">if their </w:t>
      </w:r>
      <w:r w:rsidRPr="008879E2">
        <w:rPr>
          <w:color w:val="000000" w:themeColor="text1"/>
          <w:szCs w:val="24"/>
        </w:rPr>
        <w:t>superannuation</w:t>
      </w:r>
      <w:r w:rsidRPr="008879E2">
        <w:rPr>
          <w:color w:val="000000" w:themeColor="text1"/>
          <w:szCs w:val="24"/>
          <w:lang w:val="en-US"/>
        </w:rPr>
        <w:t xml:space="preserve"> entitlements are not provided elsewhere.  </w:t>
      </w:r>
    </w:p>
    <w:p w14:paraId="26D4104C" w14:textId="6F9CD568" w:rsidR="001F0EA2" w:rsidRPr="0075183B" w:rsidRDefault="001F0EA2" w:rsidP="001F0EA2">
      <w:pPr>
        <w:spacing w:before="120" w:after="60"/>
        <w:ind w:left="709" w:hanging="709"/>
      </w:pPr>
      <w:r w:rsidRPr="008879E2">
        <w:rPr>
          <w:color w:val="000000" w:themeColor="text1"/>
        </w:rPr>
        <w:t xml:space="preserve">5.2 </w:t>
      </w:r>
      <w:r w:rsidRPr="008879E2">
        <w:rPr>
          <w:color w:val="000000" w:themeColor="text1"/>
        </w:rPr>
        <w:tab/>
      </w:r>
      <w:r w:rsidRPr="008879E2">
        <w:rPr>
          <w:color w:val="000000" w:themeColor="text1"/>
          <w:szCs w:val="24"/>
        </w:rPr>
        <w:t xml:space="preserve">For a person, appointed to an office </w:t>
      </w:r>
      <w:r w:rsidR="00912464" w:rsidRPr="008879E2">
        <w:rPr>
          <w:color w:val="000000" w:themeColor="text1"/>
          <w:szCs w:val="24"/>
        </w:rPr>
        <w:t xml:space="preserve">listed </w:t>
      </w:r>
      <w:r w:rsidRPr="008879E2">
        <w:rPr>
          <w:color w:val="000000" w:themeColor="text1"/>
          <w:szCs w:val="24"/>
        </w:rPr>
        <w:t xml:space="preserve">in </w:t>
      </w:r>
      <w:r>
        <w:rPr>
          <w:szCs w:val="24"/>
        </w:rPr>
        <w:t>clause 2 of this Determination, who</w:t>
      </w:r>
      <w:r w:rsidRPr="0075183B">
        <w:t xml:space="preserve"> is a </w:t>
      </w:r>
      <w:r w:rsidRPr="004C65FD">
        <w:rPr>
          <w:szCs w:val="24"/>
        </w:rPr>
        <w:t>member</w:t>
      </w:r>
      <w:r w:rsidRPr="0075183B">
        <w:t xml:space="preserve"> of </w:t>
      </w:r>
      <w:r>
        <w:t>the Commonwealth Superannuation Scheme (</w:t>
      </w:r>
      <w:r w:rsidRPr="007B3690">
        <w:t>CSS</w:t>
      </w:r>
      <w:r>
        <w:t>)</w:t>
      </w:r>
      <w:r w:rsidRPr="007B3690">
        <w:t xml:space="preserve"> or </w:t>
      </w:r>
      <w:r>
        <w:t>Public Sector Superannuation (</w:t>
      </w:r>
      <w:r w:rsidRPr="007B3690">
        <w:t>PSS</w:t>
      </w:r>
      <w:r>
        <w:t>) Scheme:</w:t>
      </w:r>
      <w:r w:rsidRPr="0075183B">
        <w:t xml:space="preserve"> </w:t>
      </w:r>
    </w:p>
    <w:p w14:paraId="3081F53F" w14:textId="77777777" w:rsidR="001F0EA2" w:rsidRDefault="001F0EA2" w:rsidP="001F0EA2">
      <w:pPr>
        <w:numPr>
          <w:ilvl w:val="2"/>
          <w:numId w:val="1"/>
        </w:numPr>
        <w:tabs>
          <w:tab w:val="clear" w:pos="720"/>
        </w:tabs>
        <w:spacing w:before="120" w:after="60"/>
        <w:ind w:left="1134" w:hanging="436"/>
      </w:pPr>
      <w:r>
        <w:t>the person’s annual rate of remuneration for the purposes of the scheme is the base remuneration as provided in clause 2 of this Determination; and</w:t>
      </w:r>
    </w:p>
    <w:p w14:paraId="04AA503A" w14:textId="77777777" w:rsidR="001F0EA2" w:rsidRDefault="001F0EA2" w:rsidP="001F0EA2">
      <w:pPr>
        <w:numPr>
          <w:ilvl w:val="2"/>
          <w:numId w:val="1"/>
        </w:numPr>
        <w:tabs>
          <w:tab w:val="clear" w:pos="720"/>
        </w:tabs>
        <w:spacing w:before="120" w:after="60"/>
        <w:ind w:left="1134" w:hanging="436"/>
      </w:pPr>
      <w:r>
        <w:t xml:space="preserve">the value attributed to the employer’s superannuation contribution is taken to be a notional 16% of the person’s base </w:t>
      </w:r>
      <w:r w:rsidRPr="0065168E">
        <w:t>remuneration</w:t>
      </w:r>
      <w:r>
        <w:t>.</w:t>
      </w:r>
    </w:p>
    <w:p w14:paraId="14D4687C" w14:textId="230F3B98" w:rsidR="001F0EA2" w:rsidRPr="008879E2" w:rsidRDefault="001F0EA2" w:rsidP="001F0EA2">
      <w:pPr>
        <w:spacing w:before="120" w:after="60"/>
        <w:ind w:left="709" w:hanging="709"/>
        <w:rPr>
          <w:color w:val="000000" w:themeColor="text1"/>
        </w:rPr>
      </w:pPr>
      <w:r>
        <w:lastRenderedPageBreak/>
        <w:t>5.3</w:t>
      </w:r>
      <w:r w:rsidRPr="00D62589">
        <w:t xml:space="preserve"> </w:t>
      </w:r>
      <w:r w:rsidRPr="00D62589">
        <w:tab/>
      </w:r>
      <w:r>
        <w:rPr>
          <w:szCs w:val="24"/>
        </w:rPr>
        <w:t xml:space="preserve">For a person, appointed to an </w:t>
      </w:r>
      <w:r w:rsidRPr="008879E2">
        <w:rPr>
          <w:color w:val="000000" w:themeColor="text1"/>
          <w:szCs w:val="24"/>
        </w:rPr>
        <w:t xml:space="preserve">office </w:t>
      </w:r>
      <w:r w:rsidR="00912464" w:rsidRPr="008879E2">
        <w:rPr>
          <w:color w:val="000000" w:themeColor="text1"/>
          <w:szCs w:val="24"/>
        </w:rPr>
        <w:t xml:space="preserve">listed </w:t>
      </w:r>
      <w:r w:rsidRPr="008879E2">
        <w:rPr>
          <w:color w:val="000000" w:themeColor="text1"/>
          <w:szCs w:val="24"/>
        </w:rPr>
        <w:t xml:space="preserve">in clause 2 of this Determination, who </w:t>
      </w:r>
      <w:r w:rsidRPr="008879E2">
        <w:rPr>
          <w:color w:val="000000" w:themeColor="text1"/>
        </w:rPr>
        <w:t xml:space="preserve">is not </w:t>
      </w:r>
      <w:r w:rsidRPr="008879E2">
        <w:rPr>
          <w:color w:val="000000" w:themeColor="text1"/>
          <w:szCs w:val="24"/>
        </w:rPr>
        <w:t>currently</w:t>
      </w:r>
      <w:r w:rsidRPr="008879E2">
        <w:rPr>
          <w:color w:val="000000" w:themeColor="text1"/>
        </w:rPr>
        <w:t xml:space="preserve"> a member of the CSS or PSS but was a member of the PSS Accumulation Plan (PSSap) until it closed to the Territory on 30 June 2006, and has maintained continuous employment with the Territory:</w:t>
      </w:r>
    </w:p>
    <w:p w14:paraId="33B9255B" w14:textId="77777777" w:rsidR="001F0EA2" w:rsidRPr="008879E2" w:rsidRDefault="001F0EA2" w:rsidP="009C2F2E">
      <w:pPr>
        <w:numPr>
          <w:ilvl w:val="2"/>
          <w:numId w:val="15"/>
        </w:numPr>
        <w:tabs>
          <w:tab w:val="clear" w:pos="720"/>
          <w:tab w:val="num" w:pos="1440"/>
        </w:tabs>
        <w:spacing w:before="120" w:after="60"/>
        <w:ind w:left="1080" w:hanging="360"/>
        <w:rPr>
          <w:color w:val="000000" w:themeColor="text1"/>
        </w:rPr>
      </w:pPr>
      <w:r w:rsidRPr="008879E2">
        <w:rPr>
          <w:color w:val="000000" w:themeColor="text1"/>
        </w:rPr>
        <w:t>the value of the employer’s superannuation contribution is a notional 16% of the base remuneration as provided in clause 2 of this Determination; and</w:t>
      </w:r>
    </w:p>
    <w:p w14:paraId="60DAD266" w14:textId="77777777" w:rsidR="001F0EA2" w:rsidRPr="008879E2" w:rsidRDefault="001F0EA2" w:rsidP="001F0EA2">
      <w:pPr>
        <w:numPr>
          <w:ilvl w:val="2"/>
          <w:numId w:val="1"/>
        </w:numPr>
        <w:tabs>
          <w:tab w:val="clear" w:pos="720"/>
          <w:tab w:val="num" w:pos="1440"/>
        </w:tabs>
        <w:spacing w:before="120" w:after="60"/>
        <w:ind w:left="1080" w:hanging="360"/>
        <w:rPr>
          <w:color w:val="000000" w:themeColor="text1"/>
        </w:rPr>
      </w:pPr>
      <w:r w:rsidRPr="008879E2">
        <w:rPr>
          <w:color w:val="000000" w:themeColor="text1"/>
        </w:rPr>
        <w:t>the employer will contribute that amount to an agreed superannuation fund nominated by the person appointed to an office in clause 2 of this Determination.</w:t>
      </w:r>
    </w:p>
    <w:p w14:paraId="45C671B0" w14:textId="3A5D61AD" w:rsidR="001F0EA2" w:rsidRPr="00E074DF" w:rsidRDefault="001F0EA2" w:rsidP="001F0EA2">
      <w:pPr>
        <w:spacing w:before="120" w:after="60"/>
        <w:ind w:left="709" w:hanging="709"/>
        <w:rPr>
          <w:color w:val="000000" w:themeColor="text1"/>
        </w:rPr>
      </w:pPr>
      <w:r w:rsidRPr="008879E2">
        <w:rPr>
          <w:color w:val="000000" w:themeColor="text1"/>
        </w:rPr>
        <w:t xml:space="preserve">5.4 </w:t>
      </w:r>
      <w:r w:rsidRPr="008879E2">
        <w:rPr>
          <w:color w:val="000000" w:themeColor="text1"/>
        </w:rPr>
        <w:tab/>
      </w:r>
      <w:r w:rsidRPr="00E074DF">
        <w:rPr>
          <w:color w:val="000000" w:themeColor="text1"/>
        </w:rPr>
        <w:t xml:space="preserve">For a person, appointed to an office </w:t>
      </w:r>
      <w:r w:rsidR="00912464" w:rsidRPr="00E074DF">
        <w:rPr>
          <w:color w:val="000000" w:themeColor="text1"/>
        </w:rPr>
        <w:t xml:space="preserve">listed </w:t>
      </w:r>
      <w:r w:rsidRPr="00E074DF">
        <w:rPr>
          <w:color w:val="000000" w:themeColor="text1"/>
        </w:rPr>
        <w:t xml:space="preserve">in clause 2 of this Determination, who is a member of any other superannuation fund, the employer’s superannuation contribution is to be made at a rate no less than the Employer Superannuation Guarantee Charge Percentage as provided by the </w:t>
      </w:r>
      <w:r w:rsidRPr="00E074DF">
        <w:rPr>
          <w:i/>
          <w:color w:val="000000" w:themeColor="text1"/>
        </w:rPr>
        <w:t>Superannuation Guarantee (Administration) Act 1992</w:t>
      </w:r>
      <w:r w:rsidR="00B353FA" w:rsidRPr="00E074DF">
        <w:rPr>
          <w:color w:val="000000" w:themeColor="text1"/>
        </w:rPr>
        <w:t xml:space="preserve"> (which at the commencement of this Determination is 9.5%)</w:t>
      </w:r>
      <w:r w:rsidRPr="00E074DF">
        <w:rPr>
          <w:color w:val="000000" w:themeColor="text1"/>
        </w:rPr>
        <w:t>.</w:t>
      </w:r>
    </w:p>
    <w:p w14:paraId="69045696" w14:textId="64F0BBF1" w:rsidR="001F0EA2" w:rsidRPr="00E074DF" w:rsidRDefault="001F0EA2" w:rsidP="001F0EA2">
      <w:pPr>
        <w:spacing w:before="120" w:after="60"/>
        <w:ind w:left="709" w:hanging="709"/>
        <w:rPr>
          <w:color w:val="000000" w:themeColor="text1"/>
        </w:rPr>
      </w:pPr>
      <w:r w:rsidRPr="00E074DF">
        <w:rPr>
          <w:color w:val="000000" w:themeColor="text1"/>
        </w:rPr>
        <w:t xml:space="preserve">5.5 </w:t>
      </w:r>
      <w:r w:rsidRPr="00E074DF">
        <w:rPr>
          <w:color w:val="000000" w:themeColor="text1"/>
        </w:rPr>
        <w:tab/>
      </w:r>
      <w:r w:rsidR="00B353FA" w:rsidRPr="00E074DF">
        <w:rPr>
          <w:color w:val="000000" w:themeColor="text1"/>
        </w:rPr>
        <w:t>The employer provides an additional employer superannuation contribution.</w:t>
      </w:r>
      <w:r w:rsidR="00BE5B36" w:rsidRPr="00E074DF">
        <w:rPr>
          <w:color w:val="000000" w:themeColor="text1"/>
        </w:rPr>
        <w:t xml:space="preserve"> The </w:t>
      </w:r>
      <w:r w:rsidR="00B353FA" w:rsidRPr="00E074DF">
        <w:rPr>
          <w:color w:val="000000" w:themeColor="text1"/>
        </w:rPr>
        <w:t xml:space="preserve">additional </w:t>
      </w:r>
      <w:r w:rsidR="00BE5B36" w:rsidRPr="00E074DF">
        <w:rPr>
          <w:color w:val="000000" w:themeColor="text1"/>
        </w:rPr>
        <w:t xml:space="preserve">employer superannuation contribution </w:t>
      </w:r>
      <w:r w:rsidR="00B353FA" w:rsidRPr="00E074DF">
        <w:rPr>
          <w:color w:val="000000" w:themeColor="text1"/>
        </w:rPr>
        <w:t xml:space="preserve">is the same rate provided under </w:t>
      </w:r>
      <w:r w:rsidR="00AE696C" w:rsidRPr="00E074DF">
        <w:rPr>
          <w:color w:val="000000" w:themeColor="text1"/>
        </w:rPr>
        <w:t xml:space="preserve">clause </w:t>
      </w:r>
      <w:r w:rsidR="00B353FA" w:rsidRPr="00E074DF">
        <w:rPr>
          <w:color w:val="000000" w:themeColor="text1"/>
        </w:rPr>
        <w:t xml:space="preserve">D7 of </w:t>
      </w:r>
      <w:r w:rsidR="00BE5B36" w:rsidRPr="00E074DF">
        <w:rPr>
          <w:color w:val="000000" w:themeColor="text1"/>
        </w:rPr>
        <w:t>the ACT Public Sector Administrative and Related Classifications Enterprise Agreement 2018-2021</w:t>
      </w:r>
      <w:r w:rsidR="00B353FA" w:rsidRPr="00E074DF">
        <w:rPr>
          <w:color w:val="000000" w:themeColor="text1"/>
        </w:rPr>
        <w:t>, as follows:</w:t>
      </w:r>
    </w:p>
    <w:p w14:paraId="1A5EC600" w14:textId="77777777" w:rsidR="00B353FA" w:rsidRPr="00E074DF" w:rsidRDefault="00B353FA" w:rsidP="00B353FA">
      <w:pPr>
        <w:tabs>
          <w:tab w:val="left" w:pos="1134"/>
        </w:tabs>
        <w:spacing w:before="120" w:after="60"/>
        <w:ind w:left="1418" w:hanging="709"/>
        <w:rPr>
          <w:color w:val="000000" w:themeColor="text1"/>
        </w:rPr>
      </w:pPr>
      <w:r w:rsidRPr="00E074DF">
        <w:rPr>
          <w:color w:val="000000" w:themeColor="text1"/>
        </w:rPr>
        <w:t>(a)</w:t>
      </w:r>
      <w:r w:rsidRPr="00E074DF">
        <w:rPr>
          <w:color w:val="000000" w:themeColor="text1"/>
        </w:rPr>
        <w:tab/>
        <w:t>From 1 July 2019: 1.50%.</w:t>
      </w:r>
    </w:p>
    <w:p w14:paraId="43E18EF8" w14:textId="40DEBF86" w:rsidR="00B353FA" w:rsidRPr="00E074DF" w:rsidRDefault="00B353FA" w:rsidP="00B353FA">
      <w:pPr>
        <w:tabs>
          <w:tab w:val="left" w:pos="1134"/>
        </w:tabs>
        <w:spacing w:before="120" w:after="60"/>
        <w:ind w:left="1418" w:hanging="709"/>
        <w:rPr>
          <w:color w:val="000000" w:themeColor="text1"/>
        </w:rPr>
      </w:pPr>
      <w:r w:rsidRPr="00E074DF">
        <w:rPr>
          <w:color w:val="000000" w:themeColor="text1"/>
        </w:rPr>
        <w:t>(b)</w:t>
      </w:r>
      <w:r w:rsidRPr="00E074DF">
        <w:rPr>
          <w:color w:val="000000" w:themeColor="text1"/>
        </w:rPr>
        <w:tab/>
        <w:t>From 1 July 2020: 2%.</w:t>
      </w:r>
    </w:p>
    <w:p w14:paraId="667A96AD" w14:textId="43898240" w:rsidR="001F0EA2" w:rsidRPr="00E074DF" w:rsidRDefault="001F0EA2" w:rsidP="001F0EA2">
      <w:pPr>
        <w:spacing w:before="120" w:after="60"/>
        <w:ind w:left="709" w:hanging="709"/>
        <w:rPr>
          <w:color w:val="000000" w:themeColor="text1"/>
        </w:rPr>
      </w:pPr>
      <w:r w:rsidRPr="00E074DF">
        <w:rPr>
          <w:color w:val="000000" w:themeColor="text1"/>
        </w:rPr>
        <w:t xml:space="preserve">5.6 </w:t>
      </w:r>
      <w:r w:rsidRPr="00E074DF">
        <w:rPr>
          <w:color w:val="000000" w:themeColor="text1"/>
        </w:rPr>
        <w:tab/>
        <w:t xml:space="preserve">In respect of a person appointed to an office </w:t>
      </w:r>
      <w:r w:rsidR="00BE5B36" w:rsidRPr="00E074DF">
        <w:rPr>
          <w:color w:val="000000" w:themeColor="text1"/>
        </w:rPr>
        <w:t xml:space="preserve">listed </w:t>
      </w:r>
      <w:r w:rsidRPr="00E074DF">
        <w:rPr>
          <w:color w:val="000000" w:themeColor="text1"/>
        </w:rPr>
        <w:t xml:space="preserve">in clause 2 of this Determination, who </w:t>
      </w:r>
      <w:r w:rsidR="009B10E0" w:rsidRPr="00E074DF">
        <w:rPr>
          <w:color w:val="000000" w:themeColor="text1"/>
        </w:rPr>
        <w:t>is</w:t>
      </w:r>
      <w:r w:rsidRPr="00E074DF">
        <w:rPr>
          <w:color w:val="000000" w:themeColor="text1"/>
        </w:rPr>
        <w:t xml:space="preserve"> not</w:t>
      </w:r>
      <w:r w:rsidR="009B10E0" w:rsidRPr="00E074DF">
        <w:rPr>
          <w:color w:val="000000" w:themeColor="text1"/>
        </w:rPr>
        <w:t xml:space="preserve"> a</w:t>
      </w:r>
      <w:r w:rsidRPr="00E074DF">
        <w:rPr>
          <w:color w:val="000000" w:themeColor="text1"/>
        </w:rPr>
        <w:t xml:space="preserve"> CSS or PSS members:</w:t>
      </w:r>
    </w:p>
    <w:p w14:paraId="07F3510E" w14:textId="77777777" w:rsidR="001F0EA2" w:rsidRPr="00E074DF" w:rsidRDefault="001F0EA2" w:rsidP="009C2F2E">
      <w:pPr>
        <w:pStyle w:val="ColorfulList-Accent11"/>
        <w:numPr>
          <w:ilvl w:val="0"/>
          <w:numId w:val="13"/>
        </w:numPr>
        <w:spacing w:before="120" w:after="60"/>
        <w:contextualSpacing w:val="0"/>
        <w:rPr>
          <w:color w:val="000000" w:themeColor="text1"/>
        </w:rPr>
      </w:pPr>
      <w:r w:rsidRPr="00E074DF">
        <w:rPr>
          <w:color w:val="000000" w:themeColor="text1"/>
        </w:rPr>
        <w:t>if the person contributes 3% or more of their base remuneration component to an agreed superannuation fund in the form of employee contributions, the Territory will contribute an additional 1% employer superannuation contribution above the amount indicated in clause 5.5.</w:t>
      </w:r>
    </w:p>
    <w:p w14:paraId="1C793046" w14:textId="7C2679CF" w:rsidR="001F0EA2" w:rsidRPr="00E074DF" w:rsidRDefault="001F0EA2" w:rsidP="001F0EA2">
      <w:pPr>
        <w:spacing w:before="120" w:after="60"/>
        <w:ind w:left="709" w:hanging="709"/>
        <w:rPr>
          <w:color w:val="000000" w:themeColor="text1"/>
        </w:rPr>
      </w:pPr>
      <w:r w:rsidRPr="00E074DF">
        <w:rPr>
          <w:color w:val="000000" w:themeColor="text1"/>
        </w:rPr>
        <w:t xml:space="preserve">5.7 </w:t>
      </w:r>
      <w:r w:rsidRPr="00E074DF">
        <w:rPr>
          <w:color w:val="000000" w:themeColor="text1"/>
        </w:rPr>
        <w:tab/>
        <w:t>The</w:t>
      </w:r>
      <w:r w:rsidRPr="00E074DF">
        <w:rPr>
          <w:color w:val="000000" w:themeColor="text1"/>
          <w:lang w:val="en-US"/>
        </w:rPr>
        <w:t xml:space="preserve"> </w:t>
      </w:r>
      <w:r w:rsidRPr="00E074DF">
        <w:rPr>
          <w:color w:val="000000" w:themeColor="text1"/>
        </w:rPr>
        <w:t xml:space="preserve">value of the employer’s superannuation contribution must not be paid in cash to </w:t>
      </w:r>
      <w:r w:rsidRPr="00E074DF">
        <w:rPr>
          <w:color w:val="000000" w:themeColor="text1"/>
          <w:szCs w:val="24"/>
        </w:rPr>
        <w:t>a person appointed to an offic</w:t>
      </w:r>
      <w:r w:rsidR="00BE5B36" w:rsidRPr="00E074DF">
        <w:rPr>
          <w:color w:val="000000" w:themeColor="text1"/>
          <w:szCs w:val="24"/>
        </w:rPr>
        <w:t xml:space="preserve">e </w:t>
      </w:r>
      <w:r w:rsidR="00BE5B36" w:rsidRPr="00E074DF">
        <w:rPr>
          <w:color w:val="000000" w:themeColor="text1"/>
        </w:rPr>
        <w:t>listed</w:t>
      </w:r>
      <w:r w:rsidRPr="00E074DF">
        <w:rPr>
          <w:color w:val="000000" w:themeColor="text1"/>
          <w:szCs w:val="24"/>
        </w:rPr>
        <w:t xml:space="preserve"> in clause 2 of this Determination</w:t>
      </w:r>
      <w:r w:rsidRPr="00E074DF">
        <w:rPr>
          <w:color w:val="000000" w:themeColor="text1"/>
        </w:rPr>
        <w:t>.</w:t>
      </w:r>
    </w:p>
    <w:p w14:paraId="703DAB05" w14:textId="77777777" w:rsidR="001F0EA2" w:rsidRDefault="001F0EA2" w:rsidP="001F0EA2">
      <w:pPr>
        <w:pStyle w:val="Heading3"/>
        <w:numPr>
          <w:ilvl w:val="0"/>
          <w:numId w:val="0"/>
        </w:numPr>
        <w:spacing w:before="120"/>
      </w:pPr>
      <w:r>
        <w:t>6.</w:t>
      </w:r>
      <w:r>
        <w:tab/>
        <w:t>Travel arrangements</w:t>
      </w:r>
    </w:p>
    <w:p w14:paraId="08D6C47F" w14:textId="77777777" w:rsidR="001F0EA2" w:rsidRPr="00EE36F5" w:rsidRDefault="001F0EA2" w:rsidP="001F0EA2">
      <w:pPr>
        <w:spacing w:before="120" w:after="60"/>
      </w:pPr>
      <w:r>
        <w:t xml:space="preserve">6.1 </w:t>
      </w:r>
      <w:r>
        <w:tab/>
      </w:r>
      <w:r w:rsidRPr="00EE36F5">
        <w:t>In this clause:</w:t>
      </w:r>
    </w:p>
    <w:p w14:paraId="323D0258"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698FCB60" w14:textId="77777777" w:rsidR="001F0EA2" w:rsidRDefault="001F0EA2" w:rsidP="001F0EA2">
      <w:pPr>
        <w:spacing w:before="120" w:after="60"/>
        <w:ind w:left="709"/>
        <w:jc w:val="both"/>
      </w:pPr>
      <w:r>
        <w:rPr>
          <w:b/>
          <w:i/>
        </w:rPr>
        <w:t>i</w:t>
      </w:r>
      <w:r w:rsidRPr="00EE36F5">
        <w:rPr>
          <w:b/>
          <w:i/>
        </w:rPr>
        <w:t>nternational travel</w:t>
      </w:r>
      <w:r>
        <w:t xml:space="preserve"> means official travel to a destination outside Australia.</w:t>
      </w:r>
    </w:p>
    <w:p w14:paraId="4C7A00CF" w14:textId="77777777" w:rsidR="001F0EA2" w:rsidRPr="00B242F4" w:rsidRDefault="001F0EA2" w:rsidP="001F0EA2">
      <w:pPr>
        <w:spacing w:before="120" w:after="60"/>
        <w:ind w:left="709"/>
        <w:jc w:val="both"/>
        <w:rPr>
          <w:color w:val="000000" w:themeColor="text1"/>
        </w:rPr>
      </w:pPr>
      <w:r>
        <w:rPr>
          <w:b/>
          <w:i/>
        </w:rPr>
        <w:t>r</w:t>
      </w:r>
      <w:r w:rsidRPr="00EE36F5">
        <w:rPr>
          <w:b/>
          <w:i/>
        </w:rPr>
        <w:t xml:space="preserve">easonable expenses </w:t>
      </w:r>
      <w:r>
        <w:t xml:space="preserve">means legitimate work-related expenses incurred while </w:t>
      </w:r>
      <w:r w:rsidRPr="00B242F4">
        <w:rPr>
          <w:color w:val="000000" w:themeColor="text1"/>
        </w:rPr>
        <w:t>conducting official business efficiently and effectively.</w:t>
      </w:r>
    </w:p>
    <w:p w14:paraId="7F7DE45B" w14:textId="77777777" w:rsidR="001F0EA2" w:rsidRPr="00B242F4" w:rsidRDefault="001F0EA2" w:rsidP="001F0EA2">
      <w:pPr>
        <w:spacing w:before="80" w:after="60"/>
        <w:ind w:left="709"/>
        <w:jc w:val="both"/>
        <w:rPr>
          <w:color w:val="000000" w:themeColor="text1"/>
        </w:rPr>
      </w:pPr>
      <w:r w:rsidRPr="00B242F4">
        <w:rPr>
          <w:b/>
          <w:i/>
          <w:color w:val="000000" w:themeColor="text1"/>
        </w:rPr>
        <w:t xml:space="preserve">traveller </w:t>
      </w:r>
      <w:r w:rsidRPr="00B242F4">
        <w:rPr>
          <w:color w:val="000000" w:themeColor="text1"/>
        </w:rPr>
        <w:t>means a person, appointed to an office that this Determination applies to, who is travelling away from their home base for official purposes.</w:t>
      </w:r>
    </w:p>
    <w:p w14:paraId="69D77AD4" w14:textId="36E5BE32" w:rsidR="0035289C" w:rsidRPr="00B242F4" w:rsidRDefault="0035289C" w:rsidP="0035289C">
      <w:pPr>
        <w:spacing w:before="80" w:after="60"/>
        <w:ind w:left="709" w:hanging="709"/>
        <w:rPr>
          <w:color w:val="000000" w:themeColor="text1"/>
        </w:rPr>
      </w:pPr>
      <w:r w:rsidRPr="00B242F4">
        <w:rPr>
          <w:color w:val="000000" w:themeColor="text1"/>
        </w:rPr>
        <w:t>6.2</w:t>
      </w:r>
      <w:r w:rsidRPr="00B242F4">
        <w:rPr>
          <w:color w:val="000000" w:themeColor="text1"/>
        </w:rPr>
        <w:tab/>
        <w:t xml:space="preserve">If a traveller is required to travel for official purposes, the employer must pay the cost of the transport and accommodation expenses outlined below. The reasonable </w:t>
      </w:r>
      <w:r w:rsidRPr="00B242F4">
        <w:rPr>
          <w:color w:val="000000" w:themeColor="text1"/>
        </w:rPr>
        <w:lastRenderedPageBreak/>
        <w:t>amounts set out in the relevant Australian Taxation Office Determinations</w:t>
      </w:r>
      <w:r w:rsidR="0079194D" w:rsidRPr="00B242F4">
        <w:rPr>
          <w:rStyle w:val="FootnoteReference"/>
          <w:rFonts w:asciiTheme="minorHAnsi" w:hAnsiTheme="minorHAnsi"/>
          <w:color w:val="000000" w:themeColor="text1"/>
        </w:rPr>
        <w:footnoteReference w:id="2"/>
      </w:r>
      <w:r w:rsidRPr="00B242F4">
        <w:rPr>
          <w:color w:val="000000" w:themeColor="text1"/>
        </w:rPr>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0D506C0A" w14:textId="77777777" w:rsidR="001F0EA2" w:rsidRPr="00EA04F4" w:rsidRDefault="001F0EA2" w:rsidP="001F0EA2">
      <w:pPr>
        <w:spacing w:before="80" w:after="60"/>
        <w:ind w:left="709" w:hanging="709"/>
      </w:pPr>
      <w:r>
        <w:t xml:space="preserve">6.3 </w:t>
      </w:r>
      <w:r>
        <w:tab/>
        <w:t>All reasonable expenses incurred by a traveller can be reimbursed. It is the intention of these travel arrangements</w:t>
      </w:r>
      <w:r>
        <w:rPr>
          <w:rFonts w:eastAsia="Calibri"/>
          <w:szCs w:val="24"/>
        </w:rPr>
        <w:t xml:space="preserve"> that no traveller who travels for official purposes should be out of pocket, however they must be reasonable expenses. </w:t>
      </w:r>
    </w:p>
    <w:p w14:paraId="614D8510" w14:textId="77777777" w:rsidR="001F0EA2" w:rsidRDefault="001F0EA2" w:rsidP="001F0EA2">
      <w:pPr>
        <w:spacing w:before="80" w:after="60"/>
        <w:ind w:left="709" w:hanging="709"/>
      </w:pPr>
      <w:r>
        <w:t xml:space="preserve">6.4 </w:t>
      </w:r>
      <w:r>
        <w:tab/>
        <w:t>All official travel is to be appropriately authorised prior to travel and must not be authorised by the traveller under any circumstances. This includes all official travel paid for privately or by the Territory.</w:t>
      </w:r>
    </w:p>
    <w:p w14:paraId="75F690F3" w14:textId="77777777" w:rsidR="001F0EA2" w:rsidRDefault="001F0EA2" w:rsidP="001F0EA2">
      <w:pPr>
        <w:spacing w:before="120" w:after="60"/>
      </w:pPr>
      <w:r>
        <w:t>6.5</w:t>
      </w:r>
      <w:r>
        <w:tab/>
        <w:t>The traveller may travel by one or more of the following:</w:t>
      </w:r>
    </w:p>
    <w:p w14:paraId="0F23A7D3" w14:textId="77777777" w:rsidR="001F0EA2" w:rsidRDefault="001F0EA2" w:rsidP="0079194D">
      <w:pPr>
        <w:numPr>
          <w:ilvl w:val="2"/>
          <w:numId w:val="4"/>
        </w:numPr>
        <w:ind w:left="1134" w:hanging="436"/>
      </w:pPr>
      <w:r>
        <w:t xml:space="preserve">commercially provided road or rail transport; </w:t>
      </w:r>
    </w:p>
    <w:p w14:paraId="65EA12B5" w14:textId="77777777" w:rsidR="001F0EA2" w:rsidRDefault="001F0EA2" w:rsidP="0079194D">
      <w:pPr>
        <w:numPr>
          <w:ilvl w:val="2"/>
          <w:numId w:val="4"/>
        </w:numPr>
        <w:ind w:left="1134" w:hanging="436"/>
      </w:pPr>
      <w:r>
        <w:t>commercially provided flights;</w:t>
      </w:r>
    </w:p>
    <w:p w14:paraId="5FDC876A" w14:textId="77777777" w:rsidR="001F0EA2" w:rsidRDefault="001F0EA2" w:rsidP="001F0EA2">
      <w:pPr>
        <w:numPr>
          <w:ilvl w:val="2"/>
          <w:numId w:val="1"/>
        </w:numPr>
        <w:tabs>
          <w:tab w:val="clear" w:pos="720"/>
          <w:tab w:val="num" w:pos="1080"/>
        </w:tabs>
        <w:ind w:left="1080" w:hanging="360"/>
      </w:pPr>
      <w:r>
        <w:t>private motor vehicle.</w:t>
      </w:r>
    </w:p>
    <w:p w14:paraId="2A43C94C" w14:textId="77777777" w:rsidR="001F0EA2" w:rsidRDefault="001F0EA2" w:rsidP="001F0EA2">
      <w:pPr>
        <w:spacing w:before="120" w:after="60"/>
      </w:pPr>
      <w:r>
        <w:t>6.6</w:t>
      </w:r>
      <w:r>
        <w:tab/>
        <w:t>Commercially provided travel should be selected on the basis of:</w:t>
      </w:r>
    </w:p>
    <w:p w14:paraId="058E2FA5" w14:textId="77777777" w:rsidR="001F0EA2" w:rsidRDefault="001F0EA2" w:rsidP="0079194D">
      <w:pPr>
        <w:numPr>
          <w:ilvl w:val="2"/>
          <w:numId w:val="17"/>
        </w:numPr>
        <w:ind w:left="1134" w:hanging="436"/>
      </w:pPr>
      <w:r>
        <w:t>what is most convenient to the relevant person; and</w:t>
      </w:r>
    </w:p>
    <w:p w14:paraId="3AC687E9" w14:textId="77777777" w:rsidR="001F0EA2" w:rsidRDefault="001F0EA2" w:rsidP="0079194D">
      <w:pPr>
        <w:numPr>
          <w:ilvl w:val="2"/>
          <w:numId w:val="17"/>
        </w:numPr>
        <w:ind w:left="1134" w:hanging="436"/>
      </w:pPr>
      <w:r>
        <w:t>seeking the most reasonable costs.</w:t>
      </w:r>
    </w:p>
    <w:p w14:paraId="6D58CD9C" w14:textId="77777777" w:rsidR="001F0EA2" w:rsidRDefault="001F0EA2" w:rsidP="001F0EA2">
      <w:pPr>
        <w:spacing w:before="120" w:after="60"/>
        <w:ind w:left="709" w:hanging="709"/>
      </w:pPr>
      <w:r>
        <w:t>6.7</w:t>
      </w:r>
      <w:r>
        <w:tab/>
        <w:t>If a traveller travels on commercially provided road or rail transport the employer will pay the fares for that travel.</w:t>
      </w:r>
    </w:p>
    <w:p w14:paraId="02D4BCF5" w14:textId="77777777" w:rsidR="001F0EA2" w:rsidRPr="001012E5" w:rsidRDefault="001F0EA2" w:rsidP="001F0EA2">
      <w:pPr>
        <w:spacing w:before="80" w:after="60"/>
        <w:ind w:left="709" w:hanging="709"/>
      </w:pPr>
      <w:r>
        <w:t xml:space="preserve">6.8 </w:t>
      </w:r>
      <w:r>
        <w:tab/>
      </w:r>
      <w:r w:rsidRPr="001012E5">
        <w:t xml:space="preserve">A traveller </w:t>
      </w:r>
      <w:r>
        <w:t>must</w:t>
      </w:r>
      <w:r w:rsidRPr="001012E5">
        <w:t xml:space="preserve"> use the Territory’s travel manager, which has been procured through a competitive process, as a preferred provider of travel and related services. The travel manager has been instructed to book all travel at the lowest logical fare.</w:t>
      </w:r>
    </w:p>
    <w:p w14:paraId="3661AA0B" w14:textId="77777777" w:rsidR="001F0EA2" w:rsidRDefault="001F0EA2" w:rsidP="001F0EA2">
      <w:pPr>
        <w:keepNext/>
        <w:keepLines/>
        <w:spacing w:before="120" w:after="60"/>
        <w:ind w:left="698" w:hanging="698"/>
      </w:pPr>
      <w:r>
        <w:t>6.9</w:t>
      </w:r>
      <w:r>
        <w:tab/>
        <w:t xml:space="preserve">If a traveller travels on commercially provided flights the employer will pay the </w:t>
      </w:r>
      <w:r>
        <w:br/>
        <w:t>fares to the following standard:</w:t>
      </w:r>
    </w:p>
    <w:p w14:paraId="5BC533D3" w14:textId="77777777" w:rsidR="001F0EA2" w:rsidRDefault="001F0EA2" w:rsidP="001F0EA2">
      <w:pPr>
        <w:keepNext/>
        <w:keepLines/>
        <w:ind w:left="1134" w:hanging="425"/>
      </w:pPr>
      <w:r>
        <w:t>a)</w:t>
      </w:r>
      <w:r>
        <w:tab/>
        <w:t xml:space="preserve">for domestic flights less than 4 hours </w:t>
      </w:r>
      <w:r w:rsidRPr="00A026E3">
        <w:rPr>
          <w:rFonts w:eastAsia="Calibri"/>
          <w:szCs w:val="24"/>
        </w:rPr>
        <w:t>— economy class;</w:t>
      </w:r>
    </w:p>
    <w:p w14:paraId="37620F9A" w14:textId="77777777" w:rsidR="001F0EA2" w:rsidRPr="00E503D2" w:rsidRDefault="001F0EA2" w:rsidP="001F0EA2">
      <w:pPr>
        <w:keepNext/>
        <w:keepLines/>
        <w:ind w:left="709"/>
      </w:pPr>
      <w:r>
        <w:t xml:space="preserve">b)    for domestic flights of 4 hours or more </w:t>
      </w:r>
      <w:r w:rsidRPr="00A026E3">
        <w:rPr>
          <w:rFonts w:eastAsia="Calibri"/>
          <w:szCs w:val="24"/>
        </w:rPr>
        <w:t>— business class;</w:t>
      </w:r>
    </w:p>
    <w:p w14:paraId="47FD5AA4" w14:textId="77777777" w:rsidR="001F0EA2" w:rsidRDefault="001F0EA2" w:rsidP="001F0EA2">
      <w:pPr>
        <w:keepNext/>
        <w:keepLines/>
        <w:ind w:left="709"/>
      </w:pPr>
      <w:r>
        <w:rPr>
          <w:rFonts w:eastAsia="Calibri"/>
          <w:szCs w:val="24"/>
        </w:rPr>
        <w:t xml:space="preserve">c)    </w:t>
      </w:r>
      <w:r w:rsidRPr="00A026E3">
        <w:rPr>
          <w:rFonts w:eastAsia="Calibri"/>
          <w:szCs w:val="24"/>
        </w:rPr>
        <w:t>for international flights — business class.</w:t>
      </w:r>
    </w:p>
    <w:p w14:paraId="5D8B1B4B" w14:textId="5ED88C2A" w:rsidR="001F0EA2" w:rsidRDefault="001F0EA2" w:rsidP="001F0EA2">
      <w:pPr>
        <w:spacing w:before="120" w:after="60"/>
        <w:ind w:left="698" w:hanging="698"/>
      </w:pPr>
      <w:r>
        <w:t>6.10</w:t>
      </w:r>
      <w:r>
        <w:tab/>
      </w:r>
      <w:r w:rsidRPr="00E074DF">
        <w:rPr>
          <w:color w:val="000000" w:themeColor="text1"/>
        </w:rPr>
        <w:t xml:space="preserve">If a traveller is approved to travel by private motor vehicle, the employer will </w:t>
      </w:r>
      <w:r w:rsidRPr="00E074DF">
        <w:rPr>
          <w:color w:val="000000" w:themeColor="text1"/>
        </w:rPr>
        <w:br/>
        <w:t xml:space="preserve">pay the owner of the vehicle an allowance calculated in accordance with the Motor Vehicle Allowance set out in the </w:t>
      </w:r>
      <w:bookmarkStart w:id="2" w:name="_Hlk23240194"/>
      <w:r w:rsidR="00BE5B36" w:rsidRPr="00E074DF">
        <w:rPr>
          <w:rFonts w:cs="Calibri"/>
          <w:bCs/>
          <w:i/>
          <w:color w:val="000000" w:themeColor="text1"/>
        </w:rPr>
        <w:t>ACT Public Sector Administrative and Related Classifications Enterprise Agreement 2018 – 2021</w:t>
      </w:r>
      <w:bookmarkEnd w:id="2"/>
      <w:r w:rsidR="00B353FA" w:rsidRPr="00E074DF">
        <w:rPr>
          <w:rFonts w:cs="Calibri"/>
          <w:bCs/>
          <w:i/>
          <w:color w:val="000000" w:themeColor="text1"/>
        </w:rPr>
        <w:t>,</w:t>
      </w:r>
      <w:r w:rsidR="00BE5B36" w:rsidRPr="00E074DF">
        <w:rPr>
          <w:rFonts w:cs="Calibri"/>
          <w:bCs/>
          <w:i/>
          <w:color w:val="000000" w:themeColor="text1"/>
        </w:rPr>
        <w:t xml:space="preserve"> </w:t>
      </w:r>
      <w:r w:rsidRPr="00E074DF">
        <w:rPr>
          <w:rFonts w:cs="Calibri"/>
          <w:bCs/>
          <w:color w:val="000000" w:themeColor="text1"/>
        </w:rPr>
        <w:t>or its replacement</w:t>
      </w:r>
      <w:r w:rsidRPr="00E074DF">
        <w:rPr>
          <w:color w:val="000000" w:themeColor="text1"/>
        </w:rPr>
        <w:t xml:space="preserve">. </w:t>
      </w:r>
    </w:p>
    <w:p w14:paraId="3CA304A8" w14:textId="77777777" w:rsidR="001F0EA2" w:rsidRDefault="001F0EA2" w:rsidP="009C2F2E">
      <w:pPr>
        <w:pStyle w:val="Heading3"/>
        <w:numPr>
          <w:ilvl w:val="0"/>
          <w:numId w:val="5"/>
        </w:numPr>
        <w:spacing w:before="120"/>
        <w:ind w:left="709" w:hanging="709"/>
      </w:pPr>
      <w:r w:rsidRPr="00EE36F5">
        <w:t>Accommodation</w:t>
      </w:r>
    </w:p>
    <w:p w14:paraId="54F676E6" w14:textId="77777777" w:rsidR="001F0EA2" w:rsidRDefault="001F0EA2" w:rsidP="009C2F2E">
      <w:pPr>
        <w:pStyle w:val="ColorfulList-Accent11"/>
        <w:numPr>
          <w:ilvl w:val="1"/>
          <w:numId w:val="5"/>
        </w:numPr>
        <w:spacing w:before="120" w:after="60"/>
        <w:ind w:left="709" w:hanging="709"/>
      </w:pPr>
      <w:r>
        <w:tab/>
        <w:t>It is standard practice that where an executive traveller must stay overnight while on official travel, the employer will pay the commercial accommodation to the following standard:</w:t>
      </w:r>
    </w:p>
    <w:p w14:paraId="0E3C358B" w14:textId="77777777" w:rsidR="001F0EA2" w:rsidRDefault="001F0EA2" w:rsidP="009C2F2E">
      <w:pPr>
        <w:numPr>
          <w:ilvl w:val="2"/>
          <w:numId w:val="5"/>
        </w:numPr>
        <w:ind w:left="1134" w:hanging="436"/>
      </w:pPr>
      <w:r>
        <w:t xml:space="preserve">for domestic accommodation </w:t>
      </w:r>
      <w:r w:rsidRPr="00A026E3">
        <w:rPr>
          <w:rFonts w:eastAsia="Calibri"/>
          <w:szCs w:val="24"/>
        </w:rPr>
        <w:t>— 4.5 stars;</w:t>
      </w:r>
    </w:p>
    <w:p w14:paraId="36DEBCC2" w14:textId="77777777" w:rsidR="001F0EA2" w:rsidRPr="00357FED" w:rsidRDefault="001F0EA2" w:rsidP="009C2F2E">
      <w:pPr>
        <w:numPr>
          <w:ilvl w:val="2"/>
          <w:numId w:val="5"/>
        </w:numPr>
        <w:ind w:left="1134" w:hanging="436"/>
      </w:pPr>
      <w:r>
        <w:t xml:space="preserve">for international accommodation </w:t>
      </w:r>
      <w:r w:rsidRPr="00A026E3">
        <w:rPr>
          <w:rFonts w:eastAsia="Calibri"/>
          <w:szCs w:val="24"/>
        </w:rPr>
        <w:t>— 4.5 stars.</w:t>
      </w:r>
    </w:p>
    <w:p w14:paraId="19FC3F36" w14:textId="77777777" w:rsidR="001F0EA2" w:rsidRDefault="001F0EA2" w:rsidP="009C2F2E">
      <w:pPr>
        <w:numPr>
          <w:ilvl w:val="1"/>
          <w:numId w:val="5"/>
        </w:numPr>
        <w:spacing w:before="120" w:after="60"/>
        <w:ind w:left="709" w:hanging="709"/>
      </w:pPr>
      <w:r>
        <w:t xml:space="preserve">The employer will pay for a traveller to stay in commercial accommodation above the 4.5 star standard and the amounts set out in the relevant Australian Taxation Office </w:t>
      </w:r>
      <w:r w:rsidRPr="00F90A96">
        <w:t>Determinations</w:t>
      </w:r>
      <w:r>
        <w:t>, if:</w:t>
      </w:r>
    </w:p>
    <w:p w14:paraId="7D11C132" w14:textId="77777777" w:rsidR="001F0EA2" w:rsidRDefault="001F0EA2" w:rsidP="009C2F2E">
      <w:pPr>
        <w:numPr>
          <w:ilvl w:val="2"/>
          <w:numId w:val="5"/>
        </w:numPr>
        <w:ind w:left="1134" w:hanging="436"/>
      </w:pPr>
      <w:r>
        <w:lastRenderedPageBreak/>
        <w:t>the cost is reasonable; and</w:t>
      </w:r>
    </w:p>
    <w:p w14:paraId="2D2D9F6A" w14:textId="77777777" w:rsidR="001F0EA2" w:rsidRDefault="001F0EA2" w:rsidP="009C2F2E">
      <w:pPr>
        <w:numPr>
          <w:ilvl w:val="2"/>
          <w:numId w:val="5"/>
        </w:numPr>
        <w:ind w:left="1134" w:hanging="436"/>
      </w:pPr>
      <w:r>
        <w:t>to do so would better enable business objectives to be met.</w:t>
      </w:r>
    </w:p>
    <w:p w14:paraId="4A496FE9" w14:textId="77777777" w:rsidR="001F0EA2" w:rsidRPr="00096BB5" w:rsidRDefault="001F0EA2" w:rsidP="001F0EA2">
      <w:pPr>
        <w:keepNext/>
        <w:autoSpaceDE w:val="0"/>
        <w:autoSpaceDN w:val="0"/>
        <w:adjustRightInd w:val="0"/>
        <w:spacing w:before="120" w:after="60"/>
        <w:ind w:left="1276" w:hanging="567"/>
        <w:rPr>
          <w:sz w:val="20"/>
          <w:lang w:val="en-US"/>
        </w:rPr>
      </w:pPr>
      <w:r>
        <w:rPr>
          <w:sz w:val="20"/>
          <w:lang w:val="en-US"/>
        </w:rPr>
        <w:t>Examples where business objectives may be better met:</w:t>
      </w:r>
    </w:p>
    <w:p w14:paraId="7E5725A4" w14:textId="77777777" w:rsidR="001F0EA2"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Pr>
          <w:sz w:val="20"/>
          <w:lang w:val="en-US"/>
        </w:rPr>
        <w:t>to allow a traveller</w:t>
      </w:r>
      <w:r w:rsidRPr="001458A6">
        <w:rPr>
          <w:sz w:val="20"/>
          <w:lang w:val="en-US"/>
        </w:rPr>
        <w:t xml:space="preserve"> </w:t>
      </w:r>
      <w:r>
        <w:rPr>
          <w:sz w:val="20"/>
          <w:lang w:val="en-US"/>
        </w:rPr>
        <w:t xml:space="preserve">to </w:t>
      </w:r>
      <w:r w:rsidRPr="001458A6">
        <w:rPr>
          <w:sz w:val="20"/>
          <w:lang w:val="en-US"/>
        </w:rPr>
        <w:t xml:space="preserve">stay in the commercial accommodation where a meeting, conference or seminar </w:t>
      </w:r>
      <w:r>
        <w:rPr>
          <w:sz w:val="20"/>
          <w:lang w:val="en-US"/>
        </w:rPr>
        <w:t xml:space="preserve">they are attending </w:t>
      </w:r>
      <w:r w:rsidRPr="001458A6">
        <w:rPr>
          <w:sz w:val="20"/>
          <w:lang w:val="en-US"/>
        </w:rPr>
        <w:t>is being held</w:t>
      </w:r>
      <w:r>
        <w:rPr>
          <w:sz w:val="20"/>
          <w:lang w:val="en-US"/>
        </w:rPr>
        <w:t>;</w:t>
      </w:r>
    </w:p>
    <w:p w14:paraId="704C0946" w14:textId="77777777" w:rsidR="001F0EA2" w:rsidRPr="007F635D" w:rsidRDefault="001F0EA2" w:rsidP="009C2F2E">
      <w:pPr>
        <w:pStyle w:val="ColorfulList-Accent11"/>
        <w:keepNext/>
        <w:numPr>
          <w:ilvl w:val="0"/>
          <w:numId w:val="2"/>
        </w:numPr>
        <w:tabs>
          <w:tab w:val="num" w:pos="1134"/>
        </w:tabs>
        <w:autoSpaceDE w:val="0"/>
        <w:autoSpaceDN w:val="0"/>
        <w:adjustRightInd w:val="0"/>
        <w:spacing w:before="120" w:after="60"/>
        <w:rPr>
          <w:sz w:val="20"/>
          <w:lang w:val="en-US"/>
        </w:rPr>
      </w:pPr>
      <w:r w:rsidRPr="007F635D">
        <w:rPr>
          <w:sz w:val="20"/>
          <w:lang w:val="en-US"/>
        </w:rPr>
        <w:t>to allow the office holder who is traveling with a Minister to stay in the same commercial accommodation as th</w:t>
      </w:r>
      <w:r>
        <w:rPr>
          <w:sz w:val="20"/>
          <w:lang w:val="en-US"/>
        </w:rPr>
        <w:t>e</w:t>
      </w:r>
      <w:r w:rsidRPr="007F635D">
        <w:rPr>
          <w:sz w:val="20"/>
          <w:lang w:val="en-US"/>
        </w:rPr>
        <w:t xml:space="preserve"> Minister</w:t>
      </w:r>
      <w:r>
        <w:rPr>
          <w:sz w:val="20"/>
          <w:lang w:val="en-US"/>
        </w:rPr>
        <w:t>,</w:t>
      </w:r>
      <w:r w:rsidRPr="007F635D">
        <w:rPr>
          <w:sz w:val="20"/>
          <w:lang w:val="en-US"/>
        </w:rPr>
        <w:t xml:space="preserve"> if the Minister is entitled to a higher standard of accommodation</w:t>
      </w:r>
      <w:r>
        <w:rPr>
          <w:sz w:val="20"/>
          <w:lang w:val="en-US"/>
        </w:rPr>
        <w:t>.</w:t>
      </w:r>
    </w:p>
    <w:p w14:paraId="300CB6A5" w14:textId="77777777" w:rsidR="001F0EA2" w:rsidRDefault="001F0EA2" w:rsidP="009C2F2E">
      <w:pPr>
        <w:pStyle w:val="Heading3"/>
        <w:numPr>
          <w:ilvl w:val="0"/>
          <w:numId w:val="5"/>
        </w:numPr>
        <w:spacing w:before="120"/>
        <w:ind w:left="709" w:hanging="709"/>
      </w:pPr>
      <w:r w:rsidRPr="00F641BC">
        <w:t>Meals</w:t>
      </w:r>
    </w:p>
    <w:p w14:paraId="72C7A74A" w14:textId="77777777" w:rsidR="001F0EA2" w:rsidRDefault="001F0EA2" w:rsidP="009C2F2E">
      <w:pPr>
        <w:numPr>
          <w:ilvl w:val="1"/>
          <w:numId w:val="5"/>
        </w:numPr>
        <w:spacing w:before="120" w:after="60"/>
        <w:ind w:left="709" w:hanging="709"/>
      </w:pPr>
      <w:r>
        <w:t>If a traveller is absent from their home base for more than ten hours while on official travel, the employer will reimburse actual, reasonable expenses for meals</w:t>
      </w:r>
      <w:r w:rsidRPr="00380585">
        <w:t xml:space="preserve"> </w:t>
      </w:r>
      <w:r>
        <w:t>up to the amounts set out in the relevant Australian Taxation Office Determinations.</w:t>
      </w:r>
    </w:p>
    <w:p w14:paraId="7069A96E" w14:textId="77777777" w:rsidR="001F0EA2" w:rsidRDefault="001F0EA2" w:rsidP="009C2F2E">
      <w:pPr>
        <w:pStyle w:val="Heading3"/>
        <w:numPr>
          <w:ilvl w:val="0"/>
          <w:numId w:val="5"/>
        </w:numPr>
        <w:spacing w:before="120"/>
        <w:ind w:left="709" w:hanging="709"/>
      </w:pPr>
      <w:r w:rsidRPr="00EE36F5">
        <w:t>Incidental expenses</w:t>
      </w:r>
    </w:p>
    <w:p w14:paraId="2095E25D" w14:textId="77777777" w:rsidR="001F0EA2" w:rsidRDefault="001F0EA2" w:rsidP="009C2F2E">
      <w:pPr>
        <w:numPr>
          <w:ilvl w:val="1"/>
          <w:numId w:val="5"/>
        </w:numPr>
        <w:spacing w:before="120" w:after="60"/>
        <w:ind w:left="709" w:hanging="709"/>
      </w:pPr>
      <w:r>
        <w:t>The employer will reimburse all reasonable expenses and legitimate expenses directly related to official travel, including</w:t>
      </w:r>
      <w:r w:rsidRPr="00C627C6">
        <w:t xml:space="preserve"> </w:t>
      </w:r>
      <w:r>
        <w:t>up to the amounts set out in the relevant Australian Taxation Office Determinations:</w:t>
      </w:r>
    </w:p>
    <w:p w14:paraId="3119D7F0" w14:textId="77777777" w:rsidR="001F0EA2" w:rsidRDefault="001F0EA2" w:rsidP="009C2F2E">
      <w:pPr>
        <w:numPr>
          <w:ilvl w:val="2"/>
          <w:numId w:val="5"/>
        </w:numPr>
        <w:ind w:left="1134" w:hanging="436"/>
      </w:pPr>
      <w:r>
        <w:t>taxi, ridesharing (such as uber) or bus fares to or from an airport; and</w:t>
      </w:r>
    </w:p>
    <w:p w14:paraId="477DD6F9" w14:textId="77777777" w:rsidR="001F0EA2" w:rsidRDefault="001F0EA2" w:rsidP="009C2F2E">
      <w:pPr>
        <w:numPr>
          <w:ilvl w:val="2"/>
          <w:numId w:val="5"/>
        </w:numPr>
        <w:ind w:left="1134" w:hanging="436"/>
      </w:pPr>
      <w:r>
        <w:t xml:space="preserve">taxi, ridesharing (such as uber) and public transport costs at a temporary location; and </w:t>
      </w:r>
    </w:p>
    <w:p w14:paraId="41ACDE8E" w14:textId="77777777" w:rsidR="001F0EA2" w:rsidRDefault="001F0EA2" w:rsidP="009C2F2E">
      <w:pPr>
        <w:numPr>
          <w:ilvl w:val="2"/>
          <w:numId w:val="5"/>
        </w:numPr>
        <w:ind w:left="1134" w:hanging="436"/>
      </w:pPr>
      <w:r>
        <w:t>airport taxes or charges.</w:t>
      </w:r>
    </w:p>
    <w:p w14:paraId="1FE2CE19" w14:textId="77777777" w:rsidR="001F0EA2" w:rsidRDefault="001F0EA2" w:rsidP="009C2F2E">
      <w:pPr>
        <w:pStyle w:val="Heading3"/>
        <w:numPr>
          <w:ilvl w:val="0"/>
          <w:numId w:val="5"/>
        </w:numPr>
        <w:spacing w:before="120"/>
        <w:ind w:left="709" w:hanging="709"/>
      </w:pPr>
      <w:r>
        <w:t>F</w:t>
      </w:r>
      <w:r w:rsidRPr="00EE36F5">
        <w:t xml:space="preserve">requent Flyer </w:t>
      </w:r>
      <w:r>
        <w:t>points</w:t>
      </w:r>
    </w:p>
    <w:p w14:paraId="5B0946C2" w14:textId="5BDA5916" w:rsidR="001F0EA2" w:rsidRPr="00380585" w:rsidRDefault="001F0EA2" w:rsidP="009C2F2E">
      <w:pPr>
        <w:pStyle w:val="ListParagraph"/>
        <w:numPr>
          <w:ilvl w:val="1"/>
          <w:numId w:val="5"/>
        </w:numPr>
        <w:spacing w:before="80" w:after="60"/>
        <w:ind w:left="709" w:hanging="709"/>
        <w:rPr>
          <w:szCs w:val="24"/>
        </w:rPr>
      </w:pPr>
      <w:r w:rsidRPr="00380585">
        <w:rPr>
          <w:sz w:val="24"/>
          <w:szCs w:val="24"/>
        </w:rPr>
        <w:t>Frequent flyer points can</w:t>
      </w:r>
      <w:r w:rsidR="009A3C46">
        <w:rPr>
          <w:sz w:val="24"/>
          <w:szCs w:val="24"/>
        </w:rPr>
        <w:t>not</w:t>
      </w:r>
      <w:r w:rsidRPr="00380585">
        <w:rPr>
          <w:sz w:val="24"/>
          <w:szCs w:val="24"/>
        </w:rPr>
        <w:t xml:space="preserve"> be accrued or used by a traveller as a result of travel and accommodation paid for by the employer for official travel.  </w:t>
      </w:r>
    </w:p>
    <w:p w14:paraId="0DEC6ABA" w14:textId="77777777" w:rsidR="001F0EA2" w:rsidRPr="00AE0FFA" w:rsidRDefault="001F0EA2" w:rsidP="009C2F2E">
      <w:pPr>
        <w:pStyle w:val="Heading3"/>
        <w:numPr>
          <w:ilvl w:val="0"/>
          <w:numId w:val="5"/>
        </w:numPr>
        <w:spacing w:before="120"/>
        <w:ind w:left="709" w:hanging="709"/>
        <w:rPr>
          <w:szCs w:val="24"/>
        </w:rPr>
      </w:pPr>
      <w:r>
        <w:rPr>
          <w:szCs w:val="24"/>
        </w:rPr>
        <w:t>Definitions</w:t>
      </w:r>
    </w:p>
    <w:p w14:paraId="41C72AC7" w14:textId="77777777" w:rsidR="001F0EA2" w:rsidRPr="009669DA" w:rsidRDefault="001F0EA2" w:rsidP="001F0EA2">
      <w:pPr>
        <w:spacing w:before="80"/>
        <w:ind w:left="709"/>
        <w:jc w:val="both"/>
      </w:pPr>
      <w:r w:rsidRPr="009669DA">
        <w:rPr>
          <w:b/>
          <w:bCs/>
          <w:i/>
          <w:iCs/>
        </w:rPr>
        <w:t>agreed superannuation fund</w:t>
      </w:r>
      <w:r w:rsidRPr="009669DA">
        <w:t xml:space="preserve"> means a fund complying with the requirements of:</w:t>
      </w:r>
    </w:p>
    <w:p w14:paraId="10C0D988" w14:textId="77777777" w:rsidR="001F0EA2" w:rsidRPr="009669DA" w:rsidRDefault="001F0EA2" w:rsidP="009C2F2E">
      <w:pPr>
        <w:numPr>
          <w:ilvl w:val="0"/>
          <w:numId w:val="14"/>
        </w:numPr>
        <w:spacing w:after="60"/>
        <w:contextualSpacing/>
        <w:jc w:val="both"/>
      </w:pPr>
      <w:r w:rsidRPr="009669DA">
        <w:t xml:space="preserve">the </w:t>
      </w:r>
      <w:r w:rsidRPr="009669DA">
        <w:rPr>
          <w:i/>
        </w:rPr>
        <w:t>Income Tax Assessment Act 1936</w:t>
      </w:r>
      <w:r w:rsidRPr="009669DA">
        <w:t xml:space="preserve"> (Cth); and</w:t>
      </w:r>
    </w:p>
    <w:p w14:paraId="5165E396" w14:textId="77777777" w:rsidR="001F0EA2" w:rsidRPr="009669DA" w:rsidRDefault="001F0EA2" w:rsidP="009C2F2E">
      <w:pPr>
        <w:numPr>
          <w:ilvl w:val="0"/>
          <w:numId w:val="14"/>
        </w:numPr>
        <w:spacing w:before="80"/>
        <w:contextualSpacing/>
        <w:jc w:val="both"/>
      </w:pPr>
      <w:r w:rsidRPr="009669DA">
        <w:t xml:space="preserve">the </w:t>
      </w:r>
      <w:r w:rsidRPr="009669DA">
        <w:rPr>
          <w:i/>
        </w:rPr>
        <w:t>Superannuation Industry (Supervision) Act 1993</w:t>
      </w:r>
      <w:r w:rsidRPr="009669DA">
        <w:t xml:space="preserve"> (Cth).</w:t>
      </w:r>
    </w:p>
    <w:p w14:paraId="4CD8DFA3" w14:textId="77777777" w:rsidR="001F0EA2" w:rsidRDefault="001F0EA2" w:rsidP="001F0EA2">
      <w:pPr>
        <w:spacing w:before="80"/>
        <w:ind w:left="709"/>
        <w:jc w:val="both"/>
      </w:pPr>
      <w:r>
        <w:rPr>
          <w:b/>
          <w:i/>
        </w:rPr>
        <w:t xml:space="preserve">CSS </w:t>
      </w:r>
      <w:r>
        <w:t xml:space="preserve">means the </w:t>
      </w:r>
      <w:r w:rsidRPr="0075183B">
        <w:t>Comm</w:t>
      </w:r>
      <w:r>
        <w:t>onwealth Superannuation Scheme.</w:t>
      </w:r>
    </w:p>
    <w:p w14:paraId="37084A81" w14:textId="77777777" w:rsidR="001F0EA2" w:rsidRDefault="001F0EA2" w:rsidP="001F0EA2">
      <w:pPr>
        <w:spacing w:before="120" w:after="60"/>
        <w:ind w:left="709"/>
        <w:jc w:val="both"/>
      </w:pPr>
      <w:r w:rsidRPr="00A026E3">
        <w:rPr>
          <w:b/>
          <w:bCs/>
          <w:i/>
        </w:rPr>
        <w:t>employer</w:t>
      </w:r>
      <w:r w:rsidRPr="00A026E3">
        <w:t xml:space="preserve"> means the Australian Capital Territory and includes any person authorised to act on behalf of the Australian Capital Territory.</w:t>
      </w:r>
    </w:p>
    <w:p w14:paraId="541F0BFB" w14:textId="77777777" w:rsidR="001F0EA2" w:rsidRDefault="001F0EA2" w:rsidP="001F0EA2">
      <w:pPr>
        <w:spacing w:before="80"/>
        <w:ind w:left="709"/>
        <w:jc w:val="both"/>
      </w:pPr>
      <w:r w:rsidRPr="009669DA">
        <w:rPr>
          <w:b/>
          <w:bCs/>
          <w:i/>
          <w:iCs/>
        </w:rPr>
        <w:t>fringe</w:t>
      </w:r>
      <w:r w:rsidRPr="009669DA">
        <w:rPr>
          <w:b/>
          <w:bCs/>
          <w:i/>
        </w:rPr>
        <w:t xml:space="preserve"> benefits tax</w:t>
      </w:r>
      <w:r w:rsidRPr="009669DA">
        <w:t xml:space="preserve"> means the tax assessed under the </w:t>
      </w:r>
      <w:r w:rsidRPr="009669DA">
        <w:rPr>
          <w:i/>
        </w:rPr>
        <w:t>Fringe Benefits Tax Assessment Act 1986</w:t>
      </w:r>
      <w:r w:rsidRPr="009669DA">
        <w:t>.</w:t>
      </w:r>
    </w:p>
    <w:p w14:paraId="461B8336" w14:textId="77777777" w:rsidR="001F0EA2" w:rsidRPr="009669DA" w:rsidRDefault="001F0EA2" w:rsidP="001F0EA2">
      <w:pPr>
        <w:spacing w:before="120" w:after="60"/>
        <w:ind w:left="709"/>
        <w:jc w:val="both"/>
      </w:pPr>
      <w:r w:rsidRPr="00F94FF8">
        <w:rPr>
          <w:b/>
          <w:i/>
        </w:rPr>
        <w:t>home base</w:t>
      </w:r>
      <w:r w:rsidRPr="001F78C0">
        <w:t xml:space="preserve"> means the </w:t>
      </w:r>
      <w:r>
        <w:t>town or city</w:t>
      </w:r>
      <w:r w:rsidRPr="001F78C0">
        <w:t xml:space="preserve"> in which the traveller’s principal place of residence is located</w:t>
      </w:r>
      <w:r>
        <w:t xml:space="preserve">. </w:t>
      </w:r>
    </w:p>
    <w:p w14:paraId="28857F18" w14:textId="77777777" w:rsidR="001F0EA2" w:rsidRDefault="001F0EA2" w:rsidP="001F0EA2">
      <w:pPr>
        <w:spacing w:before="80"/>
        <w:ind w:left="709"/>
        <w:jc w:val="both"/>
      </w:pPr>
      <w:r>
        <w:rPr>
          <w:b/>
          <w:i/>
        </w:rPr>
        <w:t>i</w:t>
      </w:r>
      <w:r w:rsidRPr="00EE36F5">
        <w:rPr>
          <w:b/>
          <w:i/>
        </w:rPr>
        <w:t>nternational travel</w:t>
      </w:r>
      <w:r>
        <w:t xml:space="preserve"> means official travel to a destination outside Australia.</w:t>
      </w:r>
    </w:p>
    <w:p w14:paraId="24697258" w14:textId="77777777" w:rsidR="001F0EA2" w:rsidRDefault="001F0EA2" w:rsidP="001F0EA2">
      <w:pPr>
        <w:spacing w:before="80"/>
        <w:ind w:left="709"/>
        <w:jc w:val="both"/>
      </w:pPr>
      <w:r>
        <w:rPr>
          <w:b/>
          <w:i/>
        </w:rPr>
        <w:t xml:space="preserve">PSS </w:t>
      </w:r>
      <w:r>
        <w:t xml:space="preserve">means the </w:t>
      </w:r>
      <w:r w:rsidRPr="0075183B">
        <w:t>Publi</w:t>
      </w:r>
      <w:r>
        <w:t>c Sector Superannuation Scheme.</w:t>
      </w:r>
    </w:p>
    <w:p w14:paraId="7C545D67" w14:textId="77777777" w:rsidR="001F0EA2" w:rsidRDefault="001F0EA2" w:rsidP="001F0EA2">
      <w:pPr>
        <w:spacing w:before="80"/>
        <w:ind w:left="709"/>
        <w:jc w:val="both"/>
      </w:pPr>
      <w:r>
        <w:rPr>
          <w:b/>
          <w:i/>
        </w:rPr>
        <w:t xml:space="preserve">PSSap </w:t>
      </w:r>
      <w:r>
        <w:t>means the PSS Accumulation Plan.</w:t>
      </w:r>
    </w:p>
    <w:p w14:paraId="4B90248A" w14:textId="77777777" w:rsidR="001F0EA2" w:rsidRDefault="001F0EA2" w:rsidP="001F0EA2">
      <w:pPr>
        <w:spacing w:before="80"/>
        <w:ind w:left="709"/>
        <w:jc w:val="both"/>
      </w:pPr>
      <w:r>
        <w:rPr>
          <w:b/>
          <w:i/>
        </w:rPr>
        <w:t>r</w:t>
      </w:r>
      <w:r w:rsidRPr="00EE36F5">
        <w:rPr>
          <w:b/>
          <w:i/>
        </w:rPr>
        <w:t xml:space="preserve">easonable expenses </w:t>
      </w:r>
      <w:r>
        <w:t>means legitimate work-related expenses incurred while conducting official business efficiently and effectively.</w:t>
      </w:r>
    </w:p>
    <w:p w14:paraId="73D6A02A" w14:textId="381B5C74" w:rsidR="001F0EA2" w:rsidRDefault="001F0EA2" w:rsidP="001F0EA2">
      <w:pPr>
        <w:spacing w:before="80" w:after="60"/>
        <w:ind w:left="709"/>
        <w:jc w:val="both"/>
      </w:pPr>
      <w:r>
        <w:rPr>
          <w:b/>
          <w:i/>
        </w:rPr>
        <w:t>traveller</w:t>
      </w:r>
      <w:r w:rsidRPr="00EE36F5">
        <w:rPr>
          <w:b/>
          <w:i/>
        </w:rPr>
        <w:t xml:space="preserve"> </w:t>
      </w:r>
      <w:r>
        <w:t xml:space="preserve">means a </w:t>
      </w:r>
      <w:r w:rsidRPr="00E074DF">
        <w:rPr>
          <w:color w:val="000000" w:themeColor="text1"/>
        </w:rPr>
        <w:t xml:space="preserve">person, </w:t>
      </w:r>
      <w:r w:rsidR="00BE5B36" w:rsidRPr="00E074DF">
        <w:rPr>
          <w:color w:val="000000" w:themeColor="text1"/>
        </w:rPr>
        <w:t>listed</w:t>
      </w:r>
      <w:r w:rsidRPr="00E074DF">
        <w:rPr>
          <w:color w:val="000000" w:themeColor="text1"/>
        </w:rPr>
        <w:t xml:space="preserve"> under clause 2 of this Determination, who is travelling away from their </w:t>
      </w:r>
      <w:r w:rsidR="0079194D" w:rsidRPr="00E074DF">
        <w:rPr>
          <w:color w:val="000000" w:themeColor="text1"/>
        </w:rPr>
        <w:t>home base</w:t>
      </w:r>
      <w:r w:rsidRPr="00E074DF">
        <w:rPr>
          <w:color w:val="000000" w:themeColor="text1"/>
        </w:rPr>
        <w:t xml:space="preserve"> for official purposes.</w:t>
      </w:r>
    </w:p>
    <w:p w14:paraId="0BCB69E4" w14:textId="77777777" w:rsidR="001F0EA2" w:rsidRPr="005E76DE" w:rsidRDefault="001F0EA2" w:rsidP="009C2F2E">
      <w:pPr>
        <w:pStyle w:val="Heading3"/>
        <w:numPr>
          <w:ilvl w:val="0"/>
          <w:numId w:val="5"/>
        </w:numPr>
        <w:spacing w:before="120"/>
        <w:ind w:left="709" w:hanging="709"/>
      </w:pPr>
      <w:r>
        <w:lastRenderedPageBreak/>
        <w:t>R</w:t>
      </w:r>
      <w:r w:rsidRPr="005E76DE">
        <w:t xml:space="preserve">evocation of </w:t>
      </w:r>
      <w:r>
        <w:t>p</w:t>
      </w:r>
      <w:r w:rsidRPr="005E76DE">
        <w:t>revious Determination</w:t>
      </w:r>
      <w:r>
        <w:t>s</w:t>
      </w:r>
    </w:p>
    <w:p w14:paraId="15AA0268" w14:textId="0720BA21" w:rsidR="001F0EA2" w:rsidRPr="008879E2" w:rsidRDefault="001F0EA2" w:rsidP="001F0EA2">
      <w:pPr>
        <w:pStyle w:val="ListParagraph"/>
        <w:spacing w:before="120" w:after="60"/>
        <w:ind w:left="709"/>
        <w:rPr>
          <w:color w:val="000000" w:themeColor="text1"/>
          <w:sz w:val="24"/>
          <w:szCs w:val="24"/>
        </w:rPr>
      </w:pPr>
      <w:r w:rsidRPr="008879E2">
        <w:rPr>
          <w:color w:val="000000" w:themeColor="text1"/>
          <w:sz w:val="24"/>
          <w:szCs w:val="24"/>
        </w:rPr>
        <w:t xml:space="preserve">Determination </w:t>
      </w:r>
      <w:r w:rsidR="004D1D65" w:rsidRPr="008879E2">
        <w:rPr>
          <w:color w:val="000000" w:themeColor="text1"/>
          <w:sz w:val="24"/>
          <w:szCs w:val="24"/>
        </w:rPr>
        <w:t>5</w:t>
      </w:r>
      <w:r w:rsidRPr="008879E2">
        <w:rPr>
          <w:color w:val="000000" w:themeColor="text1"/>
          <w:sz w:val="24"/>
          <w:szCs w:val="24"/>
        </w:rPr>
        <w:t xml:space="preserve"> of 201</w:t>
      </w:r>
      <w:r w:rsidR="003D206C" w:rsidRPr="008879E2">
        <w:rPr>
          <w:color w:val="000000" w:themeColor="text1"/>
          <w:sz w:val="24"/>
          <w:szCs w:val="24"/>
        </w:rPr>
        <w:t>9</w:t>
      </w:r>
      <w:r w:rsidR="00D568D6" w:rsidRPr="008879E2">
        <w:rPr>
          <w:color w:val="000000" w:themeColor="text1"/>
          <w:sz w:val="24"/>
          <w:szCs w:val="24"/>
        </w:rPr>
        <w:t xml:space="preserve"> </w:t>
      </w:r>
      <w:r w:rsidR="003D206C" w:rsidRPr="008879E2">
        <w:rPr>
          <w:color w:val="000000" w:themeColor="text1"/>
          <w:sz w:val="24"/>
          <w:szCs w:val="24"/>
        </w:rPr>
        <w:t>is</w:t>
      </w:r>
      <w:r w:rsidRPr="008879E2">
        <w:rPr>
          <w:color w:val="000000" w:themeColor="text1"/>
          <w:sz w:val="24"/>
          <w:szCs w:val="24"/>
        </w:rPr>
        <w:t xml:space="preserve"> revoked.</w:t>
      </w:r>
    </w:p>
    <w:tbl>
      <w:tblPr>
        <w:tblW w:w="0" w:type="auto"/>
        <w:tblLook w:val="04A0" w:firstRow="1" w:lastRow="0" w:firstColumn="1" w:lastColumn="0" w:noHBand="0" w:noVBand="1"/>
      </w:tblPr>
      <w:tblGrid>
        <w:gridCol w:w="4529"/>
        <w:gridCol w:w="4488"/>
      </w:tblGrid>
      <w:tr w:rsidR="009E7E38" w:rsidRPr="006A51E8" w14:paraId="4D89606A" w14:textId="77777777" w:rsidTr="0061381C">
        <w:tc>
          <w:tcPr>
            <w:tcW w:w="4529" w:type="dxa"/>
          </w:tcPr>
          <w:p w14:paraId="078C91D8" w14:textId="77777777" w:rsidR="009E7E38" w:rsidRPr="000F41B0" w:rsidRDefault="009E7E38" w:rsidP="0061381C">
            <w:pPr>
              <w:tabs>
                <w:tab w:val="left" w:pos="4253"/>
                <w:tab w:val="left" w:leader="dot" w:pos="8222"/>
              </w:tabs>
              <w:ind w:left="-108"/>
              <w:rPr>
                <w:szCs w:val="24"/>
              </w:rPr>
            </w:pPr>
            <w:bookmarkStart w:id="3" w:name="_GoBack"/>
            <w:bookmarkEnd w:id="3"/>
          </w:p>
          <w:p w14:paraId="36C3C7F0" w14:textId="77777777" w:rsidR="009E7E38" w:rsidRPr="000F41B0" w:rsidRDefault="009E7E38" w:rsidP="0061381C">
            <w:pPr>
              <w:tabs>
                <w:tab w:val="left" w:pos="4253"/>
                <w:tab w:val="left" w:pos="7230"/>
                <w:tab w:val="left" w:leader="dot" w:pos="8222"/>
              </w:tabs>
              <w:ind w:left="-108"/>
              <w:rPr>
                <w:szCs w:val="24"/>
              </w:rPr>
            </w:pPr>
            <w:r>
              <w:rPr>
                <w:szCs w:val="24"/>
              </w:rPr>
              <w:t>Ms Sandra Lambert AM</w:t>
            </w:r>
            <w:r w:rsidRPr="000F41B0">
              <w:rPr>
                <w:szCs w:val="24"/>
              </w:rPr>
              <w:tab/>
            </w:r>
          </w:p>
          <w:p w14:paraId="0FDA0C12" w14:textId="77777777" w:rsidR="009E7E38" w:rsidRPr="000F41B0" w:rsidRDefault="009E7E38" w:rsidP="0061381C">
            <w:pPr>
              <w:tabs>
                <w:tab w:val="left" w:pos="7230"/>
              </w:tabs>
              <w:ind w:left="-108"/>
              <w:rPr>
                <w:szCs w:val="24"/>
              </w:rPr>
            </w:pPr>
            <w:r w:rsidRPr="000F41B0">
              <w:rPr>
                <w:szCs w:val="24"/>
              </w:rPr>
              <w:t>Chair</w:t>
            </w:r>
          </w:p>
          <w:p w14:paraId="3B0DC5C3" w14:textId="77777777" w:rsidR="009E7E38" w:rsidRDefault="009E7E38" w:rsidP="0061381C">
            <w:pPr>
              <w:tabs>
                <w:tab w:val="left" w:pos="4253"/>
                <w:tab w:val="left" w:leader="dot" w:pos="8222"/>
              </w:tabs>
              <w:ind w:left="-108"/>
              <w:rPr>
                <w:szCs w:val="24"/>
              </w:rPr>
            </w:pPr>
          </w:p>
          <w:p w14:paraId="1A689EA9" w14:textId="77777777" w:rsidR="009E7E38" w:rsidRPr="000F41B0" w:rsidRDefault="009E7E38" w:rsidP="0061381C">
            <w:pPr>
              <w:tabs>
                <w:tab w:val="left" w:pos="4253"/>
                <w:tab w:val="left" w:leader="dot" w:pos="8222"/>
              </w:tabs>
              <w:spacing w:after="120"/>
              <w:ind w:left="-108"/>
              <w:rPr>
                <w:szCs w:val="24"/>
              </w:rPr>
            </w:pPr>
          </w:p>
        </w:tc>
        <w:tc>
          <w:tcPr>
            <w:tcW w:w="4488" w:type="dxa"/>
          </w:tcPr>
          <w:p w14:paraId="3A9B848C" w14:textId="77777777" w:rsidR="009E7E38" w:rsidRDefault="009E7E38" w:rsidP="0061381C">
            <w:pPr>
              <w:tabs>
                <w:tab w:val="left" w:pos="3059"/>
                <w:tab w:val="left" w:pos="7230"/>
              </w:tabs>
            </w:pPr>
          </w:p>
          <w:p w14:paraId="7B38CFD0" w14:textId="77777777" w:rsidR="009E7E38" w:rsidRPr="006A51E8" w:rsidRDefault="009E7E38" w:rsidP="0061381C">
            <w:pPr>
              <w:tabs>
                <w:tab w:val="left" w:pos="3059"/>
                <w:tab w:val="left" w:pos="7230"/>
              </w:tabs>
              <w:spacing w:before="120"/>
            </w:pPr>
            <w:r>
              <w:t xml:space="preserve"> </w:t>
            </w:r>
            <w:r>
              <w:br/>
              <w:t xml:space="preserve"> </w:t>
            </w:r>
            <w:r w:rsidRPr="00A9481F">
              <w:t>...............................</w:t>
            </w:r>
            <w:r>
              <w:t>.................</w:t>
            </w:r>
          </w:p>
        </w:tc>
      </w:tr>
      <w:tr w:rsidR="009E7E38" w:rsidRPr="006A51E8" w14:paraId="4EE10BF2" w14:textId="77777777" w:rsidTr="0061381C">
        <w:tc>
          <w:tcPr>
            <w:tcW w:w="4529" w:type="dxa"/>
          </w:tcPr>
          <w:p w14:paraId="2A44941B" w14:textId="77777777" w:rsidR="009E7E38" w:rsidRPr="000F41B0" w:rsidRDefault="009E7E38" w:rsidP="0061381C">
            <w:pPr>
              <w:tabs>
                <w:tab w:val="left" w:pos="4253"/>
                <w:tab w:val="left" w:leader="dot" w:pos="8222"/>
              </w:tabs>
              <w:ind w:left="-108"/>
              <w:rPr>
                <w:szCs w:val="24"/>
              </w:rPr>
            </w:pPr>
            <w:r>
              <w:rPr>
                <w:szCs w:val="24"/>
              </w:rPr>
              <w:t>Dr James Popple</w:t>
            </w:r>
            <w:r w:rsidRPr="000F41B0">
              <w:rPr>
                <w:szCs w:val="24"/>
              </w:rPr>
              <w:tab/>
            </w:r>
          </w:p>
          <w:p w14:paraId="23F2A23B" w14:textId="77777777" w:rsidR="009E7E38" w:rsidRPr="000F41B0" w:rsidRDefault="009E7E38" w:rsidP="0061381C">
            <w:pPr>
              <w:tabs>
                <w:tab w:val="left" w:pos="4253"/>
                <w:tab w:val="left" w:leader="dot" w:pos="8222"/>
              </w:tabs>
              <w:ind w:left="-108"/>
              <w:rPr>
                <w:szCs w:val="24"/>
              </w:rPr>
            </w:pPr>
            <w:r w:rsidRPr="000F41B0">
              <w:rPr>
                <w:szCs w:val="24"/>
              </w:rPr>
              <w:t>Member</w:t>
            </w:r>
          </w:p>
        </w:tc>
        <w:tc>
          <w:tcPr>
            <w:tcW w:w="4488" w:type="dxa"/>
          </w:tcPr>
          <w:p w14:paraId="2E4683C8" w14:textId="77777777" w:rsidR="009E7E38" w:rsidRDefault="009E7E38" w:rsidP="0061381C">
            <w:pPr>
              <w:tabs>
                <w:tab w:val="left" w:pos="3059"/>
                <w:tab w:val="left" w:pos="7230"/>
              </w:tabs>
            </w:pPr>
            <w:r w:rsidRPr="006A51E8">
              <w:t xml:space="preserve"> </w:t>
            </w:r>
          </w:p>
          <w:p w14:paraId="623A5B08" w14:textId="77777777" w:rsidR="009E7E38" w:rsidRDefault="009E7E38" w:rsidP="0061381C">
            <w:pPr>
              <w:tabs>
                <w:tab w:val="left" w:pos="3059"/>
                <w:tab w:val="left" w:pos="7230"/>
              </w:tabs>
            </w:pPr>
          </w:p>
          <w:p w14:paraId="73C337C4" w14:textId="77777777" w:rsidR="009E7E38" w:rsidRDefault="009E7E38" w:rsidP="0061381C">
            <w:pPr>
              <w:tabs>
                <w:tab w:val="left" w:pos="3059"/>
                <w:tab w:val="left" w:pos="7230"/>
              </w:tabs>
            </w:pPr>
            <w:r>
              <w:t xml:space="preserve">  </w:t>
            </w:r>
            <w:r w:rsidRPr="00A9481F">
              <w:t>..............................</w:t>
            </w:r>
            <w:r>
              <w:t>.................</w:t>
            </w:r>
          </w:p>
          <w:p w14:paraId="233F4FB1" w14:textId="77777777" w:rsidR="009E7E38" w:rsidRDefault="009E7E38" w:rsidP="0061381C">
            <w:pPr>
              <w:tabs>
                <w:tab w:val="left" w:pos="3059"/>
                <w:tab w:val="left" w:pos="7230"/>
              </w:tabs>
            </w:pPr>
          </w:p>
        </w:tc>
      </w:tr>
      <w:tr w:rsidR="009E7E38" w:rsidRPr="006A51E8" w14:paraId="1E6E8730" w14:textId="77777777" w:rsidTr="0061381C">
        <w:tc>
          <w:tcPr>
            <w:tcW w:w="4529" w:type="dxa"/>
          </w:tcPr>
          <w:p w14:paraId="2A942A2B" w14:textId="77777777" w:rsidR="009E7E38" w:rsidRPr="000F41B0" w:rsidRDefault="009E7E38" w:rsidP="0061381C">
            <w:pPr>
              <w:tabs>
                <w:tab w:val="left" w:pos="4253"/>
                <w:tab w:val="left" w:pos="7230"/>
                <w:tab w:val="left" w:leader="dot" w:pos="8222"/>
              </w:tabs>
              <w:ind w:left="-108"/>
              <w:rPr>
                <w:szCs w:val="24"/>
              </w:rPr>
            </w:pPr>
          </w:p>
          <w:p w14:paraId="112272A4" w14:textId="77777777" w:rsidR="009E7E38" w:rsidRDefault="009E7E38" w:rsidP="0061381C">
            <w:pPr>
              <w:tabs>
                <w:tab w:val="left" w:pos="4253"/>
                <w:tab w:val="left" w:pos="7230"/>
                <w:tab w:val="left" w:leader="dot" w:pos="8222"/>
              </w:tabs>
              <w:ind w:left="-108"/>
              <w:rPr>
                <w:szCs w:val="24"/>
              </w:rPr>
            </w:pPr>
          </w:p>
          <w:p w14:paraId="7194A7D6" w14:textId="77777777" w:rsidR="009E7E38" w:rsidRPr="000F41B0" w:rsidRDefault="009E7E38" w:rsidP="0061381C">
            <w:pPr>
              <w:tabs>
                <w:tab w:val="left" w:pos="4253"/>
                <w:tab w:val="left" w:leader="dot" w:pos="8222"/>
              </w:tabs>
              <w:ind w:left="-108"/>
              <w:rPr>
                <w:szCs w:val="24"/>
              </w:rPr>
            </w:pPr>
            <w:r>
              <w:rPr>
                <w:szCs w:val="24"/>
              </w:rPr>
              <w:t>Mr Dale Boucher PSM</w:t>
            </w:r>
            <w:r w:rsidRPr="000F41B0">
              <w:rPr>
                <w:szCs w:val="24"/>
              </w:rPr>
              <w:tab/>
            </w:r>
          </w:p>
          <w:p w14:paraId="6EF7A7AA" w14:textId="77777777" w:rsidR="009E7E38" w:rsidRPr="000F41B0" w:rsidRDefault="009E7E38" w:rsidP="0061381C">
            <w:pPr>
              <w:tabs>
                <w:tab w:val="left" w:pos="4253"/>
                <w:tab w:val="left" w:leader="dot" w:pos="8222"/>
              </w:tabs>
              <w:ind w:left="-108"/>
              <w:rPr>
                <w:szCs w:val="24"/>
              </w:rPr>
            </w:pPr>
            <w:r w:rsidRPr="000F41B0">
              <w:rPr>
                <w:szCs w:val="24"/>
              </w:rPr>
              <w:t xml:space="preserve">Member </w:t>
            </w:r>
          </w:p>
        </w:tc>
        <w:tc>
          <w:tcPr>
            <w:tcW w:w="4488" w:type="dxa"/>
          </w:tcPr>
          <w:p w14:paraId="2DE80664" w14:textId="77777777" w:rsidR="009E7E38" w:rsidRDefault="009E7E38" w:rsidP="0061381C">
            <w:pPr>
              <w:tabs>
                <w:tab w:val="left" w:pos="4026"/>
                <w:tab w:val="left" w:pos="7230"/>
              </w:tabs>
            </w:pPr>
          </w:p>
          <w:p w14:paraId="3949F7E1" w14:textId="77777777" w:rsidR="009E7E38" w:rsidRDefault="009E7E38" w:rsidP="0061381C">
            <w:pPr>
              <w:tabs>
                <w:tab w:val="left" w:pos="4026"/>
                <w:tab w:val="left" w:pos="7230"/>
              </w:tabs>
            </w:pPr>
          </w:p>
          <w:p w14:paraId="65B74C80" w14:textId="77777777" w:rsidR="009E7E38" w:rsidRDefault="009E7E38" w:rsidP="0061381C">
            <w:pPr>
              <w:tabs>
                <w:tab w:val="left" w:pos="4026"/>
                <w:tab w:val="left" w:pos="7230"/>
              </w:tabs>
            </w:pPr>
          </w:p>
          <w:p w14:paraId="43FEBB91" w14:textId="77777777" w:rsidR="009E7E38" w:rsidRPr="006A51E8" w:rsidRDefault="009E7E38" w:rsidP="0061381C">
            <w:pPr>
              <w:tabs>
                <w:tab w:val="left" w:pos="3059"/>
                <w:tab w:val="left" w:pos="7230"/>
              </w:tabs>
            </w:pPr>
            <w:r>
              <w:t xml:space="preserve">  </w:t>
            </w:r>
            <w:r w:rsidRPr="00A9481F">
              <w:t>...............................</w:t>
            </w:r>
            <w:r>
              <w:t>................</w:t>
            </w:r>
          </w:p>
        </w:tc>
      </w:tr>
    </w:tbl>
    <w:p w14:paraId="35A47787" w14:textId="1A8ECF06" w:rsidR="00DF2FE4" w:rsidRPr="008879E2" w:rsidRDefault="00E074DF" w:rsidP="009E7E38">
      <w:pPr>
        <w:tabs>
          <w:tab w:val="left" w:pos="4320"/>
        </w:tabs>
        <w:spacing w:before="120"/>
        <w:jc w:val="right"/>
        <w:rPr>
          <w:color w:val="000000" w:themeColor="text1"/>
        </w:rPr>
      </w:pPr>
      <w:r>
        <w:rPr>
          <w:color w:val="000000" w:themeColor="text1"/>
        </w:rPr>
        <w:t>December</w:t>
      </w:r>
      <w:r w:rsidR="003D206C" w:rsidRPr="008879E2">
        <w:rPr>
          <w:color w:val="000000" w:themeColor="text1"/>
        </w:rPr>
        <w:t xml:space="preserve"> </w:t>
      </w:r>
      <w:r w:rsidR="00DF2FE4" w:rsidRPr="008879E2">
        <w:rPr>
          <w:color w:val="000000" w:themeColor="text1"/>
        </w:rPr>
        <w:t>2019</w:t>
      </w:r>
    </w:p>
    <w:p w14:paraId="362B1A90" w14:textId="77777777" w:rsidR="001F0EA2" w:rsidRDefault="001F0EA2" w:rsidP="001F0EA2">
      <w:pPr>
        <w:tabs>
          <w:tab w:val="left" w:pos="4253"/>
          <w:tab w:val="left" w:leader="dot" w:pos="8222"/>
        </w:tabs>
        <w:rPr>
          <w:szCs w:val="24"/>
        </w:rPr>
      </w:pPr>
    </w:p>
    <w:sectPr w:rsidR="001F0EA2" w:rsidSect="00702D2D">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709" w:left="1440" w:header="720" w:footer="54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42D84" w14:textId="77777777" w:rsidR="004417CA" w:rsidRDefault="004417CA" w:rsidP="00DE7D35">
      <w:r>
        <w:separator/>
      </w:r>
    </w:p>
  </w:endnote>
  <w:endnote w:type="continuationSeparator" w:id="0">
    <w:p w14:paraId="62F49412" w14:textId="77777777" w:rsidR="004417CA" w:rsidRDefault="004417CA" w:rsidP="00DE7D35">
      <w:r>
        <w:continuationSeparator/>
      </w:r>
    </w:p>
  </w:endnote>
  <w:endnote w:type="continuationNotice" w:id="1">
    <w:p w14:paraId="72C07243" w14:textId="77777777" w:rsidR="004417CA" w:rsidRDefault="00441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FEAFA" w14:textId="77777777" w:rsidR="00EF14E4" w:rsidRDefault="00EF1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F66F5B" w14:textId="77777777" w:rsidR="00EF14E4" w:rsidRDefault="00EF14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BA4E4" w14:textId="658C5FE6" w:rsidR="00EF14E4" w:rsidRPr="00702D2D" w:rsidRDefault="00EF14E4" w:rsidP="00702D2D">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9E7E38">
      <w:rPr>
        <w:rFonts w:ascii="Calibri" w:hAnsi="Calibri"/>
        <w:noProof/>
      </w:rPr>
      <w:t>14</w:t>
    </w:r>
    <w:r w:rsidRPr="00FD7D3F">
      <w:rPr>
        <w:rFonts w:ascii="Calibri" w:hAnsi="Calibr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8CE22" w14:textId="77777777" w:rsidR="00EF14E4" w:rsidRDefault="00EF14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9673" w14:textId="77777777" w:rsidR="004417CA" w:rsidRDefault="004417CA" w:rsidP="00DE7D35">
      <w:r>
        <w:separator/>
      </w:r>
    </w:p>
  </w:footnote>
  <w:footnote w:type="continuationSeparator" w:id="0">
    <w:p w14:paraId="02759958" w14:textId="77777777" w:rsidR="004417CA" w:rsidRDefault="004417CA" w:rsidP="00DE7D35">
      <w:r>
        <w:continuationSeparator/>
      </w:r>
    </w:p>
  </w:footnote>
  <w:footnote w:type="continuationNotice" w:id="1">
    <w:p w14:paraId="3278DF7A" w14:textId="77777777" w:rsidR="004417CA" w:rsidRDefault="004417CA"/>
  </w:footnote>
  <w:footnote w:id="2">
    <w:p w14:paraId="26BE4C8C" w14:textId="6BAC25B1" w:rsidR="00EF14E4" w:rsidRPr="00901CEE" w:rsidRDefault="00EF14E4" w:rsidP="0079194D">
      <w:pPr>
        <w:pStyle w:val="FootnoteText"/>
        <w:rPr>
          <w:sz w:val="16"/>
          <w:szCs w:val="16"/>
          <w:lang w:val="en-GB"/>
        </w:rPr>
      </w:pPr>
      <w:r w:rsidRPr="00E074DF">
        <w:rPr>
          <w:rStyle w:val="FootnoteReference"/>
          <w:color w:val="000000" w:themeColor="text1"/>
          <w:sz w:val="16"/>
          <w:szCs w:val="16"/>
        </w:rPr>
        <w:footnoteRef/>
      </w:r>
      <w:r w:rsidRPr="00E074DF">
        <w:rPr>
          <w:color w:val="000000" w:themeColor="text1"/>
          <w:sz w:val="16"/>
          <w:szCs w:val="16"/>
        </w:rPr>
        <w:t xml:space="preserve"> </w:t>
      </w:r>
      <w:bookmarkStart w:id="1" w:name="_Hlk22825922"/>
      <w:r w:rsidRPr="00E074DF">
        <w:rPr>
          <w:color w:val="000000" w:themeColor="text1"/>
          <w:sz w:val="16"/>
          <w:szCs w:val="16"/>
          <w:lang w:val="en-GB"/>
        </w:rPr>
        <w:t>Australian Taxation Office – Taxation Determination 2019/11 Income tax: what are the reasonable travel and overtime meal allowance expense amounts for the 2019-20 income year?</w:t>
      </w:r>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A8ADD" w14:textId="77777777" w:rsidR="00EF14E4" w:rsidRDefault="00EF14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FF551" w14:textId="2D8ED799" w:rsidR="00EF14E4" w:rsidRDefault="00EF14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A29D" w14:textId="77777777" w:rsidR="00EF14E4" w:rsidRDefault="00EF1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28B49C4"/>
    <w:multiLevelType w:val="hybridMultilevel"/>
    <w:tmpl w:val="E3DAC692"/>
    <w:lvl w:ilvl="0" w:tplc="598CAF6C">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F0D04"/>
    <w:multiLevelType w:val="hybridMultilevel"/>
    <w:tmpl w:val="E37E1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D44E2E"/>
    <w:multiLevelType w:val="hybridMultilevel"/>
    <w:tmpl w:val="F96C2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070609"/>
    <w:multiLevelType w:val="hybridMultilevel"/>
    <w:tmpl w:val="1CAEA1A0"/>
    <w:lvl w:ilvl="0" w:tplc="B36000CE">
      <w:start w:val="5"/>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3B3DAC"/>
    <w:multiLevelType w:val="hybridMultilevel"/>
    <w:tmpl w:val="5A1098D8"/>
    <w:lvl w:ilvl="0" w:tplc="598CAF6C">
      <w:start w:val="1"/>
      <w:numFmt w:val="bullet"/>
      <w:lvlText w:val=""/>
      <w:lvlJc w:val="left"/>
      <w:pPr>
        <w:ind w:left="780" w:hanging="360"/>
      </w:pPr>
      <w:rPr>
        <w:rFonts w:ascii="Symbol" w:hAnsi="Symbol" w:hint="default"/>
        <w:color w:val="FF0000"/>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CF03A11"/>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3D913695"/>
    <w:multiLevelType w:val="hybridMultilevel"/>
    <w:tmpl w:val="4912A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6114AC6"/>
    <w:multiLevelType w:val="hybridMultilevel"/>
    <w:tmpl w:val="7D268F3E"/>
    <w:lvl w:ilvl="0" w:tplc="B1E2A312">
      <w:numFmt w:val="bullet"/>
      <w:lvlText w:val="-"/>
      <w:lvlJc w:val="left"/>
      <w:pPr>
        <w:ind w:left="720" w:hanging="360"/>
      </w:pPr>
      <w:rPr>
        <w:rFonts w:ascii="Calibri" w:eastAsia="Times New Roman" w:hAnsi="Calibri" w:cs="Times New Roman" w:hint="default"/>
        <w:b/>
        <w:color w:val="70AD4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7635E0"/>
    <w:multiLevelType w:val="hybridMultilevel"/>
    <w:tmpl w:val="13CE2FD0"/>
    <w:lvl w:ilvl="0" w:tplc="86F845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9455ED"/>
    <w:multiLevelType w:val="hybridMultilevel"/>
    <w:tmpl w:val="8E247AFA"/>
    <w:lvl w:ilvl="0" w:tplc="5800531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E61224"/>
    <w:multiLevelType w:val="multilevel"/>
    <w:tmpl w:val="E9EEEA48"/>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4496ABF"/>
    <w:multiLevelType w:val="hybridMultilevel"/>
    <w:tmpl w:val="DEB08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CF47170"/>
    <w:multiLevelType w:val="hybridMultilevel"/>
    <w:tmpl w:val="36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DE03E18"/>
    <w:multiLevelType w:val="multilevel"/>
    <w:tmpl w:val="6022551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0"/>
  </w:num>
  <w:num w:numId="3">
    <w:abstractNumId w:val="0"/>
  </w:num>
  <w:num w:numId="4">
    <w:abstractNumId w:val="16"/>
  </w:num>
  <w:num w:numId="5">
    <w:abstractNumId w:val="5"/>
  </w:num>
  <w:num w:numId="6">
    <w:abstractNumId w:val="14"/>
  </w:num>
  <w:num w:numId="7">
    <w:abstractNumId w:val="15"/>
  </w:num>
  <w:num w:numId="8">
    <w:abstractNumId w:val="18"/>
  </w:num>
  <w:num w:numId="9">
    <w:abstractNumId w:val="6"/>
  </w:num>
  <w:num w:numId="10">
    <w:abstractNumId w:val="12"/>
  </w:num>
  <w:num w:numId="11">
    <w:abstractNumId w:val="2"/>
  </w:num>
  <w:num w:numId="12">
    <w:abstractNumId w:val="3"/>
  </w:num>
  <w:num w:numId="13">
    <w:abstractNumId w:val="11"/>
  </w:num>
  <w:num w:numId="14">
    <w:abstractNumId w:val="4"/>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9"/>
  </w:num>
  <w:num w:numId="18">
    <w:abstractNumId w:val="7"/>
  </w:num>
  <w:num w:numId="19">
    <w:abstractNumId w:val="1"/>
  </w:num>
  <w:num w:numId="20">
    <w:abstractNumId w:val="8"/>
  </w:num>
  <w:num w:numId="21">
    <w:abstractNumId w:val="19"/>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6B"/>
    <w:rsid w:val="00010EC3"/>
    <w:rsid w:val="000150BE"/>
    <w:rsid w:val="000164D9"/>
    <w:rsid w:val="000229D3"/>
    <w:rsid w:val="00023A61"/>
    <w:rsid w:val="00025A53"/>
    <w:rsid w:val="0003415E"/>
    <w:rsid w:val="00034932"/>
    <w:rsid w:val="00043657"/>
    <w:rsid w:val="000452AB"/>
    <w:rsid w:val="00046C9C"/>
    <w:rsid w:val="0005071C"/>
    <w:rsid w:val="0006071F"/>
    <w:rsid w:val="000704BA"/>
    <w:rsid w:val="000718FC"/>
    <w:rsid w:val="00093BF4"/>
    <w:rsid w:val="00096697"/>
    <w:rsid w:val="000A2860"/>
    <w:rsid w:val="000A55D7"/>
    <w:rsid w:val="000B2C06"/>
    <w:rsid w:val="000B4828"/>
    <w:rsid w:val="000B5DF2"/>
    <w:rsid w:val="000C235A"/>
    <w:rsid w:val="000C53D9"/>
    <w:rsid w:val="000D360F"/>
    <w:rsid w:val="000D4C69"/>
    <w:rsid w:val="000E3982"/>
    <w:rsid w:val="000E606D"/>
    <w:rsid w:val="000E65E0"/>
    <w:rsid w:val="000E6E31"/>
    <w:rsid w:val="000F13B2"/>
    <w:rsid w:val="000F6016"/>
    <w:rsid w:val="000F63B9"/>
    <w:rsid w:val="000F6615"/>
    <w:rsid w:val="000F6E40"/>
    <w:rsid w:val="00100E89"/>
    <w:rsid w:val="001026C3"/>
    <w:rsid w:val="0010591C"/>
    <w:rsid w:val="00105CBE"/>
    <w:rsid w:val="001119B8"/>
    <w:rsid w:val="001137B5"/>
    <w:rsid w:val="001142FD"/>
    <w:rsid w:val="00116DF4"/>
    <w:rsid w:val="00116F63"/>
    <w:rsid w:val="001179AA"/>
    <w:rsid w:val="001253CC"/>
    <w:rsid w:val="0013322C"/>
    <w:rsid w:val="0013406B"/>
    <w:rsid w:val="001409BE"/>
    <w:rsid w:val="001417D8"/>
    <w:rsid w:val="001526C0"/>
    <w:rsid w:val="00156FFC"/>
    <w:rsid w:val="00165F53"/>
    <w:rsid w:val="001672DB"/>
    <w:rsid w:val="0017001A"/>
    <w:rsid w:val="00172F92"/>
    <w:rsid w:val="0017568D"/>
    <w:rsid w:val="0017754A"/>
    <w:rsid w:val="00182AA3"/>
    <w:rsid w:val="00184CF6"/>
    <w:rsid w:val="00187029"/>
    <w:rsid w:val="00191808"/>
    <w:rsid w:val="001A119E"/>
    <w:rsid w:val="001A2790"/>
    <w:rsid w:val="001A41D1"/>
    <w:rsid w:val="001B0784"/>
    <w:rsid w:val="001B5D52"/>
    <w:rsid w:val="001B7670"/>
    <w:rsid w:val="001C6DCE"/>
    <w:rsid w:val="001D466F"/>
    <w:rsid w:val="001D6B2D"/>
    <w:rsid w:val="001F0EA2"/>
    <w:rsid w:val="001F610C"/>
    <w:rsid w:val="001F733D"/>
    <w:rsid w:val="001F7515"/>
    <w:rsid w:val="001F7516"/>
    <w:rsid w:val="0020397B"/>
    <w:rsid w:val="00204FD9"/>
    <w:rsid w:val="002074A8"/>
    <w:rsid w:val="00211B7A"/>
    <w:rsid w:val="00212202"/>
    <w:rsid w:val="00215327"/>
    <w:rsid w:val="002173F8"/>
    <w:rsid w:val="00222405"/>
    <w:rsid w:val="00224428"/>
    <w:rsid w:val="00224E69"/>
    <w:rsid w:val="00226DD6"/>
    <w:rsid w:val="00230441"/>
    <w:rsid w:val="0023156B"/>
    <w:rsid w:val="00236FE8"/>
    <w:rsid w:val="00241D99"/>
    <w:rsid w:val="00242DC0"/>
    <w:rsid w:val="00247031"/>
    <w:rsid w:val="00247F6E"/>
    <w:rsid w:val="00254641"/>
    <w:rsid w:val="0025648E"/>
    <w:rsid w:val="0025728A"/>
    <w:rsid w:val="002602A2"/>
    <w:rsid w:val="00260E45"/>
    <w:rsid w:val="00270893"/>
    <w:rsid w:val="00271336"/>
    <w:rsid w:val="002721E1"/>
    <w:rsid w:val="00275BA0"/>
    <w:rsid w:val="00276328"/>
    <w:rsid w:val="00276385"/>
    <w:rsid w:val="002829B2"/>
    <w:rsid w:val="0028512F"/>
    <w:rsid w:val="002932BB"/>
    <w:rsid w:val="00293A36"/>
    <w:rsid w:val="00293DF7"/>
    <w:rsid w:val="00294FE9"/>
    <w:rsid w:val="002A370C"/>
    <w:rsid w:val="002A4F58"/>
    <w:rsid w:val="002A7012"/>
    <w:rsid w:val="002B2EED"/>
    <w:rsid w:val="002B33A0"/>
    <w:rsid w:val="002B5966"/>
    <w:rsid w:val="002B6D40"/>
    <w:rsid w:val="002C419F"/>
    <w:rsid w:val="002C658A"/>
    <w:rsid w:val="002D1042"/>
    <w:rsid w:val="002D1CE7"/>
    <w:rsid w:val="002E31AC"/>
    <w:rsid w:val="002F0FAE"/>
    <w:rsid w:val="002F3C76"/>
    <w:rsid w:val="002F3CB8"/>
    <w:rsid w:val="002F6102"/>
    <w:rsid w:val="002F6ACB"/>
    <w:rsid w:val="002F752E"/>
    <w:rsid w:val="0031059C"/>
    <w:rsid w:val="00312308"/>
    <w:rsid w:val="003240FF"/>
    <w:rsid w:val="00324AD4"/>
    <w:rsid w:val="0032775F"/>
    <w:rsid w:val="00327C01"/>
    <w:rsid w:val="003306B6"/>
    <w:rsid w:val="00337646"/>
    <w:rsid w:val="00342102"/>
    <w:rsid w:val="0034228F"/>
    <w:rsid w:val="0034324C"/>
    <w:rsid w:val="003438A7"/>
    <w:rsid w:val="0034418F"/>
    <w:rsid w:val="00344857"/>
    <w:rsid w:val="00351FF2"/>
    <w:rsid w:val="0035289C"/>
    <w:rsid w:val="00352C36"/>
    <w:rsid w:val="00355254"/>
    <w:rsid w:val="003578E3"/>
    <w:rsid w:val="00357E75"/>
    <w:rsid w:val="00357FED"/>
    <w:rsid w:val="0036043F"/>
    <w:rsid w:val="0036334B"/>
    <w:rsid w:val="0037116A"/>
    <w:rsid w:val="00375DCF"/>
    <w:rsid w:val="00376D1F"/>
    <w:rsid w:val="00380585"/>
    <w:rsid w:val="003819D5"/>
    <w:rsid w:val="00381CD8"/>
    <w:rsid w:val="003834D6"/>
    <w:rsid w:val="0038578C"/>
    <w:rsid w:val="00386AE0"/>
    <w:rsid w:val="003906A5"/>
    <w:rsid w:val="0039283D"/>
    <w:rsid w:val="00393BDD"/>
    <w:rsid w:val="00394720"/>
    <w:rsid w:val="00394756"/>
    <w:rsid w:val="003A279C"/>
    <w:rsid w:val="003A356F"/>
    <w:rsid w:val="003A653D"/>
    <w:rsid w:val="003C22BB"/>
    <w:rsid w:val="003C2AFA"/>
    <w:rsid w:val="003C3156"/>
    <w:rsid w:val="003C5292"/>
    <w:rsid w:val="003C5C6B"/>
    <w:rsid w:val="003D1545"/>
    <w:rsid w:val="003D206C"/>
    <w:rsid w:val="003D595F"/>
    <w:rsid w:val="003E16A3"/>
    <w:rsid w:val="003E593C"/>
    <w:rsid w:val="003E61EE"/>
    <w:rsid w:val="003E64A8"/>
    <w:rsid w:val="003E6E58"/>
    <w:rsid w:val="004000DB"/>
    <w:rsid w:val="004079D4"/>
    <w:rsid w:val="00420A17"/>
    <w:rsid w:val="004255ED"/>
    <w:rsid w:val="0043677A"/>
    <w:rsid w:val="004417CA"/>
    <w:rsid w:val="00444EEB"/>
    <w:rsid w:val="004538A5"/>
    <w:rsid w:val="00453A44"/>
    <w:rsid w:val="004545CA"/>
    <w:rsid w:val="00456A3B"/>
    <w:rsid w:val="004641DC"/>
    <w:rsid w:val="00471065"/>
    <w:rsid w:val="0048374B"/>
    <w:rsid w:val="00483FB9"/>
    <w:rsid w:val="00490F77"/>
    <w:rsid w:val="004A5512"/>
    <w:rsid w:val="004A79EE"/>
    <w:rsid w:val="004B6566"/>
    <w:rsid w:val="004C3EAE"/>
    <w:rsid w:val="004C3F50"/>
    <w:rsid w:val="004C65FD"/>
    <w:rsid w:val="004C66BC"/>
    <w:rsid w:val="004D1D65"/>
    <w:rsid w:val="004D1E14"/>
    <w:rsid w:val="004E0627"/>
    <w:rsid w:val="004E1D5B"/>
    <w:rsid w:val="004E3C0A"/>
    <w:rsid w:val="004F3E40"/>
    <w:rsid w:val="004F72EE"/>
    <w:rsid w:val="004F74D5"/>
    <w:rsid w:val="004F75FD"/>
    <w:rsid w:val="00501164"/>
    <w:rsid w:val="005124B6"/>
    <w:rsid w:val="00514E7E"/>
    <w:rsid w:val="0052222A"/>
    <w:rsid w:val="00525D6A"/>
    <w:rsid w:val="00537FC5"/>
    <w:rsid w:val="00543559"/>
    <w:rsid w:val="005451D4"/>
    <w:rsid w:val="00546FDC"/>
    <w:rsid w:val="00547260"/>
    <w:rsid w:val="005547F1"/>
    <w:rsid w:val="005609B0"/>
    <w:rsid w:val="00561734"/>
    <w:rsid w:val="00562105"/>
    <w:rsid w:val="00562C20"/>
    <w:rsid w:val="005652A8"/>
    <w:rsid w:val="005665CC"/>
    <w:rsid w:val="005735FB"/>
    <w:rsid w:val="00583062"/>
    <w:rsid w:val="005917CE"/>
    <w:rsid w:val="00595E95"/>
    <w:rsid w:val="00597D49"/>
    <w:rsid w:val="005A192F"/>
    <w:rsid w:val="005A43CE"/>
    <w:rsid w:val="005B6ADD"/>
    <w:rsid w:val="005C15D6"/>
    <w:rsid w:val="005C3146"/>
    <w:rsid w:val="005C628D"/>
    <w:rsid w:val="005D12E8"/>
    <w:rsid w:val="005D693C"/>
    <w:rsid w:val="005D6942"/>
    <w:rsid w:val="005E3C83"/>
    <w:rsid w:val="005E4C73"/>
    <w:rsid w:val="005E68DA"/>
    <w:rsid w:val="005F1678"/>
    <w:rsid w:val="005F219B"/>
    <w:rsid w:val="005F65ED"/>
    <w:rsid w:val="00600B98"/>
    <w:rsid w:val="00603253"/>
    <w:rsid w:val="006043BA"/>
    <w:rsid w:val="006056D5"/>
    <w:rsid w:val="00605F3D"/>
    <w:rsid w:val="006128FA"/>
    <w:rsid w:val="00622A9B"/>
    <w:rsid w:val="00626F76"/>
    <w:rsid w:val="00626FCD"/>
    <w:rsid w:val="006273DD"/>
    <w:rsid w:val="00630B0E"/>
    <w:rsid w:val="006347CE"/>
    <w:rsid w:val="00643D5E"/>
    <w:rsid w:val="006446AC"/>
    <w:rsid w:val="00646316"/>
    <w:rsid w:val="00646D56"/>
    <w:rsid w:val="00647565"/>
    <w:rsid w:val="00653DBE"/>
    <w:rsid w:val="00657AA3"/>
    <w:rsid w:val="00663B55"/>
    <w:rsid w:val="0066407C"/>
    <w:rsid w:val="006832C5"/>
    <w:rsid w:val="00685696"/>
    <w:rsid w:val="00690F74"/>
    <w:rsid w:val="00693B1E"/>
    <w:rsid w:val="006940C8"/>
    <w:rsid w:val="00694C2E"/>
    <w:rsid w:val="006952B7"/>
    <w:rsid w:val="006A4BE0"/>
    <w:rsid w:val="006A5444"/>
    <w:rsid w:val="006C32D4"/>
    <w:rsid w:val="006C384A"/>
    <w:rsid w:val="006C7BE2"/>
    <w:rsid w:val="006D3724"/>
    <w:rsid w:val="006D37CB"/>
    <w:rsid w:val="006D3DF5"/>
    <w:rsid w:val="006E0AA7"/>
    <w:rsid w:val="006E1209"/>
    <w:rsid w:val="006F53F2"/>
    <w:rsid w:val="006F5963"/>
    <w:rsid w:val="006F631C"/>
    <w:rsid w:val="006F73C2"/>
    <w:rsid w:val="006F7634"/>
    <w:rsid w:val="00702660"/>
    <w:rsid w:val="00702D2D"/>
    <w:rsid w:val="007102A9"/>
    <w:rsid w:val="00710FFB"/>
    <w:rsid w:val="00722C91"/>
    <w:rsid w:val="00724712"/>
    <w:rsid w:val="00724CAA"/>
    <w:rsid w:val="00725FF3"/>
    <w:rsid w:val="007377A6"/>
    <w:rsid w:val="00743E35"/>
    <w:rsid w:val="00752E8A"/>
    <w:rsid w:val="00754756"/>
    <w:rsid w:val="00757ED0"/>
    <w:rsid w:val="00762CD9"/>
    <w:rsid w:val="0077128F"/>
    <w:rsid w:val="00775B4B"/>
    <w:rsid w:val="00776B32"/>
    <w:rsid w:val="007810FF"/>
    <w:rsid w:val="0079194D"/>
    <w:rsid w:val="00793B65"/>
    <w:rsid w:val="0079572D"/>
    <w:rsid w:val="007C16C1"/>
    <w:rsid w:val="007E48DA"/>
    <w:rsid w:val="007E4C79"/>
    <w:rsid w:val="007E64D2"/>
    <w:rsid w:val="007E7C34"/>
    <w:rsid w:val="007F635D"/>
    <w:rsid w:val="007F7689"/>
    <w:rsid w:val="008039DD"/>
    <w:rsid w:val="008109D6"/>
    <w:rsid w:val="0081147F"/>
    <w:rsid w:val="008118E1"/>
    <w:rsid w:val="00813DE0"/>
    <w:rsid w:val="0081472D"/>
    <w:rsid w:val="00816E2E"/>
    <w:rsid w:val="008204EE"/>
    <w:rsid w:val="008306EE"/>
    <w:rsid w:val="00834598"/>
    <w:rsid w:val="008358EE"/>
    <w:rsid w:val="00846EBB"/>
    <w:rsid w:val="00846EC5"/>
    <w:rsid w:val="008622BA"/>
    <w:rsid w:val="00863902"/>
    <w:rsid w:val="00863F61"/>
    <w:rsid w:val="00866D20"/>
    <w:rsid w:val="00867590"/>
    <w:rsid w:val="00867F8E"/>
    <w:rsid w:val="00873A14"/>
    <w:rsid w:val="0087410E"/>
    <w:rsid w:val="00875B2F"/>
    <w:rsid w:val="008848EF"/>
    <w:rsid w:val="008863DB"/>
    <w:rsid w:val="0088734C"/>
    <w:rsid w:val="008874D2"/>
    <w:rsid w:val="008879E2"/>
    <w:rsid w:val="00892421"/>
    <w:rsid w:val="00895708"/>
    <w:rsid w:val="00897179"/>
    <w:rsid w:val="008A223F"/>
    <w:rsid w:val="008A3A7C"/>
    <w:rsid w:val="008A7264"/>
    <w:rsid w:val="008B2F59"/>
    <w:rsid w:val="008C14FF"/>
    <w:rsid w:val="008E0D37"/>
    <w:rsid w:val="008E3A25"/>
    <w:rsid w:val="008E5B43"/>
    <w:rsid w:val="008E6C0F"/>
    <w:rsid w:val="008F1208"/>
    <w:rsid w:val="008F33DD"/>
    <w:rsid w:val="008F404C"/>
    <w:rsid w:val="008F7566"/>
    <w:rsid w:val="008F77BD"/>
    <w:rsid w:val="00900C83"/>
    <w:rsid w:val="009022E2"/>
    <w:rsid w:val="009110F7"/>
    <w:rsid w:val="00912464"/>
    <w:rsid w:val="00914FD3"/>
    <w:rsid w:val="0094179B"/>
    <w:rsid w:val="0096027D"/>
    <w:rsid w:val="00961737"/>
    <w:rsid w:val="00962328"/>
    <w:rsid w:val="00964FCF"/>
    <w:rsid w:val="0096696F"/>
    <w:rsid w:val="009673CC"/>
    <w:rsid w:val="009703FD"/>
    <w:rsid w:val="00974E09"/>
    <w:rsid w:val="00975F2B"/>
    <w:rsid w:val="00981ECE"/>
    <w:rsid w:val="00984405"/>
    <w:rsid w:val="00991146"/>
    <w:rsid w:val="009956FB"/>
    <w:rsid w:val="00997BA5"/>
    <w:rsid w:val="009A313C"/>
    <w:rsid w:val="009A3C46"/>
    <w:rsid w:val="009A43D9"/>
    <w:rsid w:val="009A445B"/>
    <w:rsid w:val="009A7D0F"/>
    <w:rsid w:val="009B10E0"/>
    <w:rsid w:val="009B1214"/>
    <w:rsid w:val="009B2361"/>
    <w:rsid w:val="009B5F0B"/>
    <w:rsid w:val="009B6858"/>
    <w:rsid w:val="009B7B7C"/>
    <w:rsid w:val="009C1E47"/>
    <w:rsid w:val="009C2F2E"/>
    <w:rsid w:val="009D5789"/>
    <w:rsid w:val="009D64D9"/>
    <w:rsid w:val="009D7737"/>
    <w:rsid w:val="009E484F"/>
    <w:rsid w:val="009E59F1"/>
    <w:rsid w:val="009E7630"/>
    <w:rsid w:val="009E7A0D"/>
    <w:rsid w:val="009E7E38"/>
    <w:rsid w:val="009F36AD"/>
    <w:rsid w:val="00A011B7"/>
    <w:rsid w:val="00A017A1"/>
    <w:rsid w:val="00A026E3"/>
    <w:rsid w:val="00A03046"/>
    <w:rsid w:val="00A05615"/>
    <w:rsid w:val="00A05A53"/>
    <w:rsid w:val="00A07DEA"/>
    <w:rsid w:val="00A1093A"/>
    <w:rsid w:val="00A1151D"/>
    <w:rsid w:val="00A14DB6"/>
    <w:rsid w:val="00A24B17"/>
    <w:rsid w:val="00A31967"/>
    <w:rsid w:val="00A323D0"/>
    <w:rsid w:val="00A33D75"/>
    <w:rsid w:val="00A358AA"/>
    <w:rsid w:val="00A41965"/>
    <w:rsid w:val="00A424A7"/>
    <w:rsid w:val="00A436F6"/>
    <w:rsid w:val="00A46336"/>
    <w:rsid w:val="00A504A9"/>
    <w:rsid w:val="00A53528"/>
    <w:rsid w:val="00A605D5"/>
    <w:rsid w:val="00A63641"/>
    <w:rsid w:val="00A7438D"/>
    <w:rsid w:val="00A76999"/>
    <w:rsid w:val="00A76E5C"/>
    <w:rsid w:val="00A80327"/>
    <w:rsid w:val="00A80A26"/>
    <w:rsid w:val="00A830FE"/>
    <w:rsid w:val="00A85A8C"/>
    <w:rsid w:val="00A872A8"/>
    <w:rsid w:val="00A90FBE"/>
    <w:rsid w:val="00A942CB"/>
    <w:rsid w:val="00A94328"/>
    <w:rsid w:val="00A95801"/>
    <w:rsid w:val="00AA02D4"/>
    <w:rsid w:val="00AA1466"/>
    <w:rsid w:val="00AA2886"/>
    <w:rsid w:val="00AA35D7"/>
    <w:rsid w:val="00AA3F5C"/>
    <w:rsid w:val="00AA64D6"/>
    <w:rsid w:val="00AA6D0E"/>
    <w:rsid w:val="00AB5FCD"/>
    <w:rsid w:val="00AC52CF"/>
    <w:rsid w:val="00AD0145"/>
    <w:rsid w:val="00AD44CA"/>
    <w:rsid w:val="00AE0FFA"/>
    <w:rsid w:val="00AE5DD1"/>
    <w:rsid w:val="00AE696C"/>
    <w:rsid w:val="00AE7595"/>
    <w:rsid w:val="00AF19B9"/>
    <w:rsid w:val="00AF5B12"/>
    <w:rsid w:val="00AF7D38"/>
    <w:rsid w:val="00B00E48"/>
    <w:rsid w:val="00B03A31"/>
    <w:rsid w:val="00B04093"/>
    <w:rsid w:val="00B059F1"/>
    <w:rsid w:val="00B11D10"/>
    <w:rsid w:val="00B121E8"/>
    <w:rsid w:val="00B154A4"/>
    <w:rsid w:val="00B242F4"/>
    <w:rsid w:val="00B25071"/>
    <w:rsid w:val="00B26252"/>
    <w:rsid w:val="00B331A6"/>
    <w:rsid w:val="00B351F2"/>
    <w:rsid w:val="00B353FA"/>
    <w:rsid w:val="00B44EA5"/>
    <w:rsid w:val="00B45C09"/>
    <w:rsid w:val="00B51348"/>
    <w:rsid w:val="00B515EA"/>
    <w:rsid w:val="00B5746C"/>
    <w:rsid w:val="00B60506"/>
    <w:rsid w:val="00B64415"/>
    <w:rsid w:val="00B67387"/>
    <w:rsid w:val="00B77238"/>
    <w:rsid w:val="00B77CBA"/>
    <w:rsid w:val="00B80F13"/>
    <w:rsid w:val="00B830B0"/>
    <w:rsid w:val="00B87B1B"/>
    <w:rsid w:val="00B91FD3"/>
    <w:rsid w:val="00B94655"/>
    <w:rsid w:val="00B97942"/>
    <w:rsid w:val="00BA75EE"/>
    <w:rsid w:val="00BB0383"/>
    <w:rsid w:val="00BB0E2D"/>
    <w:rsid w:val="00BC329A"/>
    <w:rsid w:val="00BC540D"/>
    <w:rsid w:val="00BC60C7"/>
    <w:rsid w:val="00BD0A11"/>
    <w:rsid w:val="00BD0D13"/>
    <w:rsid w:val="00BD10EB"/>
    <w:rsid w:val="00BD4D21"/>
    <w:rsid w:val="00BD71C6"/>
    <w:rsid w:val="00BD739F"/>
    <w:rsid w:val="00BD7CC8"/>
    <w:rsid w:val="00BE04F1"/>
    <w:rsid w:val="00BE43F2"/>
    <w:rsid w:val="00BE5B36"/>
    <w:rsid w:val="00BE7B5C"/>
    <w:rsid w:val="00BF2D0A"/>
    <w:rsid w:val="00BF2F01"/>
    <w:rsid w:val="00BF3AD3"/>
    <w:rsid w:val="00BF690C"/>
    <w:rsid w:val="00C0173E"/>
    <w:rsid w:val="00C02F35"/>
    <w:rsid w:val="00C111F3"/>
    <w:rsid w:val="00C1238C"/>
    <w:rsid w:val="00C1418F"/>
    <w:rsid w:val="00C16FBA"/>
    <w:rsid w:val="00C20189"/>
    <w:rsid w:val="00C24102"/>
    <w:rsid w:val="00C27D7C"/>
    <w:rsid w:val="00C303F5"/>
    <w:rsid w:val="00C30A32"/>
    <w:rsid w:val="00C312EA"/>
    <w:rsid w:val="00C4163B"/>
    <w:rsid w:val="00C45DD2"/>
    <w:rsid w:val="00C50EE1"/>
    <w:rsid w:val="00C553A2"/>
    <w:rsid w:val="00C56C5B"/>
    <w:rsid w:val="00C57DEF"/>
    <w:rsid w:val="00C612F3"/>
    <w:rsid w:val="00C63E94"/>
    <w:rsid w:val="00C64B7C"/>
    <w:rsid w:val="00C726C6"/>
    <w:rsid w:val="00C73623"/>
    <w:rsid w:val="00C73643"/>
    <w:rsid w:val="00C74C20"/>
    <w:rsid w:val="00C75094"/>
    <w:rsid w:val="00C77C5F"/>
    <w:rsid w:val="00C81493"/>
    <w:rsid w:val="00C84A85"/>
    <w:rsid w:val="00C91097"/>
    <w:rsid w:val="00C92F26"/>
    <w:rsid w:val="00C953AA"/>
    <w:rsid w:val="00C953C3"/>
    <w:rsid w:val="00C955B1"/>
    <w:rsid w:val="00C97110"/>
    <w:rsid w:val="00CB04DF"/>
    <w:rsid w:val="00CC08A8"/>
    <w:rsid w:val="00CC6AC9"/>
    <w:rsid w:val="00CC6DDA"/>
    <w:rsid w:val="00CD176E"/>
    <w:rsid w:val="00CD4CF7"/>
    <w:rsid w:val="00CD711A"/>
    <w:rsid w:val="00CE14AA"/>
    <w:rsid w:val="00CE1EFA"/>
    <w:rsid w:val="00CE3130"/>
    <w:rsid w:val="00CE3A03"/>
    <w:rsid w:val="00CE5479"/>
    <w:rsid w:val="00CF13DD"/>
    <w:rsid w:val="00CF4AB4"/>
    <w:rsid w:val="00D01FC9"/>
    <w:rsid w:val="00D06B77"/>
    <w:rsid w:val="00D12B22"/>
    <w:rsid w:val="00D13220"/>
    <w:rsid w:val="00D20A9E"/>
    <w:rsid w:val="00D21AF1"/>
    <w:rsid w:val="00D22079"/>
    <w:rsid w:val="00D275FF"/>
    <w:rsid w:val="00D321EC"/>
    <w:rsid w:val="00D32B1E"/>
    <w:rsid w:val="00D33B6F"/>
    <w:rsid w:val="00D35F5F"/>
    <w:rsid w:val="00D365DD"/>
    <w:rsid w:val="00D45ED3"/>
    <w:rsid w:val="00D542CD"/>
    <w:rsid w:val="00D568D6"/>
    <w:rsid w:val="00D62589"/>
    <w:rsid w:val="00D71B40"/>
    <w:rsid w:val="00D72E84"/>
    <w:rsid w:val="00D774E4"/>
    <w:rsid w:val="00D81DFD"/>
    <w:rsid w:val="00D83CE5"/>
    <w:rsid w:val="00D94277"/>
    <w:rsid w:val="00D964AD"/>
    <w:rsid w:val="00DA6CC9"/>
    <w:rsid w:val="00DB0AA7"/>
    <w:rsid w:val="00DB73C9"/>
    <w:rsid w:val="00DC4CE3"/>
    <w:rsid w:val="00DC5E9B"/>
    <w:rsid w:val="00DD14BF"/>
    <w:rsid w:val="00DD2019"/>
    <w:rsid w:val="00DD3C93"/>
    <w:rsid w:val="00DD3F90"/>
    <w:rsid w:val="00DD4E55"/>
    <w:rsid w:val="00DD6681"/>
    <w:rsid w:val="00DE36C6"/>
    <w:rsid w:val="00DE3900"/>
    <w:rsid w:val="00DE56DF"/>
    <w:rsid w:val="00DE7D35"/>
    <w:rsid w:val="00DF0EF7"/>
    <w:rsid w:val="00DF2FE4"/>
    <w:rsid w:val="00E0122C"/>
    <w:rsid w:val="00E049E6"/>
    <w:rsid w:val="00E05CC5"/>
    <w:rsid w:val="00E07013"/>
    <w:rsid w:val="00E074DF"/>
    <w:rsid w:val="00E11E6F"/>
    <w:rsid w:val="00E14938"/>
    <w:rsid w:val="00E157E2"/>
    <w:rsid w:val="00E24AE5"/>
    <w:rsid w:val="00E2542D"/>
    <w:rsid w:val="00E25C21"/>
    <w:rsid w:val="00E30308"/>
    <w:rsid w:val="00E3265B"/>
    <w:rsid w:val="00E34E78"/>
    <w:rsid w:val="00E4611E"/>
    <w:rsid w:val="00E47957"/>
    <w:rsid w:val="00E510A6"/>
    <w:rsid w:val="00E5362A"/>
    <w:rsid w:val="00E554CB"/>
    <w:rsid w:val="00E5702C"/>
    <w:rsid w:val="00E60642"/>
    <w:rsid w:val="00E61730"/>
    <w:rsid w:val="00E61EFF"/>
    <w:rsid w:val="00E62A1D"/>
    <w:rsid w:val="00E63F87"/>
    <w:rsid w:val="00E663DD"/>
    <w:rsid w:val="00E66C65"/>
    <w:rsid w:val="00E73DB3"/>
    <w:rsid w:val="00E76A22"/>
    <w:rsid w:val="00E76B0F"/>
    <w:rsid w:val="00E823B9"/>
    <w:rsid w:val="00E91A88"/>
    <w:rsid w:val="00E94683"/>
    <w:rsid w:val="00EA2638"/>
    <w:rsid w:val="00EB2828"/>
    <w:rsid w:val="00EB4CCB"/>
    <w:rsid w:val="00EB4EE8"/>
    <w:rsid w:val="00EB6096"/>
    <w:rsid w:val="00ED3550"/>
    <w:rsid w:val="00ED405F"/>
    <w:rsid w:val="00ED6D5A"/>
    <w:rsid w:val="00ED73A5"/>
    <w:rsid w:val="00EE09D9"/>
    <w:rsid w:val="00EE3EF5"/>
    <w:rsid w:val="00EE66E8"/>
    <w:rsid w:val="00EF14E4"/>
    <w:rsid w:val="00EF4C85"/>
    <w:rsid w:val="00EF5E10"/>
    <w:rsid w:val="00F0168E"/>
    <w:rsid w:val="00F06231"/>
    <w:rsid w:val="00F12C8B"/>
    <w:rsid w:val="00F14E88"/>
    <w:rsid w:val="00F1557D"/>
    <w:rsid w:val="00F157C9"/>
    <w:rsid w:val="00F32EFD"/>
    <w:rsid w:val="00F335F8"/>
    <w:rsid w:val="00F35096"/>
    <w:rsid w:val="00F358CD"/>
    <w:rsid w:val="00F45134"/>
    <w:rsid w:val="00F45F5D"/>
    <w:rsid w:val="00F47DBF"/>
    <w:rsid w:val="00F51225"/>
    <w:rsid w:val="00F5421E"/>
    <w:rsid w:val="00F54B34"/>
    <w:rsid w:val="00F56C1D"/>
    <w:rsid w:val="00F60B71"/>
    <w:rsid w:val="00F61D2D"/>
    <w:rsid w:val="00F641BC"/>
    <w:rsid w:val="00F6578D"/>
    <w:rsid w:val="00F703A5"/>
    <w:rsid w:val="00F716E8"/>
    <w:rsid w:val="00F71FBA"/>
    <w:rsid w:val="00F74823"/>
    <w:rsid w:val="00F751F8"/>
    <w:rsid w:val="00F82A50"/>
    <w:rsid w:val="00F848A0"/>
    <w:rsid w:val="00F85A73"/>
    <w:rsid w:val="00F85A82"/>
    <w:rsid w:val="00F85CA0"/>
    <w:rsid w:val="00F928B8"/>
    <w:rsid w:val="00F937B4"/>
    <w:rsid w:val="00F961FC"/>
    <w:rsid w:val="00FA063D"/>
    <w:rsid w:val="00FA0D00"/>
    <w:rsid w:val="00FA0EA0"/>
    <w:rsid w:val="00FA0FDD"/>
    <w:rsid w:val="00FA292A"/>
    <w:rsid w:val="00FA4E62"/>
    <w:rsid w:val="00FA6233"/>
    <w:rsid w:val="00FA70EC"/>
    <w:rsid w:val="00FB02A0"/>
    <w:rsid w:val="00FB0BCA"/>
    <w:rsid w:val="00FB53F6"/>
    <w:rsid w:val="00FC0C2E"/>
    <w:rsid w:val="00FC0D7C"/>
    <w:rsid w:val="00FC5B01"/>
    <w:rsid w:val="00FD3471"/>
    <w:rsid w:val="00FD6F02"/>
    <w:rsid w:val="00FE7535"/>
    <w:rsid w:val="00FF58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906025"/>
  <w15:docId w15:val="{936FA998-BBD6-4F57-B590-AC577384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56B"/>
    <w:rPr>
      <w:rFonts w:eastAsia="Times New Roman"/>
      <w:sz w:val="24"/>
      <w:lang w:eastAsia="en-US"/>
    </w:rPr>
  </w:style>
  <w:style w:type="paragraph" w:styleId="Heading1">
    <w:name w:val="heading 1"/>
    <w:basedOn w:val="Normal"/>
    <w:next w:val="Normal"/>
    <w:link w:val="Heading1Char"/>
    <w:uiPriority w:val="9"/>
    <w:qFormat/>
    <w:rsid w:val="0023156B"/>
    <w:pPr>
      <w:tabs>
        <w:tab w:val="left" w:pos="2400"/>
        <w:tab w:val="left" w:pos="2880"/>
      </w:tabs>
      <w:spacing w:before="240" w:after="120"/>
      <w:outlineLvl w:val="0"/>
    </w:pPr>
    <w:rPr>
      <w:b/>
      <w:sz w:val="40"/>
    </w:rPr>
  </w:style>
  <w:style w:type="paragraph" w:styleId="Heading2">
    <w:name w:val="heading 2"/>
    <w:basedOn w:val="Normal"/>
    <w:next w:val="Normal"/>
    <w:link w:val="Heading2Char"/>
    <w:uiPriority w:val="9"/>
    <w:qFormat/>
    <w:rsid w:val="00357FED"/>
    <w:pPr>
      <w:keepNext/>
      <w:keepLines/>
      <w:spacing w:before="200"/>
      <w:outlineLvl w:val="1"/>
    </w:pPr>
    <w:rPr>
      <w:rFonts w:ascii="Cambria" w:eastAsia="MS Gothic" w:hAnsi="Cambria"/>
      <w:b/>
      <w:bCs/>
      <w:color w:val="4F81BD"/>
      <w:sz w:val="26"/>
      <w:szCs w:val="26"/>
    </w:rPr>
  </w:style>
  <w:style w:type="paragraph" w:styleId="Heading3">
    <w:name w:val="heading 3"/>
    <w:basedOn w:val="Normal"/>
    <w:next w:val="Normal"/>
    <w:link w:val="Heading3Char"/>
    <w:uiPriority w:val="9"/>
    <w:qFormat/>
    <w:rsid w:val="0023156B"/>
    <w:pPr>
      <w:keepNext/>
      <w:keepLines/>
      <w:numPr>
        <w:numId w:val="1"/>
      </w:numPr>
      <w:spacing w:before="240" w:after="60"/>
      <w:outlineLvl w:val="2"/>
    </w:pPr>
    <w:rPr>
      <w:b/>
      <w:bCs/>
    </w:rPr>
  </w:style>
  <w:style w:type="paragraph" w:styleId="Heading4">
    <w:name w:val="heading 4"/>
    <w:basedOn w:val="Normal"/>
    <w:next w:val="Normal"/>
    <w:link w:val="Heading4Char"/>
    <w:uiPriority w:val="9"/>
    <w:qFormat/>
    <w:rsid w:val="005B6ADD"/>
    <w:pPr>
      <w:keepNext/>
      <w:keepLines/>
      <w:spacing w:before="200"/>
      <w:outlineLvl w:val="3"/>
    </w:pPr>
    <w:rPr>
      <w:rFonts w:eastAsia="MS Gothic"/>
      <w:bCs/>
      <w:iCs/>
      <w:u w:val="single"/>
    </w:rPr>
  </w:style>
  <w:style w:type="paragraph" w:styleId="Heading5">
    <w:name w:val="heading 5"/>
    <w:basedOn w:val="NormalWeb"/>
    <w:next w:val="Normal"/>
    <w:link w:val="Heading5Char"/>
    <w:uiPriority w:val="9"/>
    <w:qFormat/>
    <w:rsid w:val="005B6ADD"/>
    <w:pPr>
      <w:keepNext/>
      <w:keepLines/>
      <w:spacing w:after="120"/>
      <w:outlineLvl w:val="4"/>
    </w:pPr>
    <w:rPr>
      <w:rFonts w:ascii="Calibri" w:eastAsia="MS Gothic" w:hAnsi="Calibri"/>
      <w:b/>
      <w:color w:val="243F6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156B"/>
    <w:rPr>
      <w:rFonts w:ascii="Calibri" w:eastAsia="Times New Roman" w:hAnsi="Calibri" w:cs="Times New Roman"/>
      <w:b/>
      <w:sz w:val="40"/>
      <w:szCs w:val="20"/>
    </w:rPr>
  </w:style>
  <w:style w:type="character" w:customStyle="1" w:styleId="Heading3Char">
    <w:name w:val="Heading 3 Char"/>
    <w:link w:val="Heading3"/>
    <w:uiPriority w:val="9"/>
    <w:rsid w:val="0023156B"/>
    <w:rPr>
      <w:rFonts w:eastAsia="Times New Roman"/>
      <w:b/>
      <w:bCs/>
      <w:sz w:val="24"/>
      <w:lang w:eastAsia="en-US"/>
    </w:rPr>
  </w:style>
  <w:style w:type="paragraph" w:styleId="Footer">
    <w:name w:val="footer"/>
    <w:basedOn w:val="Normal"/>
    <w:link w:val="FooterChar"/>
    <w:uiPriority w:val="99"/>
    <w:rsid w:val="0023156B"/>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23156B"/>
    <w:rPr>
      <w:rFonts w:ascii="Arial" w:eastAsia="Times New Roman" w:hAnsi="Arial" w:cs="Times New Roman"/>
      <w:sz w:val="18"/>
      <w:szCs w:val="20"/>
    </w:rPr>
  </w:style>
  <w:style w:type="paragraph" w:customStyle="1" w:styleId="N-line3">
    <w:name w:val="N-line3"/>
    <w:basedOn w:val="Normal"/>
    <w:next w:val="Normal"/>
    <w:rsid w:val="0023156B"/>
    <w:pPr>
      <w:pBdr>
        <w:bottom w:val="single" w:sz="12" w:space="1" w:color="auto"/>
      </w:pBdr>
      <w:jc w:val="both"/>
    </w:pPr>
  </w:style>
  <w:style w:type="paragraph" w:customStyle="1" w:styleId="madeunder">
    <w:name w:val="made under"/>
    <w:basedOn w:val="Normal"/>
    <w:rsid w:val="0023156B"/>
    <w:pPr>
      <w:spacing w:before="180" w:after="60"/>
      <w:jc w:val="both"/>
    </w:pPr>
  </w:style>
  <w:style w:type="paragraph" w:customStyle="1" w:styleId="CoverActName">
    <w:name w:val="CoverActName"/>
    <w:basedOn w:val="Normal"/>
    <w:rsid w:val="0023156B"/>
    <w:pPr>
      <w:tabs>
        <w:tab w:val="left" w:pos="2600"/>
      </w:tabs>
      <w:spacing w:before="200" w:after="60"/>
      <w:jc w:val="both"/>
    </w:pPr>
    <w:rPr>
      <w:rFonts w:ascii="Arial" w:hAnsi="Arial"/>
      <w:b/>
    </w:rPr>
  </w:style>
  <w:style w:type="paragraph" w:styleId="Header">
    <w:name w:val="header"/>
    <w:basedOn w:val="Normal"/>
    <w:link w:val="HeaderChar"/>
    <w:rsid w:val="0023156B"/>
    <w:pPr>
      <w:tabs>
        <w:tab w:val="left" w:pos="2880"/>
        <w:tab w:val="center" w:pos="4153"/>
        <w:tab w:val="right" w:pos="8306"/>
      </w:tabs>
    </w:pPr>
  </w:style>
  <w:style w:type="character" w:customStyle="1" w:styleId="HeaderChar">
    <w:name w:val="Header Char"/>
    <w:link w:val="Header"/>
    <w:rsid w:val="0023156B"/>
    <w:rPr>
      <w:rFonts w:ascii="Calibri" w:eastAsia="Times New Roman" w:hAnsi="Calibri" w:cs="Times New Roman"/>
      <w:sz w:val="24"/>
      <w:szCs w:val="20"/>
    </w:rPr>
  </w:style>
  <w:style w:type="character" w:styleId="PageNumber">
    <w:name w:val="page number"/>
    <w:basedOn w:val="DefaultParagraphFont"/>
    <w:rsid w:val="0023156B"/>
  </w:style>
  <w:style w:type="paragraph" w:styleId="BalloonText">
    <w:name w:val="Balloon Text"/>
    <w:basedOn w:val="Normal"/>
    <w:link w:val="BalloonTextChar"/>
    <w:uiPriority w:val="99"/>
    <w:semiHidden/>
    <w:unhideWhenUsed/>
    <w:rsid w:val="0023156B"/>
    <w:rPr>
      <w:rFonts w:ascii="Tahoma" w:hAnsi="Tahoma"/>
      <w:sz w:val="16"/>
      <w:szCs w:val="16"/>
    </w:rPr>
  </w:style>
  <w:style w:type="character" w:customStyle="1" w:styleId="BalloonTextChar">
    <w:name w:val="Balloon Text Char"/>
    <w:link w:val="BalloonText"/>
    <w:uiPriority w:val="99"/>
    <w:semiHidden/>
    <w:rsid w:val="0023156B"/>
    <w:rPr>
      <w:rFonts w:ascii="Tahoma" w:eastAsia="Times New Roman" w:hAnsi="Tahoma" w:cs="Tahoma"/>
      <w:sz w:val="16"/>
      <w:szCs w:val="16"/>
    </w:rPr>
  </w:style>
  <w:style w:type="paragraph" w:customStyle="1" w:styleId="Default">
    <w:name w:val="Default"/>
    <w:rsid w:val="0023156B"/>
    <w:pPr>
      <w:autoSpaceDE w:val="0"/>
      <w:autoSpaceDN w:val="0"/>
      <w:adjustRightInd w:val="0"/>
    </w:pPr>
    <w:rPr>
      <w:rFonts w:ascii="Times New Roman" w:hAnsi="Times New Roman"/>
      <w:color w:val="000000"/>
      <w:sz w:val="24"/>
      <w:szCs w:val="24"/>
      <w:lang w:eastAsia="en-US"/>
    </w:rPr>
  </w:style>
  <w:style w:type="paragraph" w:styleId="BodyTextIndent">
    <w:name w:val="Body Text Indent"/>
    <w:basedOn w:val="Normal"/>
    <w:link w:val="BodyTextIndentChar"/>
    <w:rsid w:val="00C02F35"/>
    <w:pPr>
      <w:ind w:left="720"/>
    </w:pPr>
    <w:rPr>
      <w:rFonts w:ascii="Arial" w:hAnsi="Arial"/>
    </w:rPr>
  </w:style>
  <w:style w:type="character" w:customStyle="1" w:styleId="BodyTextIndentChar">
    <w:name w:val="Body Text Indent Char"/>
    <w:link w:val="BodyTextIndent"/>
    <w:rsid w:val="00C02F35"/>
    <w:rPr>
      <w:rFonts w:ascii="Arial" w:eastAsia="Times New Roman" w:hAnsi="Arial" w:cs="Times New Roman"/>
      <w:sz w:val="24"/>
      <w:szCs w:val="20"/>
    </w:rPr>
  </w:style>
  <w:style w:type="paragraph" w:customStyle="1" w:styleId="ColorfulList-Accent11">
    <w:name w:val="Colorful List - Accent 11"/>
    <w:basedOn w:val="Normal"/>
    <w:uiPriority w:val="34"/>
    <w:qFormat/>
    <w:rsid w:val="008204EE"/>
    <w:pPr>
      <w:ind w:left="720"/>
      <w:contextualSpacing/>
    </w:pPr>
  </w:style>
  <w:style w:type="character" w:customStyle="1" w:styleId="Heading2Char">
    <w:name w:val="Heading 2 Char"/>
    <w:link w:val="Heading2"/>
    <w:uiPriority w:val="9"/>
    <w:semiHidden/>
    <w:rsid w:val="00357FED"/>
    <w:rPr>
      <w:rFonts w:ascii="Cambria" w:eastAsia="MS Gothic" w:hAnsi="Cambria" w:cs="Times New Roman"/>
      <w:b/>
      <w:bCs/>
      <w:color w:val="4F81BD"/>
      <w:sz w:val="26"/>
      <w:szCs w:val="26"/>
    </w:rPr>
  </w:style>
  <w:style w:type="paragraph" w:customStyle="1" w:styleId="Asubparabullet">
    <w:name w:val="A subpara bullet"/>
    <w:basedOn w:val="Normal"/>
    <w:rsid w:val="00F641BC"/>
    <w:pPr>
      <w:numPr>
        <w:numId w:val="3"/>
      </w:numPr>
    </w:pPr>
    <w:rPr>
      <w:szCs w:val="24"/>
    </w:rPr>
  </w:style>
  <w:style w:type="character" w:customStyle="1" w:styleId="Heading4Char">
    <w:name w:val="Heading 4 Char"/>
    <w:link w:val="Heading4"/>
    <w:uiPriority w:val="9"/>
    <w:rsid w:val="005B6ADD"/>
    <w:rPr>
      <w:rFonts w:eastAsia="MS Gothic" w:cs="Times New Roman"/>
      <w:bCs/>
      <w:iCs/>
      <w:sz w:val="24"/>
      <w:szCs w:val="20"/>
      <w:u w:val="single"/>
    </w:rPr>
  </w:style>
  <w:style w:type="character" w:customStyle="1" w:styleId="Heading5Char">
    <w:name w:val="Heading 5 Char"/>
    <w:link w:val="Heading5"/>
    <w:uiPriority w:val="9"/>
    <w:rsid w:val="005B6ADD"/>
    <w:rPr>
      <w:rFonts w:eastAsia="MS Gothic" w:cs="Times New Roman"/>
      <w:b/>
      <w:color w:val="243F60"/>
      <w:sz w:val="24"/>
      <w:szCs w:val="24"/>
      <w:lang w:eastAsia="en-AU"/>
    </w:rPr>
  </w:style>
  <w:style w:type="paragraph" w:styleId="NormalWeb">
    <w:name w:val="Normal (Web)"/>
    <w:basedOn w:val="Normal"/>
    <w:uiPriority w:val="99"/>
    <w:semiHidden/>
    <w:unhideWhenUsed/>
    <w:rsid w:val="005B6ADD"/>
    <w:rPr>
      <w:rFonts w:ascii="Times New Roman" w:hAnsi="Times New Roman"/>
      <w:szCs w:val="24"/>
    </w:rPr>
  </w:style>
  <w:style w:type="character" w:styleId="CommentReference">
    <w:name w:val="annotation reference"/>
    <w:basedOn w:val="DefaultParagraphFont"/>
    <w:uiPriority w:val="99"/>
    <w:semiHidden/>
    <w:unhideWhenUsed/>
    <w:rsid w:val="00352C36"/>
    <w:rPr>
      <w:sz w:val="16"/>
      <w:szCs w:val="16"/>
    </w:rPr>
  </w:style>
  <w:style w:type="paragraph" w:styleId="CommentText">
    <w:name w:val="annotation text"/>
    <w:basedOn w:val="Normal"/>
    <w:link w:val="CommentTextChar"/>
    <w:uiPriority w:val="99"/>
    <w:unhideWhenUsed/>
    <w:rsid w:val="00352C36"/>
    <w:rPr>
      <w:sz w:val="20"/>
    </w:rPr>
  </w:style>
  <w:style w:type="character" w:customStyle="1" w:styleId="CommentTextChar">
    <w:name w:val="Comment Text Char"/>
    <w:basedOn w:val="DefaultParagraphFont"/>
    <w:link w:val="CommentText"/>
    <w:uiPriority w:val="99"/>
    <w:rsid w:val="00352C36"/>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352C36"/>
    <w:rPr>
      <w:b/>
      <w:bCs/>
    </w:rPr>
  </w:style>
  <w:style w:type="character" w:customStyle="1" w:styleId="CommentSubjectChar">
    <w:name w:val="Comment Subject Char"/>
    <w:basedOn w:val="CommentTextChar"/>
    <w:link w:val="CommentSubject"/>
    <w:uiPriority w:val="99"/>
    <w:semiHidden/>
    <w:rsid w:val="00352C36"/>
    <w:rPr>
      <w:rFonts w:eastAsia="Times New Roman"/>
      <w:b/>
      <w:bCs/>
      <w:lang w:eastAsia="en-US"/>
    </w:rPr>
  </w:style>
  <w:style w:type="paragraph" w:styleId="Revision">
    <w:name w:val="Revision"/>
    <w:hidden/>
    <w:uiPriority w:val="71"/>
    <w:rsid w:val="00352C36"/>
    <w:rPr>
      <w:rFonts w:eastAsia="Times New Roman"/>
      <w:sz w:val="24"/>
      <w:lang w:eastAsia="en-US"/>
    </w:rPr>
  </w:style>
  <w:style w:type="paragraph" w:styleId="ListParagraph">
    <w:name w:val="List Paragraph"/>
    <w:basedOn w:val="Normal"/>
    <w:uiPriority w:val="72"/>
    <w:qFormat/>
    <w:rsid w:val="009F36AD"/>
    <w:pPr>
      <w:ind w:left="720"/>
    </w:pPr>
    <w:rPr>
      <w:rFonts w:eastAsiaTheme="minorHAnsi"/>
      <w:sz w:val="22"/>
      <w:szCs w:val="22"/>
      <w:lang w:eastAsia="en-AU"/>
    </w:rPr>
  </w:style>
  <w:style w:type="character" w:styleId="FootnoteReference">
    <w:name w:val="footnote reference"/>
    <w:uiPriority w:val="99"/>
    <w:semiHidden/>
    <w:rsid w:val="00380585"/>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80585"/>
    <w:pPr>
      <w:spacing w:before="80" w:after="60"/>
      <w:jc w:val="both"/>
    </w:pPr>
    <w:rPr>
      <w:szCs w:val="24"/>
    </w:rPr>
  </w:style>
  <w:style w:type="character" w:customStyle="1" w:styleId="FootnoteTextChar">
    <w:name w:val="Footnote Text Char"/>
    <w:basedOn w:val="DefaultParagraphFont"/>
    <w:link w:val="FootnoteText"/>
    <w:uiPriority w:val="99"/>
    <w:semiHidden/>
    <w:rsid w:val="00380585"/>
    <w:rPr>
      <w:rFonts w:eastAsia="Times New Roman"/>
      <w:sz w:val="24"/>
      <w:szCs w:val="24"/>
      <w:lang w:eastAsia="en-US"/>
    </w:rPr>
  </w:style>
  <w:style w:type="paragraph" w:customStyle="1" w:styleId="AH5Sec">
    <w:name w:val="A H5 Sec"/>
    <w:basedOn w:val="Normal"/>
    <w:next w:val="Normal"/>
    <w:rsid w:val="004C65FD"/>
    <w:pPr>
      <w:keepNext/>
      <w:numPr>
        <w:ilvl w:val="4"/>
        <w:numId w:val="12"/>
      </w:numPr>
      <w:spacing w:before="180" w:after="60"/>
      <w:outlineLvl w:val="4"/>
    </w:pPr>
    <w:rPr>
      <w:rFonts w:ascii="Arial" w:hAnsi="Arial"/>
      <w:b/>
    </w:rPr>
  </w:style>
  <w:style w:type="character" w:styleId="Hyperlink">
    <w:name w:val="Hyperlink"/>
    <w:basedOn w:val="DefaultParagraphFont"/>
    <w:uiPriority w:val="99"/>
    <w:unhideWhenUsed/>
    <w:rsid w:val="007919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9517">
      <w:bodyDiv w:val="1"/>
      <w:marLeft w:val="0"/>
      <w:marRight w:val="0"/>
      <w:marTop w:val="0"/>
      <w:marBottom w:val="0"/>
      <w:divBdr>
        <w:top w:val="none" w:sz="0" w:space="0" w:color="auto"/>
        <w:left w:val="none" w:sz="0" w:space="0" w:color="auto"/>
        <w:bottom w:val="none" w:sz="0" w:space="0" w:color="auto"/>
        <w:right w:val="none" w:sz="0" w:space="0" w:color="auto"/>
      </w:divBdr>
    </w:div>
    <w:div w:id="143744599">
      <w:bodyDiv w:val="1"/>
      <w:marLeft w:val="0"/>
      <w:marRight w:val="0"/>
      <w:marTop w:val="0"/>
      <w:marBottom w:val="0"/>
      <w:divBdr>
        <w:top w:val="none" w:sz="0" w:space="0" w:color="auto"/>
        <w:left w:val="none" w:sz="0" w:space="0" w:color="auto"/>
        <w:bottom w:val="none" w:sz="0" w:space="0" w:color="auto"/>
        <w:right w:val="none" w:sz="0" w:space="0" w:color="auto"/>
      </w:divBdr>
    </w:div>
    <w:div w:id="278417502">
      <w:bodyDiv w:val="1"/>
      <w:marLeft w:val="0"/>
      <w:marRight w:val="0"/>
      <w:marTop w:val="0"/>
      <w:marBottom w:val="0"/>
      <w:divBdr>
        <w:top w:val="none" w:sz="0" w:space="0" w:color="auto"/>
        <w:left w:val="none" w:sz="0" w:space="0" w:color="auto"/>
        <w:bottom w:val="none" w:sz="0" w:space="0" w:color="auto"/>
        <w:right w:val="none" w:sz="0" w:space="0" w:color="auto"/>
      </w:divBdr>
    </w:div>
    <w:div w:id="724379700">
      <w:bodyDiv w:val="1"/>
      <w:marLeft w:val="0"/>
      <w:marRight w:val="0"/>
      <w:marTop w:val="0"/>
      <w:marBottom w:val="0"/>
      <w:divBdr>
        <w:top w:val="none" w:sz="0" w:space="0" w:color="auto"/>
        <w:left w:val="none" w:sz="0" w:space="0" w:color="auto"/>
        <w:bottom w:val="none" w:sz="0" w:space="0" w:color="auto"/>
        <w:right w:val="none" w:sz="0" w:space="0" w:color="auto"/>
      </w:divBdr>
    </w:div>
    <w:div w:id="813176909">
      <w:bodyDiv w:val="1"/>
      <w:marLeft w:val="0"/>
      <w:marRight w:val="0"/>
      <w:marTop w:val="0"/>
      <w:marBottom w:val="0"/>
      <w:divBdr>
        <w:top w:val="none" w:sz="0" w:space="0" w:color="auto"/>
        <w:left w:val="none" w:sz="0" w:space="0" w:color="auto"/>
        <w:bottom w:val="none" w:sz="0" w:space="0" w:color="auto"/>
        <w:right w:val="none" w:sz="0" w:space="0" w:color="auto"/>
      </w:divBdr>
    </w:div>
    <w:div w:id="910653676">
      <w:bodyDiv w:val="1"/>
      <w:marLeft w:val="0"/>
      <w:marRight w:val="0"/>
      <w:marTop w:val="0"/>
      <w:marBottom w:val="0"/>
      <w:divBdr>
        <w:top w:val="none" w:sz="0" w:space="0" w:color="auto"/>
        <w:left w:val="none" w:sz="0" w:space="0" w:color="auto"/>
        <w:bottom w:val="none" w:sz="0" w:space="0" w:color="auto"/>
        <w:right w:val="none" w:sz="0" w:space="0" w:color="auto"/>
      </w:divBdr>
    </w:div>
    <w:div w:id="973560294">
      <w:bodyDiv w:val="1"/>
      <w:marLeft w:val="0"/>
      <w:marRight w:val="0"/>
      <w:marTop w:val="0"/>
      <w:marBottom w:val="0"/>
      <w:divBdr>
        <w:top w:val="none" w:sz="0" w:space="0" w:color="auto"/>
        <w:left w:val="none" w:sz="0" w:space="0" w:color="auto"/>
        <w:bottom w:val="none" w:sz="0" w:space="0" w:color="auto"/>
        <w:right w:val="none" w:sz="0" w:space="0" w:color="auto"/>
      </w:divBdr>
    </w:div>
    <w:div w:id="1915503543">
      <w:bodyDiv w:val="1"/>
      <w:marLeft w:val="0"/>
      <w:marRight w:val="0"/>
      <w:marTop w:val="0"/>
      <w:marBottom w:val="0"/>
      <w:divBdr>
        <w:top w:val="none" w:sz="0" w:space="0" w:color="auto"/>
        <w:left w:val="none" w:sz="0" w:space="0" w:color="auto"/>
        <w:bottom w:val="none" w:sz="0" w:space="0" w:color="auto"/>
        <w:right w:val="none" w:sz="0" w:space="0" w:color="auto"/>
      </w:divBdr>
      <w:divsChild>
        <w:div w:id="1168981343">
          <w:marLeft w:val="0"/>
          <w:marRight w:val="0"/>
          <w:marTop w:val="0"/>
          <w:marBottom w:val="0"/>
          <w:divBdr>
            <w:top w:val="none" w:sz="0" w:space="0" w:color="auto"/>
            <w:left w:val="none" w:sz="0" w:space="0" w:color="auto"/>
            <w:bottom w:val="none" w:sz="0" w:space="0" w:color="auto"/>
            <w:right w:val="none" w:sz="0" w:space="0" w:color="auto"/>
          </w:divBdr>
          <w:divsChild>
            <w:div w:id="217283277">
              <w:marLeft w:val="0"/>
              <w:marRight w:val="0"/>
              <w:marTop w:val="0"/>
              <w:marBottom w:val="0"/>
              <w:divBdr>
                <w:top w:val="none" w:sz="0" w:space="0" w:color="auto"/>
                <w:left w:val="none" w:sz="0" w:space="0" w:color="auto"/>
                <w:bottom w:val="none" w:sz="0" w:space="0" w:color="auto"/>
                <w:right w:val="none" w:sz="0" w:space="0" w:color="auto"/>
              </w:divBdr>
            </w:div>
          </w:divsChild>
        </w:div>
        <w:div w:id="2111853412">
          <w:marLeft w:val="0"/>
          <w:marRight w:val="0"/>
          <w:marTop w:val="0"/>
          <w:marBottom w:val="0"/>
          <w:divBdr>
            <w:top w:val="none" w:sz="0" w:space="0" w:color="auto"/>
            <w:left w:val="none" w:sz="0" w:space="0" w:color="auto"/>
            <w:bottom w:val="none" w:sz="0" w:space="0" w:color="auto"/>
            <w:right w:val="none" w:sz="0" w:space="0" w:color="auto"/>
          </w:divBdr>
        </w:div>
        <w:div w:id="1484929799">
          <w:marLeft w:val="0"/>
          <w:marRight w:val="0"/>
          <w:marTop w:val="0"/>
          <w:marBottom w:val="0"/>
          <w:divBdr>
            <w:top w:val="none" w:sz="0" w:space="0" w:color="auto"/>
            <w:left w:val="none" w:sz="0" w:space="0" w:color="auto"/>
            <w:bottom w:val="none" w:sz="0" w:space="0" w:color="auto"/>
            <w:right w:val="none" w:sz="0" w:space="0" w:color="auto"/>
          </w:divBdr>
          <w:divsChild>
            <w:div w:id="426387194">
              <w:marLeft w:val="0"/>
              <w:marRight w:val="0"/>
              <w:marTop w:val="0"/>
              <w:marBottom w:val="0"/>
              <w:divBdr>
                <w:top w:val="none" w:sz="0" w:space="0" w:color="auto"/>
                <w:left w:val="none" w:sz="0" w:space="0" w:color="auto"/>
                <w:bottom w:val="none" w:sz="0" w:space="0" w:color="auto"/>
                <w:right w:val="none" w:sz="0" w:space="0" w:color="auto"/>
              </w:divBdr>
              <w:divsChild>
                <w:div w:id="4273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969">
          <w:marLeft w:val="0"/>
          <w:marRight w:val="0"/>
          <w:marTop w:val="0"/>
          <w:marBottom w:val="0"/>
          <w:divBdr>
            <w:top w:val="none" w:sz="0" w:space="0" w:color="auto"/>
            <w:left w:val="none" w:sz="0" w:space="0" w:color="auto"/>
            <w:bottom w:val="none" w:sz="0" w:space="0" w:color="auto"/>
            <w:right w:val="none" w:sz="0" w:space="0" w:color="auto"/>
          </w:divBdr>
          <w:divsChild>
            <w:div w:id="754978572">
              <w:marLeft w:val="0"/>
              <w:marRight w:val="0"/>
              <w:marTop w:val="0"/>
              <w:marBottom w:val="0"/>
              <w:divBdr>
                <w:top w:val="none" w:sz="0" w:space="0" w:color="auto"/>
                <w:left w:val="none" w:sz="0" w:space="0" w:color="auto"/>
                <w:bottom w:val="none" w:sz="0" w:space="0" w:color="auto"/>
                <w:right w:val="none" w:sz="0" w:space="0" w:color="auto"/>
              </w:divBdr>
              <w:divsChild>
                <w:div w:id="1550070921">
                  <w:marLeft w:val="0"/>
                  <w:marRight w:val="0"/>
                  <w:marTop w:val="0"/>
                  <w:marBottom w:val="0"/>
                  <w:divBdr>
                    <w:top w:val="none" w:sz="0" w:space="0" w:color="auto"/>
                    <w:left w:val="none" w:sz="0" w:space="0" w:color="auto"/>
                    <w:bottom w:val="none" w:sz="0" w:space="0" w:color="auto"/>
                    <w:right w:val="none" w:sz="0" w:space="0" w:color="auto"/>
                  </w:divBdr>
                  <w:divsChild>
                    <w:div w:id="202525076">
                      <w:marLeft w:val="0"/>
                      <w:marRight w:val="0"/>
                      <w:marTop w:val="0"/>
                      <w:marBottom w:val="0"/>
                      <w:divBdr>
                        <w:top w:val="none" w:sz="0" w:space="0" w:color="auto"/>
                        <w:left w:val="none" w:sz="0" w:space="0" w:color="auto"/>
                        <w:bottom w:val="none" w:sz="0" w:space="0" w:color="auto"/>
                        <w:right w:val="none" w:sz="0" w:space="0" w:color="auto"/>
                      </w:divBdr>
                    </w:div>
                  </w:divsChild>
                </w:div>
                <w:div w:id="1784420248">
                  <w:marLeft w:val="0"/>
                  <w:marRight w:val="0"/>
                  <w:marTop w:val="0"/>
                  <w:marBottom w:val="0"/>
                  <w:divBdr>
                    <w:top w:val="none" w:sz="0" w:space="0" w:color="auto"/>
                    <w:left w:val="none" w:sz="0" w:space="0" w:color="auto"/>
                    <w:bottom w:val="none" w:sz="0" w:space="0" w:color="auto"/>
                    <w:right w:val="none" w:sz="0" w:space="0" w:color="auto"/>
                  </w:divBdr>
                  <w:divsChild>
                    <w:div w:id="346565531">
                      <w:marLeft w:val="0"/>
                      <w:marRight w:val="0"/>
                      <w:marTop w:val="0"/>
                      <w:marBottom w:val="0"/>
                      <w:divBdr>
                        <w:top w:val="none" w:sz="0" w:space="0" w:color="auto"/>
                        <w:left w:val="none" w:sz="0" w:space="0" w:color="auto"/>
                        <w:bottom w:val="none" w:sz="0" w:space="0" w:color="auto"/>
                        <w:right w:val="none" w:sz="0" w:space="0" w:color="auto"/>
                      </w:divBdr>
                      <w:divsChild>
                        <w:div w:id="543105974">
                          <w:marLeft w:val="0"/>
                          <w:marRight w:val="0"/>
                          <w:marTop w:val="0"/>
                          <w:marBottom w:val="0"/>
                          <w:divBdr>
                            <w:top w:val="none" w:sz="0" w:space="0" w:color="auto"/>
                            <w:left w:val="none" w:sz="0" w:space="0" w:color="auto"/>
                            <w:bottom w:val="none" w:sz="0" w:space="0" w:color="auto"/>
                            <w:right w:val="none" w:sz="0" w:space="0" w:color="auto"/>
                          </w:divBdr>
                          <w:divsChild>
                            <w:div w:id="1567182644">
                              <w:marLeft w:val="300"/>
                              <w:marRight w:val="0"/>
                              <w:marTop w:val="0"/>
                              <w:marBottom w:val="0"/>
                              <w:divBdr>
                                <w:top w:val="none" w:sz="0" w:space="0" w:color="auto"/>
                                <w:left w:val="none" w:sz="0" w:space="0" w:color="auto"/>
                                <w:bottom w:val="none" w:sz="0" w:space="0" w:color="auto"/>
                                <w:right w:val="none" w:sz="0" w:space="0" w:color="auto"/>
                              </w:divBdr>
                              <w:divsChild>
                                <w:div w:id="223688403">
                                  <w:marLeft w:val="-300"/>
                                  <w:marRight w:val="0"/>
                                  <w:marTop w:val="0"/>
                                  <w:marBottom w:val="0"/>
                                  <w:divBdr>
                                    <w:top w:val="none" w:sz="0" w:space="0" w:color="auto"/>
                                    <w:left w:val="none" w:sz="0" w:space="0" w:color="auto"/>
                                    <w:bottom w:val="none" w:sz="0" w:space="0" w:color="auto"/>
                                    <w:right w:val="none" w:sz="0" w:space="0" w:color="auto"/>
                                  </w:divBdr>
                                  <w:divsChild>
                                    <w:div w:id="14619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692865">
      <w:bodyDiv w:val="1"/>
      <w:marLeft w:val="0"/>
      <w:marRight w:val="0"/>
      <w:marTop w:val="0"/>
      <w:marBottom w:val="0"/>
      <w:divBdr>
        <w:top w:val="none" w:sz="0" w:space="0" w:color="auto"/>
        <w:left w:val="none" w:sz="0" w:space="0" w:color="auto"/>
        <w:bottom w:val="none" w:sz="0" w:space="0" w:color="auto"/>
        <w:right w:val="none" w:sz="0" w:space="0" w:color="auto"/>
      </w:divBdr>
    </w:div>
    <w:div w:id="213078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95B98-F900-4E19-8AF3-A7140B935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4096</Words>
  <Characters>23352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Determination 9 of 2013 Part-time Statutory Office Holders</vt:lpstr>
    </vt:vector>
  </TitlesOfParts>
  <Company>InTACT</Company>
  <LinksUpToDate>false</LinksUpToDate>
  <CharactersWithSpaces>27394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2013 Part-time Statutory Office Holders</dc:title>
  <dc:subject>Remuneration</dc:subject>
  <dc:creator>ACT Remuneration Tribunal</dc:creator>
  <cp:lastModifiedBy>Hogan, Andrew</cp:lastModifiedBy>
  <cp:revision>2</cp:revision>
  <cp:lastPrinted>2018-10-22T00:42:00Z</cp:lastPrinted>
  <dcterms:created xsi:type="dcterms:W3CDTF">2019-12-18T00:48:00Z</dcterms:created>
  <dcterms:modified xsi:type="dcterms:W3CDTF">2019-12-18T00:48:00Z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Detremnation 9 of 2013 on Pert-time Public Office Holders</vt:lpwstr>
  </property>
</Properties>
</file>