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bookmarkStart w:id="1" w:name="_GoBack"/>
      <w:bookmarkEnd w:id="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585F1EF0" w:rsidR="00C953C3" w:rsidRPr="005E3C83" w:rsidRDefault="00C953C3" w:rsidP="00C953C3">
      <w:pPr>
        <w:pStyle w:val="Heading1"/>
      </w:pPr>
      <w:r w:rsidRPr="003B1A08">
        <w:t xml:space="preserve">Determination </w:t>
      </w:r>
      <w:r w:rsidR="00787E7F">
        <w:t>14</w:t>
      </w:r>
      <w:r w:rsidR="00846EC5">
        <w:t xml:space="preserve"> </w:t>
      </w:r>
      <w:r w:rsidR="00C4163B">
        <w:t>of 20</w:t>
      </w:r>
      <w:r w:rsidR="00787E7F">
        <w:t>20</w:t>
      </w:r>
      <w:r w:rsidR="001026C3">
        <w:t xml:space="preserve"> </w:t>
      </w:r>
      <w:r w:rsidR="00E22079">
        <w:t xml:space="preserve"> </w:t>
      </w:r>
      <w:r w:rsidR="00422F0C">
        <w:t xml:space="preserve"> </w:t>
      </w:r>
      <w:r w:rsidR="00AC57B6">
        <w:t xml:space="preserve"> </w:t>
      </w:r>
    </w:p>
    <w:p w14:paraId="2B43EB6F" w14:textId="3D26B8BA" w:rsidR="0023156B" w:rsidRPr="003B1A08" w:rsidRDefault="0023156B" w:rsidP="0023156B">
      <w:pPr>
        <w:pStyle w:val="Heading1"/>
      </w:pPr>
      <w:r>
        <w:t xml:space="preserve">Part-time </w:t>
      </w:r>
      <w:r w:rsidR="00DC5E9B">
        <w:t>Public</w:t>
      </w:r>
      <w:r>
        <w:t xml:space="preserve"> Office Holder </w:t>
      </w:r>
      <w:r w:rsidR="00991EBD">
        <w:t xml:space="preserve">– </w:t>
      </w:r>
      <w:r w:rsidR="00EE4D83">
        <w:br/>
      </w:r>
      <w:r w:rsidR="00A40EFE" w:rsidRPr="00A40EFE">
        <w:t>Canberra Economic Recovery Advisory Group</w:t>
      </w:r>
    </w:p>
    <w:p w14:paraId="67ABD6F7" w14:textId="77777777" w:rsidR="0023156B" w:rsidRPr="003B1A08" w:rsidRDefault="0023156B" w:rsidP="005B6ADD">
      <w:proofErr w:type="gramStart"/>
      <w:r w:rsidRPr="003B1A08">
        <w:t>made</w:t>
      </w:r>
      <w:proofErr w:type="gramEnd"/>
      <w:r w:rsidRPr="003B1A08">
        <w:t xml:space="preserve">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7777777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77777777" w:rsidR="00BE7B5C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2924FA23" w14:textId="029D0AB0" w:rsidR="00E144BA" w:rsidRPr="00E44B69" w:rsidRDefault="00A40EFE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E44B69">
        <w:rPr>
          <w:color w:val="000000" w:themeColor="text1"/>
          <w:szCs w:val="24"/>
        </w:rPr>
        <w:t>On 9 September 2020, t</w:t>
      </w:r>
      <w:r w:rsidR="00E144BA" w:rsidRPr="00E44B69">
        <w:rPr>
          <w:color w:val="000000" w:themeColor="text1"/>
          <w:szCs w:val="24"/>
        </w:rPr>
        <w:t>he Chief Minister requested the Tribunal to determine the remuneration, allowances and other entitlements for</w:t>
      </w:r>
      <w:r w:rsidRPr="00E44B69">
        <w:rPr>
          <w:color w:val="000000" w:themeColor="text1"/>
          <w:szCs w:val="24"/>
        </w:rPr>
        <w:t xml:space="preserve"> members of the Canberra Economic Recovery Advisory Group</w:t>
      </w:r>
      <w:r w:rsidR="00E144BA" w:rsidRPr="00E44B69">
        <w:rPr>
          <w:color w:val="000000" w:themeColor="text1"/>
          <w:szCs w:val="24"/>
        </w:rPr>
        <w:t>.</w:t>
      </w:r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1B2A3491" w14:textId="729DDC41" w:rsidR="00E144BA" w:rsidRPr="00A40EFE" w:rsidRDefault="00E144BA" w:rsidP="00E144BA">
      <w:r w:rsidRPr="00A40EFE">
        <w:t xml:space="preserve">The Tribunal noted that the </w:t>
      </w:r>
      <w:r w:rsidR="00A40EFE" w:rsidRPr="00A40EFE">
        <w:t xml:space="preserve">Canberra Economic Recovery Advisory Group </w:t>
      </w:r>
      <w:r w:rsidRPr="00A40EFE">
        <w:t xml:space="preserve">is a </w:t>
      </w:r>
      <w:r w:rsidR="00A40EFE" w:rsidRPr="00A40EFE">
        <w:t>new non-statutory body established to advise the ACT Government on strategies for economic recovery from the COVID-19 pandemic</w:t>
      </w:r>
      <w:r w:rsidRPr="00A40EFE">
        <w:t>.</w:t>
      </w:r>
    </w:p>
    <w:p w14:paraId="269B187E" w14:textId="61AA585E" w:rsidR="00A40EFE" w:rsidRPr="004F0F06" w:rsidRDefault="00A40EFE" w:rsidP="00A40EFE">
      <w:pPr>
        <w:spacing w:before="120" w:after="60"/>
      </w:pPr>
      <w:r w:rsidRPr="004F0F06">
        <w:t xml:space="preserve">The Tribunal </w:t>
      </w:r>
      <w:r w:rsidR="004F0F06" w:rsidRPr="004F0F06">
        <w:t xml:space="preserve">considered the level of responsibility and type of work to be performed </w:t>
      </w:r>
      <w:r w:rsidR="004F0F06">
        <w:t>by</w:t>
      </w:r>
      <w:r w:rsidR="004F0F06" w:rsidRPr="004F0F06">
        <w:t xml:space="preserve"> the advisory group and the</w:t>
      </w:r>
      <w:r w:rsidR="004F0F06">
        <w:t>ir potential i</w:t>
      </w:r>
      <w:r w:rsidR="004F0F06" w:rsidRPr="004F0F06">
        <w:t xml:space="preserve">mpact on the ACT community. </w:t>
      </w:r>
      <w:r w:rsidR="00787E7F" w:rsidRPr="004F0F06">
        <w:t>The</w:t>
      </w:r>
      <w:r w:rsidR="004F0F06" w:rsidRPr="004F0F06">
        <w:t xml:space="preserve"> Tribunal </w:t>
      </w:r>
      <w:r w:rsidR="00787E7F" w:rsidRPr="004F0F06">
        <w:t>also met with, and considered advice from, officials of the Chief Minister, Treasury and Economic Development Directorate</w:t>
      </w:r>
      <w:r w:rsidRPr="004F0F06">
        <w:t>.</w:t>
      </w:r>
      <w:r w:rsidR="00787E7F" w:rsidRPr="004F0F06">
        <w:t xml:space="preserve"> 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Decision </w:t>
      </w:r>
    </w:p>
    <w:p w14:paraId="769D14D3" w14:textId="0B284A8C" w:rsidR="00E144BA" w:rsidRPr="00E44B69" w:rsidRDefault="00E144BA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E44B69">
        <w:rPr>
          <w:color w:val="000000" w:themeColor="text1"/>
          <w:szCs w:val="24"/>
        </w:rPr>
        <w:t>The Tribunal determined remuneration of $</w:t>
      </w:r>
      <w:r w:rsidR="00787E7F" w:rsidRPr="00E44B69">
        <w:rPr>
          <w:color w:val="000000" w:themeColor="text1"/>
          <w:szCs w:val="24"/>
        </w:rPr>
        <w:t>16,000</w:t>
      </w:r>
      <w:r w:rsidRPr="00E44B69">
        <w:rPr>
          <w:color w:val="000000" w:themeColor="text1"/>
          <w:szCs w:val="24"/>
        </w:rPr>
        <w:t xml:space="preserve"> per </w:t>
      </w:r>
      <w:r w:rsidR="001C44A3" w:rsidRPr="00E44B69">
        <w:rPr>
          <w:color w:val="000000" w:themeColor="text1"/>
          <w:szCs w:val="24"/>
        </w:rPr>
        <w:t>annum</w:t>
      </w:r>
      <w:r w:rsidRPr="00E44B69">
        <w:rPr>
          <w:color w:val="000000" w:themeColor="text1"/>
          <w:szCs w:val="24"/>
        </w:rPr>
        <w:t xml:space="preserve"> for Members of the </w:t>
      </w:r>
      <w:r w:rsidR="006B6BE8" w:rsidRPr="00E44B69">
        <w:rPr>
          <w:color w:val="000000" w:themeColor="text1"/>
          <w:szCs w:val="24"/>
        </w:rPr>
        <w:t>Canberra Economic Recovery Advisory Group</w:t>
      </w:r>
      <w:r w:rsidRPr="00E44B69">
        <w:rPr>
          <w:color w:val="000000" w:themeColor="text1"/>
          <w:szCs w:val="24"/>
        </w:rPr>
        <w:t xml:space="preserve">. 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0FD0C32F" w:rsidR="009F36AD" w:rsidRDefault="001C44A3" w:rsidP="00A41965">
      <w:pPr>
        <w:ind w:left="360"/>
        <w:jc w:val="right"/>
        <w:rPr>
          <w:rFonts w:cs="Arial"/>
        </w:rPr>
      </w:pPr>
      <w:r>
        <w:rPr>
          <w:szCs w:val="24"/>
        </w:rPr>
        <w:t>December 2020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0A399DB7" w14:textId="78A4533A" w:rsidR="00D72E84" w:rsidRPr="00E44B69" w:rsidRDefault="00655E36" w:rsidP="00D72E84">
      <w:pPr>
        <w:pStyle w:val="Heading1"/>
        <w:rPr>
          <w:color w:val="000000" w:themeColor="text1"/>
        </w:rPr>
      </w:pPr>
      <w:r>
        <w:t>Part-</w:t>
      </w:r>
      <w:r w:rsidRPr="00E44B69">
        <w:rPr>
          <w:color w:val="000000" w:themeColor="text1"/>
        </w:rPr>
        <w:t xml:space="preserve">time Public Office Holder – </w:t>
      </w:r>
      <w:r w:rsidR="00EE4D83" w:rsidRPr="00E44B69">
        <w:rPr>
          <w:color w:val="000000" w:themeColor="text1"/>
        </w:rPr>
        <w:br/>
      </w:r>
      <w:r w:rsidR="00787E7F" w:rsidRPr="00E44B69">
        <w:rPr>
          <w:color w:val="000000" w:themeColor="text1"/>
        </w:rPr>
        <w:t>Canberra Economic Recovery Advisory Group</w:t>
      </w:r>
      <w:r w:rsidR="00D72E84" w:rsidRPr="00E44B69">
        <w:rPr>
          <w:color w:val="000000" w:themeColor="text1"/>
        </w:rPr>
        <w:t xml:space="preserve"> </w:t>
      </w:r>
    </w:p>
    <w:p w14:paraId="5F6429DB" w14:textId="0A3FE2E4" w:rsidR="00C953C3" w:rsidRPr="00E44B69" w:rsidRDefault="00A76E5C" w:rsidP="00C953C3">
      <w:pPr>
        <w:pStyle w:val="Heading1"/>
        <w:rPr>
          <w:color w:val="000000" w:themeColor="text1"/>
        </w:rPr>
      </w:pPr>
      <w:r w:rsidRPr="00E44B69">
        <w:rPr>
          <w:color w:val="000000" w:themeColor="text1"/>
        </w:rPr>
        <w:t xml:space="preserve">Determination </w:t>
      </w:r>
      <w:r w:rsidR="001C44A3" w:rsidRPr="00E44B69">
        <w:rPr>
          <w:color w:val="000000" w:themeColor="text1"/>
        </w:rPr>
        <w:t>14</w:t>
      </w:r>
      <w:r w:rsidR="00846EC5" w:rsidRPr="00E44B69">
        <w:rPr>
          <w:color w:val="000000" w:themeColor="text1"/>
        </w:rPr>
        <w:t xml:space="preserve"> </w:t>
      </w:r>
      <w:r w:rsidRPr="00E44B69">
        <w:rPr>
          <w:color w:val="000000" w:themeColor="text1"/>
        </w:rPr>
        <w:t>of 20</w:t>
      </w:r>
      <w:r w:rsidR="001C44A3" w:rsidRPr="00E44B69">
        <w:rPr>
          <w:color w:val="000000" w:themeColor="text1"/>
        </w:rPr>
        <w:t>20</w:t>
      </w:r>
    </w:p>
    <w:p w14:paraId="20A68F20" w14:textId="77777777" w:rsidR="0023156B" w:rsidRPr="00D62589" w:rsidRDefault="0023156B" w:rsidP="005B6ADD">
      <w:proofErr w:type="gramStart"/>
      <w:r w:rsidRPr="00D62589">
        <w:t>made</w:t>
      </w:r>
      <w:proofErr w:type="gramEnd"/>
      <w:r w:rsidRPr="00D62589">
        <w:t xml:space="preserve">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26220C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 w:val="12"/>
          <w:szCs w:val="12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153F8371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</w:t>
      </w:r>
      <w:r w:rsidR="0023156B" w:rsidRPr="00991478">
        <w:rPr>
          <w:szCs w:val="24"/>
        </w:rPr>
        <w:t xml:space="preserve">on </w:t>
      </w:r>
      <w:r w:rsidR="001C44A3">
        <w:rPr>
          <w:szCs w:val="24"/>
        </w:rPr>
        <w:t>date of signature</w:t>
      </w:r>
      <w:r w:rsidR="00AE0FFA" w:rsidRPr="00991478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7B1F0414" w14:textId="76AF31A5" w:rsidR="002B6D40" w:rsidRPr="00E44B69" w:rsidRDefault="00C004DE" w:rsidP="0036334B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  <w:szCs w:val="24"/>
        </w:rPr>
      </w:pPr>
      <w:r w:rsidRPr="00E44B69">
        <w:rPr>
          <w:b w:val="0"/>
          <w:color w:val="000000" w:themeColor="text1"/>
          <w:szCs w:val="24"/>
        </w:rPr>
        <w:t xml:space="preserve">The </w:t>
      </w:r>
      <w:r w:rsidR="00EE4D83" w:rsidRPr="00E44B69">
        <w:rPr>
          <w:b w:val="0"/>
          <w:color w:val="000000" w:themeColor="text1"/>
          <w:szCs w:val="24"/>
        </w:rPr>
        <w:t xml:space="preserve">remuneration for </w:t>
      </w:r>
      <w:r w:rsidR="00787E7F" w:rsidRPr="00E44B69">
        <w:rPr>
          <w:b w:val="0"/>
          <w:color w:val="000000" w:themeColor="text1"/>
          <w:szCs w:val="24"/>
        </w:rPr>
        <w:t xml:space="preserve">members of the Canberra Economic Recovery Advisory Group </w:t>
      </w:r>
      <w:r w:rsidR="00EE4D83" w:rsidRPr="00E44B69">
        <w:rPr>
          <w:b w:val="0"/>
          <w:color w:val="000000" w:themeColor="text1"/>
          <w:szCs w:val="24"/>
        </w:rPr>
        <w:t xml:space="preserve">is </w:t>
      </w:r>
      <w:r w:rsidR="00787E7F" w:rsidRPr="00E44B69">
        <w:rPr>
          <w:b w:val="0"/>
          <w:color w:val="000000" w:themeColor="text1"/>
          <w:szCs w:val="24"/>
        </w:rPr>
        <w:t xml:space="preserve">$16,000 per annum. </w:t>
      </w:r>
      <w:r w:rsidRPr="00E44B69">
        <w:rPr>
          <w:b w:val="0"/>
          <w:color w:val="000000" w:themeColor="text1"/>
          <w:szCs w:val="24"/>
        </w:rPr>
        <w:t xml:space="preserve"> </w:t>
      </w:r>
    </w:p>
    <w:p w14:paraId="2E9A52E3" w14:textId="6B015C45" w:rsidR="00A95801" w:rsidRPr="00DE36C6" w:rsidRDefault="00A53528" w:rsidP="00CB04DF">
      <w:pPr>
        <w:pStyle w:val="Heading3"/>
        <w:numPr>
          <w:ilvl w:val="0"/>
          <w:numId w:val="0"/>
        </w:numPr>
        <w:spacing w:before="120"/>
      </w:pPr>
      <w:r>
        <w:t xml:space="preserve">3. </w:t>
      </w:r>
      <w:r>
        <w:tab/>
      </w:r>
      <w:r w:rsidR="00C004DE">
        <w:t>Other Conditions</w:t>
      </w:r>
      <w:r w:rsidR="00A95801" w:rsidRPr="00DE36C6">
        <w:t xml:space="preserve"> </w:t>
      </w:r>
    </w:p>
    <w:p w14:paraId="65104F5D" w14:textId="509289B2" w:rsidR="001D6B2D" w:rsidRDefault="00A95801" w:rsidP="00EE4D83">
      <w:pPr>
        <w:spacing w:before="120" w:after="60"/>
        <w:ind w:left="709" w:hanging="709"/>
      </w:pPr>
      <w:r>
        <w:t>3.1</w:t>
      </w:r>
      <w:r>
        <w:tab/>
      </w:r>
      <w:bookmarkEnd w:id="0"/>
      <w:r w:rsidR="00C004DE" w:rsidRPr="00787E7F">
        <w:t xml:space="preserve">All conditions specified in Determination </w:t>
      </w:r>
      <w:r w:rsidR="001C44A3" w:rsidRPr="00787E7F">
        <w:t>13</w:t>
      </w:r>
      <w:r w:rsidR="00C004DE" w:rsidRPr="00787E7F">
        <w:t xml:space="preserve"> of 20</w:t>
      </w:r>
      <w:r w:rsidR="001C44A3" w:rsidRPr="00787E7F">
        <w:t xml:space="preserve">20 </w:t>
      </w:r>
      <w:r w:rsidR="00C004DE" w:rsidRPr="00787E7F">
        <w:t>relating to Part-time Public Office Holders</w:t>
      </w:r>
      <w:r w:rsidR="004B451E" w:rsidRPr="00787E7F">
        <w:t>, or its replacement,</w:t>
      </w:r>
      <w:r w:rsidR="00C004DE" w:rsidRPr="00787E7F">
        <w:t xml:space="preserve"> will also apply to the </w:t>
      </w:r>
      <w:r w:rsidR="00787E7F" w:rsidRPr="00787E7F">
        <w:t>Canberra Economic Recovery Advisory Group</w:t>
      </w:r>
      <w:r w:rsidR="00C004DE" w:rsidRPr="00787E7F">
        <w:t>.</w:t>
      </w:r>
    </w:p>
    <w:p w14:paraId="7E583A20" w14:textId="77777777" w:rsidR="00AF2827" w:rsidRDefault="00AF2827" w:rsidP="0047108D">
      <w:pPr>
        <w:spacing w:before="120" w:after="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47108D" w:rsidRPr="006A51E8" w14:paraId="0C091EB4" w14:textId="77777777" w:rsidTr="00AD2E5A">
        <w:tc>
          <w:tcPr>
            <w:tcW w:w="4529" w:type="dxa"/>
          </w:tcPr>
          <w:p w14:paraId="0FAAAAE2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216A4A5D" w14:textId="77777777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05B39659" w14:textId="77777777" w:rsidR="0047108D" w:rsidRPr="000F41B0" w:rsidRDefault="0047108D" w:rsidP="00AD2E5A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559B8F86" w14:textId="77777777" w:rsidR="0047108D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4BDDF48D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spacing w:after="120"/>
              <w:rPr>
                <w:szCs w:val="24"/>
              </w:rPr>
            </w:pPr>
          </w:p>
        </w:tc>
        <w:tc>
          <w:tcPr>
            <w:tcW w:w="4488" w:type="dxa"/>
          </w:tcPr>
          <w:p w14:paraId="1CFB9C24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</w:p>
          <w:p w14:paraId="7BA1DF86" w14:textId="77777777" w:rsidR="0047108D" w:rsidRPr="006A51E8" w:rsidRDefault="0047108D" w:rsidP="00AD2E5A">
            <w:pPr>
              <w:tabs>
                <w:tab w:val="left" w:pos="3059"/>
                <w:tab w:val="left" w:pos="7230"/>
              </w:tabs>
              <w:spacing w:before="120"/>
            </w:pPr>
            <w:r>
              <w:t xml:space="preserve"> </w:t>
            </w:r>
            <w:r>
              <w:br/>
              <w:t xml:space="preserve"> </w:t>
            </w:r>
            <w:r w:rsidRPr="00A9481F">
              <w:t>...............................</w:t>
            </w:r>
            <w:r>
              <w:t>.................</w:t>
            </w:r>
          </w:p>
        </w:tc>
      </w:tr>
      <w:tr w:rsidR="0047108D" w:rsidRPr="006A51E8" w14:paraId="5E5C9359" w14:textId="77777777" w:rsidTr="00AD2E5A">
        <w:tc>
          <w:tcPr>
            <w:tcW w:w="4529" w:type="dxa"/>
          </w:tcPr>
          <w:p w14:paraId="54EB9F27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Dr James Popple</w:t>
            </w:r>
            <w:r w:rsidRPr="000F41B0">
              <w:rPr>
                <w:szCs w:val="24"/>
              </w:rPr>
              <w:tab/>
            </w:r>
          </w:p>
          <w:p w14:paraId="6E458B1C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</w:tc>
        <w:tc>
          <w:tcPr>
            <w:tcW w:w="4488" w:type="dxa"/>
          </w:tcPr>
          <w:p w14:paraId="7CF6993E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  <w:r w:rsidRPr="006A51E8">
              <w:t xml:space="preserve"> </w:t>
            </w:r>
          </w:p>
          <w:p w14:paraId="1B61EB44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</w:p>
          <w:p w14:paraId="168B6067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</w:t>
            </w:r>
            <w:r>
              <w:t>.................</w:t>
            </w:r>
          </w:p>
          <w:p w14:paraId="7BFE1AF1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</w:p>
        </w:tc>
      </w:tr>
      <w:tr w:rsidR="0047108D" w:rsidRPr="006A51E8" w14:paraId="75A8C45B" w14:textId="77777777" w:rsidTr="00AD2E5A">
        <w:tc>
          <w:tcPr>
            <w:tcW w:w="4529" w:type="dxa"/>
          </w:tcPr>
          <w:p w14:paraId="208DAAA8" w14:textId="77777777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75D8A307" w14:textId="77777777" w:rsidR="0047108D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2F345FF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Mr Dale Boucher PSM</w:t>
            </w:r>
            <w:r w:rsidRPr="000F41B0">
              <w:rPr>
                <w:szCs w:val="24"/>
              </w:rPr>
              <w:tab/>
            </w:r>
          </w:p>
          <w:p w14:paraId="19D10442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 xml:space="preserve">Member </w:t>
            </w:r>
          </w:p>
        </w:tc>
        <w:tc>
          <w:tcPr>
            <w:tcW w:w="4488" w:type="dxa"/>
          </w:tcPr>
          <w:p w14:paraId="029D096F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5D7F964E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02B603E9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1BC0B666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>
              <w:t>................</w:t>
            </w:r>
          </w:p>
          <w:p w14:paraId="4B2215BD" w14:textId="77777777" w:rsidR="0047108D" w:rsidRPr="006A51E8" w:rsidRDefault="0047108D" w:rsidP="00AD2E5A">
            <w:pPr>
              <w:tabs>
                <w:tab w:val="left" w:pos="3059"/>
                <w:tab w:val="left" w:pos="7230"/>
              </w:tabs>
            </w:pPr>
          </w:p>
        </w:tc>
      </w:tr>
    </w:tbl>
    <w:p w14:paraId="6681C8F3" w14:textId="5127065D" w:rsidR="0047108D" w:rsidRDefault="0047108D" w:rsidP="0047108D">
      <w:pPr>
        <w:tabs>
          <w:tab w:val="left" w:pos="4320"/>
        </w:tabs>
        <w:jc w:val="right"/>
      </w:pPr>
      <w:r>
        <w:t>December 2020</w:t>
      </w:r>
    </w:p>
    <w:p w14:paraId="346663C8" w14:textId="77777777" w:rsidR="0047108D" w:rsidRPr="00EE4D83" w:rsidRDefault="0047108D" w:rsidP="0047108D">
      <w:pPr>
        <w:spacing w:before="120" w:after="60"/>
      </w:pPr>
    </w:p>
    <w:sectPr w:rsidR="0047108D" w:rsidRPr="00EE4D83" w:rsidSect="00373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709" w:left="1440" w:header="720" w:footer="4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7F11E" w14:textId="77777777" w:rsidR="003F0B7A" w:rsidRDefault="003F0B7A" w:rsidP="00DE7D35">
      <w:r>
        <w:separator/>
      </w:r>
    </w:p>
  </w:endnote>
  <w:endnote w:type="continuationSeparator" w:id="0">
    <w:p w14:paraId="0DB31929" w14:textId="77777777" w:rsidR="003F0B7A" w:rsidRDefault="003F0B7A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E36961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1193" w14:textId="77777777" w:rsidR="001C44A3" w:rsidRDefault="001C4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E67F4" w14:textId="77777777" w:rsidR="003F0B7A" w:rsidRDefault="003F0B7A" w:rsidP="00DE7D35">
      <w:r>
        <w:separator/>
      </w:r>
    </w:p>
  </w:footnote>
  <w:footnote w:type="continuationSeparator" w:id="0">
    <w:p w14:paraId="24AE1EF5" w14:textId="77777777" w:rsidR="003F0B7A" w:rsidRDefault="003F0B7A" w:rsidP="00DE7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D4E68" w14:textId="77777777" w:rsidR="001C44A3" w:rsidRDefault="001C4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D0CFF" w14:textId="1910968F" w:rsidR="001C44A3" w:rsidRDefault="001C44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10E60" w14:textId="77777777" w:rsidR="001C44A3" w:rsidRDefault="001C4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8A4"/>
    <w:multiLevelType w:val="hybridMultilevel"/>
    <w:tmpl w:val="1DEC60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19"/>
  </w:num>
  <w:num w:numId="4">
    <w:abstractNumId w:val="5"/>
  </w:num>
  <w:num w:numId="5">
    <w:abstractNumId w:val="21"/>
  </w:num>
  <w:num w:numId="6">
    <w:abstractNumId w:val="22"/>
  </w:num>
  <w:num w:numId="7">
    <w:abstractNumId w:val="29"/>
  </w:num>
  <w:num w:numId="8">
    <w:abstractNumId w:val="4"/>
  </w:num>
  <w:num w:numId="9">
    <w:abstractNumId w:val="11"/>
  </w:num>
  <w:num w:numId="10">
    <w:abstractNumId w:val="26"/>
  </w:num>
  <w:num w:numId="11">
    <w:abstractNumId w:val="1"/>
  </w:num>
  <w:num w:numId="12">
    <w:abstractNumId w:val="29"/>
  </w:num>
  <w:num w:numId="13">
    <w:abstractNumId w:val="29"/>
  </w:num>
  <w:num w:numId="14">
    <w:abstractNumId w:val="29"/>
  </w:num>
  <w:num w:numId="15">
    <w:abstractNumId w:val="10"/>
  </w:num>
  <w:num w:numId="16">
    <w:abstractNumId w:val="29"/>
  </w:num>
  <w:num w:numId="17">
    <w:abstractNumId w:val="29"/>
  </w:num>
  <w:num w:numId="18">
    <w:abstractNumId w:val="29"/>
  </w:num>
  <w:num w:numId="19">
    <w:abstractNumId w:val="29"/>
  </w:num>
  <w:num w:numId="20">
    <w:abstractNumId w:val="0"/>
  </w:num>
  <w:num w:numId="21">
    <w:abstractNumId w:val="29"/>
    <w:lvlOverride w:ilvl="0">
      <w:startOverride w:val="6"/>
    </w:lvlOverride>
  </w:num>
  <w:num w:numId="22">
    <w:abstractNumId w:val="29"/>
    <w:lvlOverride w:ilvl="0">
      <w:startOverride w:val="4"/>
    </w:lvlOverride>
    <w:lvlOverride w:ilvl="1">
      <w:startOverride w:val="1"/>
    </w:lvlOverride>
  </w:num>
  <w:num w:numId="23">
    <w:abstractNumId w:val="16"/>
  </w:num>
  <w:num w:numId="24">
    <w:abstractNumId w:val="23"/>
  </w:num>
  <w:num w:numId="25">
    <w:abstractNumId w:val="3"/>
  </w:num>
  <w:num w:numId="26">
    <w:abstractNumId w:val="8"/>
  </w:num>
  <w:num w:numId="27">
    <w:abstractNumId w:val="29"/>
    <w:lvlOverride w:ilvl="0">
      <w:startOverride w:val="2"/>
    </w:lvlOverride>
    <w:lvlOverride w:ilvl="1">
      <w:startOverride w:val="2"/>
    </w:lvlOverride>
  </w:num>
  <w:num w:numId="28">
    <w:abstractNumId w:val="6"/>
  </w:num>
  <w:num w:numId="29">
    <w:abstractNumId w:val="15"/>
  </w:num>
  <w:num w:numId="30">
    <w:abstractNumId w:val="18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8"/>
  </w:num>
  <w:num w:numId="34">
    <w:abstractNumId w:val="7"/>
  </w:num>
  <w:num w:numId="35">
    <w:abstractNumId w:val="14"/>
  </w:num>
  <w:num w:numId="36">
    <w:abstractNumId w:val="27"/>
  </w:num>
  <w:num w:numId="37">
    <w:abstractNumId w:val="2"/>
  </w:num>
  <w:num w:numId="38">
    <w:abstractNumId w:val="24"/>
  </w:num>
  <w:num w:numId="39">
    <w:abstractNumId w:val="20"/>
  </w:num>
  <w:num w:numId="40">
    <w:abstractNumId w:val="9"/>
  </w:num>
  <w:num w:numId="41">
    <w:abstractNumId w:val="29"/>
  </w:num>
  <w:num w:numId="42">
    <w:abstractNumId w:val="2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93BF4"/>
    <w:rsid w:val="00096697"/>
    <w:rsid w:val="00097801"/>
    <w:rsid w:val="000A2860"/>
    <w:rsid w:val="000B2C06"/>
    <w:rsid w:val="000B4828"/>
    <w:rsid w:val="000B5DF2"/>
    <w:rsid w:val="000C235A"/>
    <w:rsid w:val="000D19A5"/>
    <w:rsid w:val="000D360F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526C0"/>
    <w:rsid w:val="00156418"/>
    <w:rsid w:val="00156FFC"/>
    <w:rsid w:val="00165F53"/>
    <w:rsid w:val="0017001A"/>
    <w:rsid w:val="00172F92"/>
    <w:rsid w:val="0017568D"/>
    <w:rsid w:val="0017754A"/>
    <w:rsid w:val="00182AA3"/>
    <w:rsid w:val="00184CF6"/>
    <w:rsid w:val="00187029"/>
    <w:rsid w:val="00191808"/>
    <w:rsid w:val="001A119E"/>
    <w:rsid w:val="001B7670"/>
    <w:rsid w:val="001C44A3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6220C"/>
    <w:rsid w:val="00270893"/>
    <w:rsid w:val="002721E1"/>
    <w:rsid w:val="00275BA0"/>
    <w:rsid w:val="00276328"/>
    <w:rsid w:val="00276385"/>
    <w:rsid w:val="002829B2"/>
    <w:rsid w:val="0028512F"/>
    <w:rsid w:val="00294FE9"/>
    <w:rsid w:val="002A370C"/>
    <w:rsid w:val="002A7012"/>
    <w:rsid w:val="002B2EED"/>
    <w:rsid w:val="002B33A0"/>
    <w:rsid w:val="002B5966"/>
    <w:rsid w:val="002B6D40"/>
    <w:rsid w:val="002C3D94"/>
    <w:rsid w:val="002C419F"/>
    <w:rsid w:val="002D1042"/>
    <w:rsid w:val="002E31AC"/>
    <w:rsid w:val="002F6102"/>
    <w:rsid w:val="002F6ACB"/>
    <w:rsid w:val="002F752E"/>
    <w:rsid w:val="0031059C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73630"/>
    <w:rsid w:val="003819D5"/>
    <w:rsid w:val="00381CD8"/>
    <w:rsid w:val="003834D6"/>
    <w:rsid w:val="003906A5"/>
    <w:rsid w:val="003923DD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3F0B7A"/>
    <w:rsid w:val="003F195C"/>
    <w:rsid w:val="004079D4"/>
    <w:rsid w:val="00420A17"/>
    <w:rsid w:val="00422F0C"/>
    <w:rsid w:val="004255ED"/>
    <w:rsid w:val="00444EEB"/>
    <w:rsid w:val="004538A5"/>
    <w:rsid w:val="00453A44"/>
    <w:rsid w:val="004545CA"/>
    <w:rsid w:val="00456A3B"/>
    <w:rsid w:val="00462F18"/>
    <w:rsid w:val="004641DC"/>
    <w:rsid w:val="004666B2"/>
    <w:rsid w:val="00471065"/>
    <w:rsid w:val="0047108D"/>
    <w:rsid w:val="0048374B"/>
    <w:rsid w:val="00483FB9"/>
    <w:rsid w:val="00490F77"/>
    <w:rsid w:val="00494B92"/>
    <w:rsid w:val="004A79EE"/>
    <w:rsid w:val="004B451E"/>
    <w:rsid w:val="004C3EAE"/>
    <w:rsid w:val="004C3F50"/>
    <w:rsid w:val="004E0627"/>
    <w:rsid w:val="004E1D5B"/>
    <w:rsid w:val="004E3C0A"/>
    <w:rsid w:val="004F0F06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51D4"/>
    <w:rsid w:val="00545261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628D"/>
    <w:rsid w:val="005D12E8"/>
    <w:rsid w:val="005D6942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5E36"/>
    <w:rsid w:val="00657AA3"/>
    <w:rsid w:val="00660BE5"/>
    <w:rsid w:val="00661CFF"/>
    <w:rsid w:val="00663B55"/>
    <w:rsid w:val="0066407C"/>
    <w:rsid w:val="006832C5"/>
    <w:rsid w:val="00690F74"/>
    <w:rsid w:val="00693B1E"/>
    <w:rsid w:val="006940C8"/>
    <w:rsid w:val="00694C2E"/>
    <w:rsid w:val="006952B7"/>
    <w:rsid w:val="006A5444"/>
    <w:rsid w:val="006A696F"/>
    <w:rsid w:val="006B6BE8"/>
    <w:rsid w:val="006C384A"/>
    <w:rsid w:val="006C7BE2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87E7F"/>
    <w:rsid w:val="00793B65"/>
    <w:rsid w:val="0079572D"/>
    <w:rsid w:val="007A0592"/>
    <w:rsid w:val="007C16C1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005A"/>
    <w:rsid w:val="00834598"/>
    <w:rsid w:val="008358EE"/>
    <w:rsid w:val="00846EBB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B72A6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5F2B"/>
    <w:rsid w:val="0096696F"/>
    <w:rsid w:val="009673CC"/>
    <w:rsid w:val="00974E09"/>
    <w:rsid w:val="00981ECE"/>
    <w:rsid w:val="00984405"/>
    <w:rsid w:val="00991146"/>
    <w:rsid w:val="00991478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2E83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40EFE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C57B6"/>
    <w:rsid w:val="00AD0145"/>
    <w:rsid w:val="00AD44CA"/>
    <w:rsid w:val="00AE0FFA"/>
    <w:rsid w:val="00AE5DD1"/>
    <w:rsid w:val="00AE7595"/>
    <w:rsid w:val="00AF19B9"/>
    <w:rsid w:val="00AF2827"/>
    <w:rsid w:val="00AF5B12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12C4"/>
    <w:rsid w:val="00B830B0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005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B04DF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2B22"/>
    <w:rsid w:val="00D13220"/>
    <w:rsid w:val="00D20A9E"/>
    <w:rsid w:val="00D20D57"/>
    <w:rsid w:val="00D21AF1"/>
    <w:rsid w:val="00D275FF"/>
    <w:rsid w:val="00D321EC"/>
    <w:rsid w:val="00D32B1E"/>
    <w:rsid w:val="00D32E42"/>
    <w:rsid w:val="00D33B6F"/>
    <w:rsid w:val="00D35F5F"/>
    <w:rsid w:val="00D365DD"/>
    <w:rsid w:val="00D42798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E0122C"/>
    <w:rsid w:val="00E05CC5"/>
    <w:rsid w:val="00E07013"/>
    <w:rsid w:val="00E11E6F"/>
    <w:rsid w:val="00E144BA"/>
    <w:rsid w:val="00E14938"/>
    <w:rsid w:val="00E157E2"/>
    <w:rsid w:val="00E22079"/>
    <w:rsid w:val="00E24AE5"/>
    <w:rsid w:val="00E25C21"/>
    <w:rsid w:val="00E30308"/>
    <w:rsid w:val="00E3265B"/>
    <w:rsid w:val="00E34E78"/>
    <w:rsid w:val="00E36961"/>
    <w:rsid w:val="00E44B69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23B9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E4D83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E5DD0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16E7-448D-4D1D-AFD7-242CED6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2444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Hogan, Andrew..</cp:lastModifiedBy>
  <cp:revision>4</cp:revision>
  <cp:lastPrinted>2018-04-20T01:33:00Z</cp:lastPrinted>
  <dcterms:created xsi:type="dcterms:W3CDTF">2020-12-16T03:33:00Z</dcterms:created>
  <dcterms:modified xsi:type="dcterms:W3CDTF">2020-12-16T03:39:00Z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