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7BBFD339"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9B6266">
        <w:t>3</w:t>
      </w:r>
      <w:r w:rsidR="009E65ED">
        <w:rPr>
          <w:color w:val="FF0000"/>
        </w:rPr>
        <w:t xml:space="preserve"> </w:t>
      </w:r>
      <w:r w:rsidR="00DC6C6D" w:rsidRPr="00403DB9">
        <w:rPr>
          <w:color w:val="000000" w:themeColor="text1"/>
        </w:rPr>
        <w:t xml:space="preserve">of </w:t>
      </w:r>
      <w:r w:rsidR="00440A32">
        <w:rPr>
          <w:color w:val="000000" w:themeColor="text1"/>
        </w:rPr>
        <w:t>202</w:t>
      </w:r>
      <w:r w:rsidR="009B6266">
        <w:rPr>
          <w:color w:val="000000" w:themeColor="text1"/>
        </w:rPr>
        <w:t>4</w:t>
      </w:r>
    </w:p>
    <w:p w14:paraId="0263C472" w14:textId="4FB9B9C6"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w:t>
      </w:r>
      <w:proofErr w:type="gramStart"/>
      <w:r>
        <w:t>Office</w:t>
      </w:r>
      <w:r w:rsidR="008A4A64">
        <w:t>-</w:t>
      </w:r>
      <w:r>
        <w:t>Holders</w:t>
      </w:r>
      <w:proofErr w:type="gramEnd"/>
      <w:r w:rsidR="004F6AA2">
        <w:t xml:space="preserve">: Auditor-General, Clerk of the Legislative Assembly, </w:t>
      </w:r>
      <w:r w:rsidR="00355BD4">
        <w:br/>
      </w:r>
      <w:r w:rsidR="004F6AA2">
        <w:t>Electoral Commissioner</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xml:space="preserve">, </w:t>
      </w:r>
      <w:proofErr w:type="gramStart"/>
      <w:r w:rsidRPr="00626357">
        <w:t>allowances</w:t>
      </w:r>
      <w:proofErr w:type="gramEnd"/>
      <w:r w:rsidRPr="00626357">
        <w:t xml:space="preserve"> and other entitlements for certain full-time public offices.  Of those offices, this Determination covers</w:t>
      </w:r>
      <w:r>
        <w:t xml:space="preserve"> the</w:t>
      </w:r>
      <w:r w:rsidR="00FA00E5">
        <w:t xml:space="preserve"> following</w:t>
      </w:r>
      <w:r w:rsidRPr="00626357">
        <w:t>:</w:t>
      </w:r>
    </w:p>
    <w:p w14:paraId="2390915B" w14:textId="77777777" w:rsidR="004F6AA2" w:rsidRDefault="004F6AA2" w:rsidP="00F30A6E">
      <w:pPr>
        <w:numPr>
          <w:ilvl w:val="0"/>
          <w:numId w:val="12"/>
        </w:numPr>
      </w:pPr>
      <w:r w:rsidRPr="00B41011">
        <w:t>Auditor-</w:t>
      </w:r>
      <w:proofErr w:type="gramStart"/>
      <w:r w:rsidRPr="00B41011">
        <w:t>General</w:t>
      </w:r>
      <w:r>
        <w:t>;</w:t>
      </w:r>
      <w:proofErr w:type="gramEnd"/>
    </w:p>
    <w:p w14:paraId="7C251C66" w14:textId="77777777" w:rsidR="00F30A6E" w:rsidRDefault="00F30A6E" w:rsidP="004F6AA2">
      <w:pPr>
        <w:numPr>
          <w:ilvl w:val="0"/>
          <w:numId w:val="12"/>
        </w:numPr>
      </w:pPr>
      <w:r>
        <w:t>Clerk</w:t>
      </w:r>
      <w:r w:rsidR="00FA00E5">
        <w:t xml:space="preserve"> of the Legislative Assembly</w:t>
      </w:r>
      <w:r>
        <w:t>; and</w:t>
      </w:r>
    </w:p>
    <w:p w14:paraId="36BF6988" w14:textId="77777777" w:rsidR="00F30A6E" w:rsidRDefault="00F30A6E" w:rsidP="00F30A6E">
      <w:pPr>
        <w:numPr>
          <w:ilvl w:val="0"/>
          <w:numId w:val="12"/>
        </w:numPr>
      </w:pPr>
      <w:r>
        <w:t>Electoral Commissioner.</w:t>
      </w:r>
    </w:p>
    <w:p w14:paraId="2F820778" w14:textId="77777777" w:rsidR="009B6266" w:rsidRPr="009B6266" w:rsidRDefault="009B6266" w:rsidP="009B6266">
      <w:pPr>
        <w:spacing w:after="120"/>
        <w:rPr>
          <w:color w:val="000000" w:themeColor="text1"/>
          <w:szCs w:val="24"/>
          <w:u w:val="single"/>
        </w:rPr>
      </w:pPr>
      <w:r w:rsidRPr="009B6266">
        <w:rPr>
          <w:color w:val="000000" w:themeColor="text1"/>
          <w:szCs w:val="24"/>
          <w:u w:val="single"/>
        </w:rPr>
        <w:t>Other matters</w:t>
      </w:r>
    </w:p>
    <w:p w14:paraId="0B64A7B2" w14:textId="49944EAB" w:rsidR="009B6266" w:rsidRPr="009B6266" w:rsidRDefault="009B6266" w:rsidP="009B6266">
      <w:pPr>
        <w:spacing w:after="120"/>
        <w:rPr>
          <w:color w:val="000000" w:themeColor="text1"/>
          <w:szCs w:val="24"/>
        </w:rPr>
      </w:pPr>
      <w:r w:rsidRPr="009B6266">
        <w:rPr>
          <w:color w:val="000000" w:themeColor="text1"/>
          <w:szCs w:val="24"/>
        </w:rPr>
        <w:t xml:space="preserve">The Tribunal received correspondence from the ACT Electoral Commissioner, and the Auditor General. </w:t>
      </w:r>
    </w:p>
    <w:p w14:paraId="2A832729" w14:textId="77777777" w:rsidR="001C56AB" w:rsidRPr="009D2938" w:rsidRDefault="001C56AB" w:rsidP="001C56AB">
      <w:pPr>
        <w:spacing w:before="120" w:after="60"/>
        <w:rPr>
          <w:color w:val="000000" w:themeColor="text1"/>
        </w:rPr>
      </w:pPr>
      <w:r w:rsidRPr="009D2938">
        <w:rPr>
          <w:b/>
          <w:color w:val="000000" w:themeColor="text1"/>
        </w:rPr>
        <w:t>Considerations</w:t>
      </w:r>
    </w:p>
    <w:p w14:paraId="087AF895" w14:textId="542D32FF" w:rsidR="0007167B" w:rsidRPr="00033953" w:rsidRDefault="0007167B" w:rsidP="0007167B">
      <w:pPr>
        <w:spacing w:after="120"/>
        <w:rPr>
          <w:szCs w:val="24"/>
        </w:rPr>
      </w:pPr>
      <w:bookmarkStart w:id="1" w:name="_Hlk78802250"/>
      <w:r w:rsidRPr="001B7AD8">
        <w:rPr>
          <w:szCs w:val="24"/>
        </w:rPr>
        <w:t xml:space="preserve">In </w:t>
      </w:r>
      <w:r w:rsidR="009B6266">
        <w:rPr>
          <w:szCs w:val="24"/>
        </w:rPr>
        <w:t>February 2024</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709F30E9" w14:textId="77777777" w:rsidR="0007167B" w:rsidRPr="00677D07" w:rsidRDefault="0007167B" w:rsidP="0007167B">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2624511C" w14:textId="77777777" w:rsidR="0007167B" w:rsidRPr="00677D07" w:rsidRDefault="0007167B" w:rsidP="0007167B">
      <w:pPr>
        <w:pStyle w:val="ListParagraph"/>
        <w:numPr>
          <w:ilvl w:val="0"/>
          <w:numId w:val="48"/>
        </w:numPr>
        <w:spacing w:after="120"/>
        <w:rPr>
          <w:sz w:val="24"/>
          <w:szCs w:val="24"/>
        </w:rPr>
      </w:pPr>
      <w:r w:rsidRPr="00677D07">
        <w:rPr>
          <w:sz w:val="24"/>
          <w:szCs w:val="24"/>
        </w:rPr>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5A485964" w14:textId="77777777" w:rsidR="0007167B" w:rsidRPr="00677D07" w:rsidRDefault="0007167B" w:rsidP="0007167B">
      <w:pPr>
        <w:pStyle w:val="ListParagraph"/>
        <w:numPr>
          <w:ilvl w:val="0"/>
          <w:numId w:val="48"/>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bookmarkEnd w:id="1"/>
    <w:p w14:paraId="092B59F3" w14:textId="77777777" w:rsidR="009B6266" w:rsidRPr="009B6266" w:rsidRDefault="009B6266" w:rsidP="009B6266">
      <w:pPr>
        <w:spacing w:after="120"/>
        <w:rPr>
          <w:rFonts w:cs="Calibri"/>
          <w:szCs w:val="24"/>
        </w:rPr>
      </w:pPr>
      <w:r w:rsidRPr="009B6266" w:rsidDel="00BB4820">
        <w:rPr>
          <w:rFonts w:cs="Calibri"/>
          <w:szCs w:val="24"/>
        </w:rPr>
        <w:lastRenderedPageBreak/>
        <w:t xml:space="preserve">The </w:t>
      </w:r>
      <w:r w:rsidRPr="009B6266">
        <w:rPr>
          <w:rFonts w:cs="Calibri"/>
          <w:szCs w:val="24"/>
        </w:rPr>
        <w:t>2024</w:t>
      </w:r>
      <w:r w:rsidRPr="009B6266" w:rsidDel="00BB4820">
        <w:rPr>
          <w:rFonts w:cs="Calibri"/>
          <w:szCs w:val="24"/>
        </w:rPr>
        <w:t xml:space="preserve"> </w:t>
      </w:r>
      <w:r w:rsidRPr="009B6266">
        <w:rPr>
          <w:rFonts w:cs="Calibri"/>
          <w:szCs w:val="24"/>
        </w:rPr>
        <w:t>Autumn Sitting was advertised</w:t>
      </w:r>
      <w:r w:rsidRPr="009B6266" w:rsidDel="00BB4820">
        <w:rPr>
          <w:rFonts w:cs="Calibri"/>
          <w:szCs w:val="24"/>
        </w:rPr>
        <w:t xml:space="preserve"> on </w:t>
      </w:r>
      <w:r w:rsidRPr="009B6266">
        <w:rPr>
          <w:rFonts w:cs="Calibri"/>
          <w:szCs w:val="24"/>
        </w:rPr>
        <w:t>the Remuneration Tribunal ACT</w:t>
      </w:r>
      <w:r w:rsidRPr="009B6266" w:rsidDel="00BB4820">
        <w:rPr>
          <w:rFonts w:cs="Calibri"/>
          <w:szCs w:val="24"/>
        </w:rPr>
        <w:t xml:space="preserve"> website and in </w:t>
      </w:r>
      <w:r w:rsidRPr="009B6266">
        <w:rPr>
          <w:rFonts w:cs="Calibri"/>
          <w:szCs w:val="24"/>
        </w:rPr>
        <w:t>t</w:t>
      </w:r>
      <w:r w:rsidRPr="009B6266" w:rsidDel="00BB4820">
        <w:rPr>
          <w:rFonts w:cs="Calibri"/>
          <w:szCs w:val="24"/>
        </w:rPr>
        <w:t xml:space="preserve">he Canberra Times on </w:t>
      </w:r>
      <w:r w:rsidRPr="009B6266">
        <w:rPr>
          <w:rFonts w:cs="Calibri"/>
          <w:szCs w:val="24"/>
        </w:rPr>
        <w:t>16 December 2023.</w:t>
      </w:r>
      <w:r w:rsidRPr="009B6266" w:rsidDel="00BB4820">
        <w:rPr>
          <w:rFonts w:cs="Calibri"/>
          <w:szCs w:val="24"/>
        </w:rPr>
        <w:t xml:space="preserve"> </w:t>
      </w:r>
      <w:r w:rsidRPr="009B6266">
        <w:rPr>
          <w:rFonts w:cs="Calibri"/>
          <w:szCs w:val="24"/>
        </w:rPr>
        <w:t xml:space="preserve">The Tribunal also wrote to the relevant </w:t>
      </w:r>
      <w:proofErr w:type="gramStart"/>
      <w:r w:rsidRPr="009B6266">
        <w:rPr>
          <w:rFonts w:cs="Calibri"/>
          <w:szCs w:val="24"/>
        </w:rPr>
        <w:t>office-holders</w:t>
      </w:r>
      <w:proofErr w:type="gramEnd"/>
      <w:r w:rsidRPr="009B6266">
        <w:rPr>
          <w:rFonts w:cs="Calibri"/>
          <w:szCs w:val="24"/>
        </w:rPr>
        <w:t xml:space="preserve"> inviting submissions. </w:t>
      </w:r>
    </w:p>
    <w:p w14:paraId="5F266E7B" w14:textId="77777777" w:rsidR="009B6266" w:rsidRPr="009B6266" w:rsidRDefault="009B6266" w:rsidP="009B6266">
      <w:pPr>
        <w:spacing w:after="120"/>
        <w:rPr>
          <w:rFonts w:cs="Calibri"/>
          <w:szCs w:val="24"/>
        </w:rPr>
      </w:pPr>
      <w:r w:rsidRPr="009B6266">
        <w:rPr>
          <w:rFonts w:cs="Calibri"/>
          <w:szCs w:val="24"/>
        </w:rPr>
        <w:t xml:space="preserve">At its meeting in February 2024, the Tribunal met with the Chief Minister, ACT Government Treasury officials and officials responsible for the Enterprise Agreement bargaining for ACT Public Sector non-executive employees. The Tribunal also met with a number of full-time public </w:t>
      </w:r>
      <w:proofErr w:type="gramStart"/>
      <w:r w:rsidRPr="009B6266">
        <w:rPr>
          <w:rFonts w:cs="Calibri"/>
          <w:szCs w:val="24"/>
        </w:rPr>
        <w:t>office-holders</w:t>
      </w:r>
      <w:proofErr w:type="gramEnd"/>
      <w:r w:rsidRPr="009B6266">
        <w:rPr>
          <w:rFonts w:cs="Calibri"/>
          <w:szCs w:val="24"/>
        </w:rPr>
        <w:t xml:space="preserve"> and departmental officials. </w:t>
      </w:r>
    </w:p>
    <w:p w14:paraId="65A3D110" w14:textId="77777777" w:rsidR="006C6578" w:rsidRDefault="009B6266" w:rsidP="006C6578">
      <w:pPr>
        <w:spacing w:after="120"/>
        <w:rPr>
          <w:rFonts w:cs="Calibri"/>
          <w:szCs w:val="24"/>
        </w:rPr>
      </w:pPr>
      <w:r w:rsidRPr="009B6266">
        <w:rPr>
          <w:rFonts w:cs="Calibri"/>
          <w:szCs w:val="24"/>
        </w:rPr>
        <w:t>The ACT Government briefing summarised the status of the local economy post COVID-19 health and economic crises, and identified that its fiscal position, while recovering, was significantly affected by the supports required through the initial phases of the pandemic. The ACT Government also highlighted the deliberate policy of prioritising salary increases for the lowest paid public service employees, in response to the current cost of living crisis.</w:t>
      </w:r>
      <w:bookmarkStart w:id="2" w:name="_Hlk136951829"/>
    </w:p>
    <w:p w14:paraId="5C632F57" w14:textId="27386A52" w:rsidR="00E9451F" w:rsidRPr="002C314A" w:rsidRDefault="00E9451F" w:rsidP="00E9451F">
      <w:pPr>
        <w:spacing w:after="120"/>
        <w:rPr>
          <w:rFonts w:asciiTheme="majorHAnsi" w:hAnsiTheme="majorHAnsi" w:cstheme="majorHAnsi"/>
        </w:rPr>
      </w:pPr>
      <w:bookmarkStart w:id="3" w:name="_Hlk163568066"/>
      <w:r w:rsidRPr="002C314A">
        <w:rPr>
          <w:rFonts w:asciiTheme="majorHAnsi" w:hAnsiTheme="majorHAnsi" w:cstheme="majorHAnsi"/>
          <w:color w:val="000000" w:themeColor="text1"/>
          <w:szCs w:val="24"/>
        </w:rPr>
        <w:t xml:space="preserve">The briefing provided to the Tribunal by ACT Treasury confirmed </w:t>
      </w:r>
      <w:r w:rsidR="006D13CC">
        <w:rPr>
          <w:rFonts w:asciiTheme="majorHAnsi" w:hAnsiTheme="majorHAnsi" w:cstheme="majorHAnsi"/>
          <w:color w:val="000000" w:themeColor="text1"/>
          <w:szCs w:val="24"/>
        </w:rPr>
        <w:t xml:space="preserve">that </w:t>
      </w:r>
      <w:r w:rsidRPr="002C314A">
        <w:rPr>
          <w:rFonts w:asciiTheme="majorHAnsi" w:hAnsiTheme="majorHAnsi" w:cstheme="majorHAnsi"/>
          <w:color w:val="000000" w:themeColor="text1"/>
          <w:szCs w:val="24"/>
        </w:rPr>
        <w:t xml:space="preserve">the prospects for the ACT economy remain positive, despite revenue and growth easing in 2023-24 in response to </w:t>
      </w:r>
      <w:proofErr w:type="gramStart"/>
      <w:r w:rsidRPr="002C314A">
        <w:rPr>
          <w:rFonts w:asciiTheme="majorHAnsi" w:hAnsiTheme="majorHAnsi" w:cstheme="majorHAnsi"/>
          <w:color w:val="000000" w:themeColor="text1"/>
          <w:szCs w:val="24"/>
        </w:rPr>
        <w:t>cost of living</w:t>
      </w:r>
      <w:proofErr w:type="gramEnd"/>
      <w:r w:rsidRPr="002C314A">
        <w:rPr>
          <w:rFonts w:asciiTheme="majorHAnsi" w:hAnsiTheme="majorHAnsi" w:cstheme="majorHAnsi"/>
          <w:color w:val="000000" w:themeColor="text1"/>
          <w:szCs w:val="24"/>
        </w:rPr>
        <w:t xml:space="preserve"> pressures and higher interest rates. ACT Treasury reported that while the economy has slowed, </w:t>
      </w:r>
      <w:r w:rsidRPr="002C314A">
        <w:rPr>
          <w:rFonts w:asciiTheme="majorHAnsi" w:hAnsiTheme="majorHAnsi" w:cstheme="majorHAnsi"/>
        </w:rPr>
        <w:t xml:space="preserve">the ACT economy continues to grow at a faster rate than the Australian </w:t>
      </w:r>
      <w:proofErr w:type="gramStart"/>
      <w:r w:rsidRPr="002C314A">
        <w:rPr>
          <w:rFonts w:asciiTheme="majorHAnsi" w:hAnsiTheme="majorHAnsi" w:cstheme="majorHAnsi"/>
        </w:rPr>
        <w:t>economy as a whole</w:t>
      </w:r>
      <w:proofErr w:type="gramEnd"/>
      <w:r w:rsidRPr="002C314A">
        <w:rPr>
          <w:rFonts w:asciiTheme="majorHAnsi" w:hAnsiTheme="majorHAnsi" w:cstheme="majorHAnsi"/>
          <w:color w:val="000000" w:themeColor="text1"/>
          <w:szCs w:val="24"/>
        </w:rPr>
        <w:t>. Treasury officials confirmed that the Territory labour market experienced protracted tightness, contributing to solid growth in private sector wages. The Tribunal noted the advice that wages growth in the ACT was the second lowest across Australia through the year to December 2023</w:t>
      </w:r>
      <w:r>
        <w:rPr>
          <w:rFonts w:asciiTheme="majorHAnsi" w:hAnsiTheme="majorHAnsi" w:cstheme="majorHAnsi"/>
          <w:color w:val="000000" w:themeColor="text1"/>
          <w:szCs w:val="24"/>
        </w:rPr>
        <w:t>.</w:t>
      </w:r>
      <w:r>
        <w:rPr>
          <w:rStyle w:val="FootnoteReference"/>
          <w:color w:val="000000" w:themeColor="text1"/>
        </w:rPr>
        <w:footnoteReference w:id="1"/>
      </w:r>
      <w:r w:rsidRPr="002C314A">
        <w:rPr>
          <w:rFonts w:asciiTheme="majorHAnsi" w:hAnsiTheme="majorHAnsi" w:cstheme="majorHAnsi"/>
          <w:color w:val="000000" w:themeColor="text1"/>
          <w:szCs w:val="24"/>
        </w:rPr>
        <w:t> </w:t>
      </w:r>
    </w:p>
    <w:bookmarkEnd w:id="3"/>
    <w:p w14:paraId="20A965D0" w14:textId="32D43BBF" w:rsidR="009B6266" w:rsidRPr="006C6578" w:rsidRDefault="009B6266" w:rsidP="006C6578">
      <w:pPr>
        <w:spacing w:after="120"/>
        <w:rPr>
          <w:rFonts w:cs="Calibri"/>
          <w:szCs w:val="24"/>
        </w:rPr>
      </w:pPr>
      <w:r w:rsidRPr="006C6578">
        <w:rPr>
          <w:rFonts w:asciiTheme="majorHAnsi" w:hAnsiTheme="majorHAnsi" w:cstheme="majorHAnsi"/>
          <w:color w:val="000000" w:themeColor="text1"/>
          <w:szCs w:val="24"/>
        </w:rPr>
        <w:t>The Australian Bureau of Statistics released the Consumer Price Index for the December Quarter on 31 January 2024, which included an increase of 0.4 per cent for the ACT during the December quarter, with a 3.7 per cent increase over the year (December 2022 to December 2023).</w:t>
      </w:r>
      <w:r w:rsidRPr="006C6578">
        <w:rPr>
          <w:rStyle w:val="FootnoteReference"/>
          <w:rFonts w:asciiTheme="majorHAnsi" w:hAnsiTheme="majorHAnsi" w:cstheme="majorHAnsi"/>
          <w:color w:val="000000" w:themeColor="text1"/>
        </w:rPr>
        <w:footnoteReference w:id="2"/>
      </w:r>
      <w:r w:rsidRPr="006C6578">
        <w:rPr>
          <w:rFonts w:asciiTheme="majorHAnsi" w:hAnsiTheme="majorHAnsi" w:cstheme="majorHAnsi"/>
          <w:color w:val="000000" w:themeColor="text1"/>
          <w:szCs w:val="24"/>
        </w:rPr>
        <w:t xml:space="preserve"> The national trimmed mean inflation was 4.1 per cent over the year.</w:t>
      </w:r>
      <w:r w:rsidRPr="006C6578">
        <w:rPr>
          <w:rStyle w:val="FootnoteReference"/>
          <w:rFonts w:asciiTheme="majorHAnsi" w:hAnsiTheme="majorHAnsi" w:cstheme="majorHAnsi"/>
          <w:color w:val="000000" w:themeColor="text1"/>
        </w:rPr>
        <w:footnoteReference w:id="3"/>
      </w:r>
      <w:r w:rsidRPr="006C6578">
        <w:rPr>
          <w:rFonts w:asciiTheme="majorHAnsi" w:hAnsiTheme="majorHAnsi" w:cstheme="majorHAnsi"/>
          <w:color w:val="000000" w:themeColor="text1"/>
          <w:szCs w:val="24"/>
        </w:rPr>
        <w:t xml:space="preserve"> </w:t>
      </w:r>
    </w:p>
    <w:p w14:paraId="1DB3B13C" w14:textId="77777777" w:rsidR="009B6266" w:rsidRPr="009B6266" w:rsidRDefault="009B6266" w:rsidP="009B6266">
      <w:pPr>
        <w:spacing w:after="120"/>
        <w:rPr>
          <w:rFonts w:cs="Calibri"/>
          <w:color w:val="000000" w:themeColor="text1"/>
          <w:szCs w:val="24"/>
        </w:rPr>
      </w:pPr>
      <w:r w:rsidRPr="009B6266">
        <w:rPr>
          <w:rFonts w:cs="Calibri"/>
          <w:color w:val="000000" w:themeColor="text1"/>
          <w:szCs w:val="24"/>
        </w:rPr>
        <w:t>While the Tribunal recognised the rise in cost of living has been high, the Tribunal also noted that CPI growth is slowing and the increase to remuneration provided in this determination reflects this.</w:t>
      </w:r>
    </w:p>
    <w:p w14:paraId="11A30804" w14:textId="77777777" w:rsidR="009B6266" w:rsidRPr="009B6266" w:rsidRDefault="009B6266" w:rsidP="009B6266">
      <w:pPr>
        <w:spacing w:after="120"/>
        <w:rPr>
          <w:rFonts w:cs="Calibri"/>
          <w:szCs w:val="24"/>
        </w:rPr>
      </w:pPr>
      <w:r w:rsidRPr="009B6266">
        <w:rPr>
          <w:rFonts w:cs="Calibri"/>
          <w:szCs w:val="24"/>
        </w:rPr>
        <w:t xml:space="preserve">In its deliberations, the Tribunal continued to give considerable weight to community standards and expectations with reference to wage growth nationally and locally, and the Territory’s tight job market. The Tribunal considered the importance of the Territory providing competitive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 </w:t>
      </w:r>
    </w:p>
    <w:p w14:paraId="3677444A" w14:textId="77777777" w:rsidR="009B6266" w:rsidRPr="009B6266" w:rsidRDefault="009B6266" w:rsidP="009B6266">
      <w:pPr>
        <w:spacing w:after="120"/>
        <w:rPr>
          <w:szCs w:val="24"/>
        </w:rPr>
      </w:pPr>
      <w:r w:rsidRPr="009B6266">
        <w:rPr>
          <w:szCs w:val="24"/>
        </w:rPr>
        <w:t>In making this determination, the Tribunal considered</w:t>
      </w:r>
      <w:r w:rsidRPr="009B6266" w:rsidDel="00C0023C">
        <w:rPr>
          <w:szCs w:val="24"/>
        </w:rPr>
        <w:t xml:space="preserve"> </w:t>
      </w:r>
      <w:r w:rsidRPr="009B6266">
        <w:rPr>
          <w:szCs w:val="24"/>
        </w:rPr>
        <w:t xml:space="preserve">the ACT Government’s current Enterprise Agreement bargaining context and recognised that the current Government pay offer provides emphasis on raising wages for lower paid employees. </w:t>
      </w:r>
      <w:r w:rsidRPr="009B6266">
        <w:rPr>
          <w:rFonts w:cs="Calibri"/>
          <w:szCs w:val="24"/>
        </w:rPr>
        <w:t xml:space="preserve">The Tribunal had regard to the 2023–24 ACT Budget Review, released in February 2024 by ACT Treasury, which </w:t>
      </w:r>
      <w:r w:rsidRPr="009B6266">
        <w:rPr>
          <w:rFonts w:cs="Calibri"/>
          <w:szCs w:val="24"/>
        </w:rPr>
        <w:lastRenderedPageBreak/>
        <w:t>detailed a stabilising economy in 2022–23, including 4 per cent in WPI and 5.7 per cent in CPI.</w:t>
      </w:r>
      <w:r w:rsidRPr="00EC2C07">
        <w:rPr>
          <w:rStyle w:val="FootnoteReference"/>
          <w:rFonts w:cs="Calibri"/>
        </w:rPr>
        <w:footnoteReference w:id="4"/>
      </w:r>
      <w:r w:rsidRPr="009B6266">
        <w:rPr>
          <w:rFonts w:cs="Calibri"/>
          <w:szCs w:val="24"/>
        </w:rPr>
        <w:t xml:space="preserve"> The Tribunal also had reference to the personal income tax cuts that have been legislated to commence on 1 July 2024</w:t>
      </w:r>
      <w:r w:rsidRPr="00EC2C07">
        <w:rPr>
          <w:rStyle w:val="FootnoteReference"/>
        </w:rPr>
        <w:footnoteReference w:id="5"/>
      </w:r>
      <w:r w:rsidRPr="009B6266">
        <w:rPr>
          <w:rFonts w:cs="Calibri"/>
          <w:szCs w:val="24"/>
        </w:rPr>
        <w:t xml:space="preserve"> and noted that they will provide additional cost of living relief for wage and salary earners and, notwithstanding the recent amendments to these personal income tax cuts, will still provide material relief to individuals earning over $180,000.</w:t>
      </w:r>
    </w:p>
    <w:p w14:paraId="1883A5A0" w14:textId="77777777" w:rsidR="009B6266" w:rsidRPr="009B6266" w:rsidRDefault="009B6266" w:rsidP="009B6266">
      <w:pPr>
        <w:spacing w:after="120"/>
        <w:rPr>
          <w:rFonts w:cs="Calibri"/>
          <w:color w:val="000000" w:themeColor="text1"/>
          <w:szCs w:val="24"/>
        </w:rPr>
      </w:pPr>
      <w:r w:rsidRPr="009B6266">
        <w:rPr>
          <w:rFonts w:cs="Calibri"/>
          <w:color w:val="000000" w:themeColor="text1"/>
          <w:szCs w:val="24"/>
        </w:rPr>
        <w:t xml:space="preserve">The Tribunal considered the national and the local contexts, in particular the anticipated movements in wages locally and nationally and the advice that the current economic circumstances in the Territory are stable. </w:t>
      </w:r>
      <w:bookmarkEnd w:id="2"/>
      <w:r w:rsidRPr="009B6266">
        <w:rPr>
          <w:rFonts w:cs="Calibri"/>
          <w:color w:val="000000" w:themeColor="text1"/>
          <w:szCs w:val="24"/>
        </w:rPr>
        <w:t xml:space="preserve">It therefore decided that an increase to remuneration of 3 per cent is a measured response given the current circumstances. </w:t>
      </w:r>
    </w:p>
    <w:p w14:paraId="0D759D55" w14:textId="77777777" w:rsidR="009B6266" w:rsidRPr="009B6266" w:rsidRDefault="009B6266" w:rsidP="009B6266">
      <w:pPr>
        <w:spacing w:after="120"/>
        <w:rPr>
          <w:rFonts w:cs="Calibri"/>
          <w:color w:val="000000" w:themeColor="text1"/>
          <w:szCs w:val="24"/>
          <w:u w:val="single"/>
        </w:rPr>
      </w:pPr>
      <w:bookmarkStart w:id="4" w:name="_Hlk161656605"/>
      <w:r w:rsidRPr="009B6266">
        <w:rPr>
          <w:rFonts w:cs="Calibri"/>
          <w:color w:val="000000" w:themeColor="text1"/>
          <w:szCs w:val="24"/>
          <w:u w:val="single"/>
        </w:rPr>
        <w:t>Submission from the ACT Electoral Commissioner</w:t>
      </w:r>
    </w:p>
    <w:p w14:paraId="74216DD0" w14:textId="77777777" w:rsidR="009B6266" w:rsidRPr="009B6266" w:rsidRDefault="009B6266" w:rsidP="009B6266">
      <w:pPr>
        <w:spacing w:after="120"/>
        <w:rPr>
          <w:rFonts w:cs="Calibri"/>
          <w:color w:val="000000" w:themeColor="text1"/>
          <w:szCs w:val="24"/>
        </w:rPr>
      </w:pPr>
      <w:r w:rsidRPr="009B6266">
        <w:rPr>
          <w:rFonts w:cs="Calibri"/>
          <w:color w:val="000000" w:themeColor="text1"/>
          <w:szCs w:val="24"/>
        </w:rPr>
        <w:t xml:space="preserve">The Tribunal received a submission from the ACT Electoral Commissioner. </w:t>
      </w:r>
    </w:p>
    <w:p w14:paraId="417EBDA6" w14:textId="39064D26" w:rsidR="009B6266" w:rsidRPr="009B6266" w:rsidRDefault="009B6266" w:rsidP="009B6266">
      <w:pPr>
        <w:spacing w:after="120"/>
        <w:rPr>
          <w:rFonts w:cs="Calibri"/>
          <w:color w:val="000000" w:themeColor="text1"/>
          <w:szCs w:val="24"/>
        </w:rPr>
      </w:pPr>
      <w:r w:rsidRPr="009B6266">
        <w:rPr>
          <w:szCs w:val="24"/>
        </w:rPr>
        <w:t>The Tribunal discussed the work value, workload, complexities, and relativities of the position with the ACT Electoral Commissioner. The Tribunal had regard to the challenging nature of maintaining the integrity of an electronic voting system, and the evolving threats to that integrity. The Tribunal considered the local and global risk of increasing threat to electoral integrity. The Tribunal also considered the factors outlined in the submission from the ACT Electoral Commissioner in relation to</w:t>
      </w:r>
      <w:r w:rsidR="00507EB9">
        <w:rPr>
          <w:szCs w:val="24"/>
        </w:rPr>
        <w:t xml:space="preserve"> an increase in</w:t>
      </w:r>
      <w:r w:rsidRPr="009B6266">
        <w:rPr>
          <w:szCs w:val="24"/>
        </w:rPr>
        <w:t xml:space="preserve"> responsibilities</w:t>
      </w:r>
      <w:r w:rsidR="00694E86">
        <w:rPr>
          <w:szCs w:val="24"/>
        </w:rPr>
        <w:t>.</w:t>
      </w:r>
    </w:p>
    <w:p w14:paraId="363E5129" w14:textId="07FCC6C0" w:rsidR="009B6266" w:rsidRPr="009B6266" w:rsidRDefault="009B6266" w:rsidP="009B6266">
      <w:pPr>
        <w:spacing w:after="120"/>
        <w:rPr>
          <w:rFonts w:cs="Calibri"/>
          <w:color w:val="000000" w:themeColor="text1"/>
          <w:szCs w:val="24"/>
        </w:rPr>
      </w:pPr>
      <w:r w:rsidRPr="009B6266">
        <w:rPr>
          <w:szCs w:val="24"/>
        </w:rPr>
        <w:t xml:space="preserve">Having regard to </w:t>
      </w:r>
      <w:proofErr w:type="gramStart"/>
      <w:r w:rsidRPr="009B6266">
        <w:rPr>
          <w:szCs w:val="24"/>
        </w:rPr>
        <w:t>all of</w:t>
      </w:r>
      <w:proofErr w:type="gramEnd"/>
      <w:r w:rsidRPr="009B6266">
        <w:rPr>
          <w:szCs w:val="24"/>
        </w:rPr>
        <w:t xml:space="preserve"> the</w:t>
      </w:r>
      <w:r w:rsidR="00694E86">
        <w:rPr>
          <w:szCs w:val="24"/>
        </w:rPr>
        <w:t>se</w:t>
      </w:r>
      <w:r w:rsidRPr="009B6266">
        <w:rPr>
          <w:szCs w:val="24"/>
        </w:rPr>
        <w:t xml:space="preserve"> circumstances, the Tribunal determined that there is a compelling argument to increase the remuneration of the Electoral Commissioner. The Tribunal decided that an increase of base salary to $275,000 is a measured response to the current responsibilities and expectations of the role. </w:t>
      </w:r>
    </w:p>
    <w:bookmarkEnd w:id="4"/>
    <w:p w14:paraId="0FBC7328" w14:textId="77777777" w:rsidR="009B6266" w:rsidRPr="009B6266" w:rsidRDefault="009B6266" w:rsidP="009B6266">
      <w:pPr>
        <w:rPr>
          <w:b/>
          <w:color w:val="000000" w:themeColor="text1"/>
          <w:szCs w:val="24"/>
        </w:rPr>
      </w:pPr>
      <w:r w:rsidRPr="009B6266">
        <w:rPr>
          <w:b/>
          <w:color w:val="000000" w:themeColor="text1"/>
          <w:szCs w:val="24"/>
        </w:rPr>
        <w:t>Decision</w:t>
      </w:r>
    </w:p>
    <w:p w14:paraId="4B9A702A" w14:textId="77777777" w:rsidR="009B6266" w:rsidRPr="009B6266" w:rsidRDefault="009B6266" w:rsidP="009B6266">
      <w:pPr>
        <w:spacing w:before="240" w:after="120"/>
        <w:rPr>
          <w:color w:val="000000" w:themeColor="text1"/>
          <w:szCs w:val="24"/>
        </w:rPr>
      </w:pPr>
      <w:bookmarkStart w:id="5" w:name="_Hlk97552719"/>
      <w:r w:rsidRPr="009B6266">
        <w:rPr>
          <w:color w:val="000000" w:themeColor="text1"/>
          <w:szCs w:val="24"/>
        </w:rPr>
        <w:t xml:space="preserve">The Tribunal determines to provide an increase of 3 per cent to the base </w:t>
      </w:r>
      <w:r w:rsidRPr="009B6266">
        <w:rPr>
          <w:color w:val="000000" w:themeColor="text1"/>
          <w:szCs w:val="24"/>
          <w:lang w:val="x-none"/>
        </w:rPr>
        <w:t xml:space="preserve">remuneration of </w:t>
      </w:r>
      <w:r w:rsidRPr="009B6266">
        <w:rPr>
          <w:color w:val="000000" w:themeColor="text1"/>
          <w:szCs w:val="24"/>
        </w:rPr>
        <w:t>officeholders</w:t>
      </w:r>
      <w:r w:rsidRPr="009B6266">
        <w:rPr>
          <w:color w:val="000000" w:themeColor="text1"/>
          <w:szCs w:val="24"/>
          <w:lang w:val="x-none"/>
        </w:rPr>
        <w:t xml:space="preserve"> </w:t>
      </w:r>
      <w:r w:rsidRPr="009B6266">
        <w:rPr>
          <w:color w:val="000000" w:themeColor="text1"/>
          <w:szCs w:val="24"/>
        </w:rPr>
        <w:t>covered by this Determination</w:t>
      </w:r>
      <w:r w:rsidRPr="009B6266">
        <w:rPr>
          <w:color w:val="000000" w:themeColor="text1"/>
          <w:szCs w:val="24"/>
          <w:lang w:val="x-none"/>
        </w:rPr>
        <w:t xml:space="preserve">. </w:t>
      </w:r>
      <w:r w:rsidRPr="009B6266">
        <w:rPr>
          <w:color w:val="000000" w:themeColor="text1"/>
          <w:szCs w:val="24"/>
        </w:rPr>
        <w:t>The increase will commence on 1 July 2024.</w:t>
      </w:r>
      <w:bookmarkEnd w:id="5"/>
    </w:p>
    <w:p w14:paraId="7ECDE2A8" w14:textId="77777777" w:rsidR="009B6266" w:rsidRPr="009B6266" w:rsidRDefault="009B6266" w:rsidP="009B6266">
      <w:pPr>
        <w:spacing w:before="240" w:after="120"/>
        <w:rPr>
          <w:color w:val="000000" w:themeColor="text1"/>
          <w:szCs w:val="24"/>
          <w:lang w:val="x-none"/>
        </w:rPr>
      </w:pPr>
      <w:r w:rsidRPr="009B6266">
        <w:rPr>
          <w:color w:val="000000" w:themeColor="text1"/>
          <w:szCs w:val="24"/>
        </w:rPr>
        <w:t xml:space="preserve">The Tribunal determines to provide an increase to the base remuneration to $275,000 of the ACT Electoral Commissioner. </w:t>
      </w:r>
    </w:p>
    <w:p w14:paraId="6CDA23ED" w14:textId="2768CBEC" w:rsidR="00F30A6E" w:rsidRPr="00382C46" w:rsidRDefault="00C845C4" w:rsidP="00F30A6E">
      <w:pPr>
        <w:ind w:left="360"/>
        <w:jc w:val="right"/>
        <w:rPr>
          <w:szCs w:val="24"/>
        </w:rPr>
      </w:pPr>
      <w:r>
        <w:rPr>
          <w:szCs w:val="24"/>
        </w:rPr>
        <w:t>24</w:t>
      </w:r>
      <w:r w:rsidR="009B6266">
        <w:rPr>
          <w:szCs w:val="24"/>
        </w:rPr>
        <w:t xml:space="preserve"> </w:t>
      </w:r>
      <w:r w:rsidR="006C6578">
        <w:rPr>
          <w:szCs w:val="24"/>
        </w:rPr>
        <w:t>April</w:t>
      </w:r>
      <w:r w:rsidR="009B6266">
        <w:rPr>
          <w:szCs w:val="24"/>
        </w:rPr>
        <w:t xml:space="preserve"> 2024</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2FF4CE18" w:rsidR="00204A61" w:rsidRPr="00467BA6" w:rsidRDefault="00204A61" w:rsidP="00204A61">
      <w:pPr>
        <w:pStyle w:val="Heading1"/>
        <w:keepLines/>
        <w:pageBreakBefore w:val="0"/>
        <w:pBdr>
          <w:bottom w:val="none" w:sz="0" w:space="0" w:color="auto"/>
        </w:pBdr>
        <w:spacing w:before="240"/>
        <w:rPr>
          <w:color w:val="000000" w:themeColor="text1"/>
        </w:rPr>
      </w:pPr>
      <w:r w:rsidRPr="00467BA6">
        <w:rPr>
          <w:color w:val="000000" w:themeColor="text1"/>
        </w:rPr>
        <w:t xml:space="preserve">Determination </w:t>
      </w:r>
      <w:r w:rsidR="009B6266">
        <w:rPr>
          <w:color w:val="000000" w:themeColor="text1"/>
        </w:rPr>
        <w:t>3</w:t>
      </w:r>
      <w:r w:rsidR="007E424C" w:rsidRPr="00467BA6">
        <w:rPr>
          <w:color w:val="000000" w:themeColor="text1"/>
        </w:rPr>
        <w:t xml:space="preserve"> </w:t>
      </w:r>
      <w:r w:rsidRPr="00467BA6">
        <w:rPr>
          <w:color w:val="000000" w:themeColor="text1"/>
        </w:rPr>
        <w:t xml:space="preserve">of </w:t>
      </w:r>
      <w:r w:rsidR="007E424C" w:rsidRPr="00467BA6">
        <w:rPr>
          <w:color w:val="000000" w:themeColor="text1"/>
        </w:rPr>
        <w:t>20</w:t>
      </w:r>
      <w:r w:rsidR="004A61D9" w:rsidRPr="00467BA6">
        <w:rPr>
          <w:color w:val="000000" w:themeColor="text1"/>
        </w:rPr>
        <w:t>2</w:t>
      </w:r>
      <w:r w:rsidR="009B6266">
        <w:rPr>
          <w:color w:val="000000" w:themeColor="text1"/>
        </w:rPr>
        <w:t>4</w:t>
      </w:r>
    </w:p>
    <w:p w14:paraId="3536AA69" w14:textId="764699A8" w:rsidR="00E71B34" w:rsidRPr="00540F3A" w:rsidRDefault="00E71B34" w:rsidP="00E71B34">
      <w:pPr>
        <w:pStyle w:val="Heading1"/>
        <w:keepLines/>
        <w:pageBreakBefore w:val="0"/>
        <w:pBdr>
          <w:bottom w:val="none" w:sz="0" w:space="0" w:color="auto"/>
        </w:pBdr>
        <w:spacing w:before="240"/>
        <w:rPr>
          <w:color w:val="000000" w:themeColor="text1"/>
        </w:rPr>
      </w:pPr>
      <w:r w:rsidRPr="00540F3A">
        <w:rPr>
          <w:color w:val="000000" w:themeColor="text1"/>
        </w:rPr>
        <w:t xml:space="preserve">Full-time </w:t>
      </w:r>
      <w:r w:rsidR="00355BD4" w:rsidRPr="00540F3A">
        <w:rPr>
          <w:color w:val="000000" w:themeColor="text1"/>
        </w:rPr>
        <w:t>Statutory</w:t>
      </w:r>
      <w:r w:rsidRPr="00540F3A">
        <w:rPr>
          <w:color w:val="000000" w:themeColor="text1"/>
        </w:rPr>
        <w:t xml:space="preserve"> </w:t>
      </w:r>
      <w:proofErr w:type="gramStart"/>
      <w:r w:rsidRPr="00540F3A">
        <w:rPr>
          <w:color w:val="000000" w:themeColor="text1"/>
        </w:rPr>
        <w:t>Office</w:t>
      </w:r>
      <w:r w:rsidR="008A4A64">
        <w:rPr>
          <w:color w:val="000000" w:themeColor="text1"/>
        </w:rPr>
        <w:t>-</w:t>
      </w:r>
      <w:r w:rsidRPr="00540F3A">
        <w:rPr>
          <w:color w:val="000000" w:themeColor="text1"/>
        </w:rPr>
        <w:t>Holders</w:t>
      </w:r>
      <w:proofErr w:type="gramEnd"/>
      <w:r w:rsidR="004F6AA2" w:rsidRPr="00540F3A">
        <w:rPr>
          <w:color w:val="000000" w:themeColor="text1"/>
        </w:rPr>
        <w:t xml:space="preserve">: Auditor-General, Clerk of the Legislative Assembly, </w:t>
      </w:r>
      <w:r w:rsidR="00355BD4" w:rsidRPr="00540F3A">
        <w:rPr>
          <w:color w:val="000000" w:themeColor="text1"/>
        </w:rPr>
        <w:br/>
      </w:r>
      <w:r w:rsidR="004F6AA2" w:rsidRPr="00540F3A">
        <w:rPr>
          <w:color w:val="000000" w:themeColor="text1"/>
        </w:rPr>
        <w:t>Electoral Commissioner</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5D4F6A77"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B3771A">
        <w:t xml:space="preserve">is taken to have </w:t>
      </w:r>
      <w:r w:rsidR="00B3771A">
        <w:rPr>
          <w:color w:val="000000" w:themeColor="text1"/>
        </w:rPr>
        <w:t>commenced</w:t>
      </w:r>
      <w:r w:rsidR="00E66FEB" w:rsidRPr="00540F3A">
        <w:rPr>
          <w:color w:val="000000" w:themeColor="text1"/>
        </w:rPr>
        <w:t xml:space="preserve"> </w:t>
      </w:r>
      <w:r w:rsidR="00E66FEB" w:rsidRPr="00467BA6">
        <w:rPr>
          <w:color w:val="000000" w:themeColor="text1"/>
        </w:rPr>
        <w:t>on</w:t>
      </w:r>
      <w:r w:rsidR="00D34A6C" w:rsidRPr="00467BA6">
        <w:rPr>
          <w:color w:val="000000" w:themeColor="text1"/>
        </w:rPr>
        <w:t xml:space="preserve"> </w:t>
      </w:r>
      <w:r w:rsidR="00440A32" w:rsidRPr="00467BA6">
        <w:rPr>
          <w:color w:val="000000" w:themeColor="text1"/>
        </w:rPr>
        <w:t>1 July 202</w:t>
      </w:r>
      <w:r w:rsidR="009B6266">
        <w:rPr>
          <w:color w:val="000000" w:themeColor="text1"/>
        </w:rPr>
        <w:t>4</w:t>
      </w:r>
      <w:r w:rsidR="00B3771A">
        <w:rPr>
          <w:color w:val="000000" w:themeColor="text1"/>
        </w:rPr>
        <w:t>.</w:t>
      </w:r>
      <w:r w:rsidRPr="00764A8D">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54B7B3E9" w14:textId="77777777" w:rsidR="004F6AA2" w:rsidRPr="00540F3A" w:rsidRDefault="004F6AA2"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the Auditor-</w:t>
      </w:r>
      <w:proofErr w:type="gramStart"/>
      <w:r w:rsidRPr="00540F3A">
        <w:rPr>
          <w:color w:val="000000" w:themeColor="text1"/>
          <w:sz w:val="24"/>
          <w:szCs w:val="24"/>
        </w:rPr>
        <w:t>General;</w:t>
      </w:r>
      <w:proofErr w:type="gramEnd"/>
      <w:r w:rsidRPr="00540F3A">
        <w:rPr>
          <w:color w:val="000000" w:themeColor="text1"/>
          <w:sz w:val="24"/>
          <w:szCs w:val="24"/>
        </w:rPr>
        <w:t xml:space="preserve"> </w:t>
      </w:r>
    </w:p>
    <w:p w14:paraId="267DC6C4" w14:textId="77777777" w:rsidR="00FC56F1" w:rsidRPr="00540F3A" w:rsidRDefault="00500C2D"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Clerk of the Legislative Assembly</w:t>
      </w:r>
      <w:r w:rsidRPr="00540F3A">
        <w:rPr>
          <w:color w:val="000000" w:themeColor="text1"/>
          <w:sz w:val="24"/>
          <w:szCs w:val="24"/>
        </w:rPr>
        <w:t>;</w:t>
      </w:r>
      <w:r w:rsidR="004F6AA2" w:rsidRPr="00540F3A">
        <w:rPr>
          <w:color w:val="000000" w:themeColor="text1"/>
          <w:sz w:val="24"/>
          <w:szCs w:val="24"/>
        </w:rPr>
        <w:t xml:space="preserve"> </w:t>
      </w:r>
      <w:r w:rsidRPr="00540F3A">
        <w:rPr>
          <w:color w:val="000000" w:themeColor="text1"/>
          <w:sz w:val="24"/>
          <w:szCs w:val="24"/>
        </w:rPr>
        <w:t>and</w:t>
      </w:r>
    </w:p>
    <w:p w14:paraId="423F1C41" w14:textId="77777777" w:rsidR="00FC56F1" w:rsidRPr="00540F3A" w:rsidRDefault="00500C2D"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Electoral Commissioner.</w:t>
      </w:r>
    </w:p>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02C25E08" w:rsidR="001461C0"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230899CE" w14:textId="77777777" w:rsidR="00656B85" w:rsidRDefault="00656B85" w:rsidP="00656B85">
      <w:pPr>
        <w:pStyle w:val="Heading3"/>
        <w:numPr>
          <w:ilvl w:val="0"/>
          <w:numId w:val="0"/>
        </w:numPr>
        <w:tabs>
          <w:tab w:val="left" w:pos="720"/>
        </w:tabs>
        <w:ind w:left="720" w:hanging="720"/>
      </w:pPr>
      <w:r>
        <w:t>TABLE 3.1</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64"/>
        <w:gridCol w:w="2835"/>
        <w:gridCol w:w="3119"/>
      </w:tblGrid>
      <w:tr w:rsidR="009B6266" w14:paraId="782E8027" w14:textId="77777777" w:rsidTr="00590A67">
        <w:tc>
          <w:tcPr>
            <w:tcW w:w="2864" w:type="dxa"/>
            <w:tcBorders>
              <w:top w:val="single" w:sz="4" w:space="0" w:color="auto"/>
              <w:left w:val="single" w:sz="4" w:space="0" w:color="auto"/>
              <w:bottom w:val="single" w:sz="4" w:space="0" w:color="auto"/>
              <w:right w:val="single" w:sz="4" w:space="0" w:color="auto"/>
            </w:tcBorders>
            <w:hideMark/>
          </w:tcPr>
          <w:p w14:paraId="3507AA6F" w14:textId="77777777" w:rsidR="009B6266" w:rsidRDefault="009B6266" w:rsidP="00590A67">
            <w:pPr>
              <w:spacing w:before="60" w:after="60"/>
              <w:rPr>
                <w:sz w:val="22"/>
                <w:szCs w:val="22"/>
              </w:rPr>
            </w:pPr>
            <w:bookmarkStart w:id="6" w:name="_Hlk136535366"/>
            <w:r>
              <w:rPr>
                <w:sz w:val="22"/>
                <w:szCs w:val="22"/>
              </w:rPr>
              <w:t>Column 1</w:t>
            </w:r>
          </w:p>
          <w:p w14:paraId="02222C30" w14:textId="77777777" w:rsidR="009B6266" w:rsidRDefault="009B6266" w:rsidP="00590A67">
            <w:pPr>
              <w:spacing w:before="60" w:after="60"/>
              <w:rPr>
                <w:b/>
                <w:szCs w:val="22"/>
              </w:rPr>
            </w:pPr>
            <w:r>
              <w:rPr>
                <w:b/>
                <w:sz w:val="22"/>
                <w:szCs w:val="22"/>
              </w:rPr>
              <w:t>Office</w:t>
            </w:r>
          </w:p>
        </w:tc>
        <w:tc>
          <w:tcPr>
            <w:tcW w:w="2835" w:type="dxa"/>
            <w:tcBorders>
              <w:top w:val="single" w:sz="4" w:space="0" w:color="auto"/>
              <w:left w:val="single" w:sz="4" w:space="0" w:color="auto"/>
              <w:bottom w:val="single" w:sz="4" w:space="0" w:color="auto"/>
              <w:right w:val="single" w:sz="4" w:space="0" w:color="auto"/>
            </w:tcBorders>
            <w:vAlign w:val="bottom"/>
          </w:tcPr>
          <w:p w14:paraId="7405D8F8" w14:textId="77777777" w:rsidR="009B6266" w:rsidRDefault="009B6266" w:rsidP="00590A67">
            <w:pPr>
              <w:rPr>
                <w:bCs/>
                <w:sz w:val="22"/>
                <w:szCs w:val="22"/>
              </w:rPr>
            </w:pPr>
            <w:r>
              <w:rPr>
                <w:bCs/>
                <w:sz w:val="22"/>
                <w:szCs w:val="22"/>
              </w:rPr>
              <w:t>Column 2</w:t>
            </w:r>
          </w:p>
          <w:p w14:paraId="1F619065" w14:textId="77777777" w:rsidR="009B6266" w:rsidRDefault="009B6266" w:rsidP="00590A67">
            <w:pPr>
              <w:rPr>
                <w:b/>
                <w:bCs/>
                <w:sz w:val="22"/>
                <w:szCs w:val="22"/>
              </w:rPr>
            </w:pPr>
            <w:r>
              <w:rPr>
                <w:b/>
                <w:bCs/>
                <w:sz w:val="22"/>
                <w:szCs w:val="22"/>
              </w:rPr>
              <w:t>Base Remuneration</w:t>
            </w:r>
          </w:p>
          <w:p w14:paraId="7CED2544" w14:textId="77777777" w:rsidR="009B6266" w:rsidRDefault="009B6266" w:rsidP="00590A67">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0BB92D9" w14:textId="77777777" w:rsidR="009B6266" w:rsidRDefault="009B6266" w:rsidP="00590A67">
            <w:pPr>
              <w:rPr>
                <w:bCs/>
                <w:sz w:val="22"/>
                <w:szCs w:val="22"/>
                <w:vertAlign w:val="superscript"/>
              </w:rPr>
            </w:pPr>
            <w:r>
              <w:rPr>
                <w:bCs/>
                <w:sz w:val="22"/>
                <w:szCs w:val="22"/>
              </w:rPr>
              <w:t>Column 3</w:t>
            </w:r>
            <w:r>
              <w:rPr>
                <w:rStyle w:val="FootnoteReference"/>
                <w:bCs/>
              </w:rPr>
              <w:footnoteReference w:id="6"/>
            </w:r>
          </w:p>
          <w:p w14:paraId="26FD4D19" w14:textId="77777777" w:rsidR="009B6266" w:rsidRDefault="009B6266" w:rsidP="00590A67">
            <w:pPr>
              <w:rPr>
                <w:b/>
                <w:bCs/>
                <w:sz w:val="22"/>
                <w:szCs w:val="22"/>
              </w:rPr>
            </w:pPr>
            <w:r>
              <w:rPr>
                <w:b/>
                <w:bCs/>
                <w:sz w:val="22"/>
                <w:szCs w:val="22"/>
              </w:rPr>
              <w:t>Total Remuneration</w:t>
            </w:r>
          </w:p>
          <w:p w14:paraId="5E838FBF" w14:textId="77777777" w:rsidR="009B6266" w:rsidRDefault="009B6266" w:rsidP="00590A67">
            <w:pPr>
              <w:rPr>
                <w:bCs/>
                <w:sz w:val="22"/>
                <w:szCs w:val="22"/>
              </w:rPr>
            </w:pPr>
          </w:p>
        </w:tc>
      </w:tr>
      <w:tr w:rsidR="009B6266" w14:paraId="6325C85A" w14:textId="77777777" w:rsidTr="00590A67">
        <w:tc>
          <w:tcPr>
            <w:tcW w:w="2864" w:type="dxa"/>
            <w:tcBorders>
              <w:top w:val="single" w:sz="4" w:space="0" w:color="auto"/>
              <w:left w:val="single" w:sz="4" w:space="0" w:color="auto"/>
              <w:bottom w:val="single" w:sz="4" w:space="0" w:color="auto"/>
              <w:right w:val="single" w:sz="4" w:space="0" w:color="auto"/>
            </w:tcBorders>
            <w:hideMark/>
          </w:tcPr>
          <w:p w14:paraId="2AF75C58" w14:textId="77777777" w:rsidR="009B6266" w:rsidRDefault="009B6266" w:rsidP="00590A67">
            <w:pPr>
              <w:spacing w:before="60" w:after="60"/>
              <w:rPr>
                <w:szCs w:val="22"/>
              </w:rPr>
            </w:pPr>
            <w:r w:rsidRPr="00540F3A">
              <w:rPr>
                <w:color w:val="000000" w:themeColor="text1"/>
                <w:szCs w:val="24"/>
              </w:rPr>
              <w:t>Auditor-General</w:t>
            </w:r>
          </w:p>
        </w:tc>
        <w:tc>
          <w:tcPr>
            <w:tcW w:w="2835" w:type="dxa"/>
            <w:tcBorders>
              <w:top w:val="single" w:sz="4" w:space="0" w:color="auto"/>
              <w:left w:val="single" w:sz="4" w:space="0" w:color="auto"/>
              <w:bottom w:val="single" w:sz="4" w:space="0" w:color="auto"/>
              <w:right w:val="single" w:sz="4" w:space="0" w:color="auto"/>
            </w:tcBorders>
            <w:hideMark/>
          </w:tcPr>
          <w:p w14:paraId="6E9E5F54" w14:textId="77777777" w:rsidR="009B6266" w:rsidRPr="00503585" w:rsidRDefault="009B6266" w:rsidP="00590A67">
            <w:pPr>
              <w:rPr>
                <w:bCs/>
                <w:color w:val="000000" w:themeColor="text1"/>
                <w:sz w:val="22"/>
                <w:szCs w:val="22"/>
                <w:highlight w:val="yellow"/>
              </w:rPr>
            </w:pPr>
            <w:r w:rsidRPr="00503585">
              <w:rPr>
                <w:color w:val="000000" w:themeColor="text1"/>
                <w:szCs w:val="24"/>
              </w:rPr>
              <w:t>$349,69</w:t>
            </w:r>
            <w:r>
              <w:rPr>
                <w:color w:val="000000" w:themeColor="text1"/>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4CBBFEAB" w14:textId="77777777" w:rsidR="009B6266" w:rsidRPr="00503585" w:rsidRDefault="009B6266" w:rsidP="00590A67">
            <w:pPr>
              <w:rPr>
                <w:color w:val="000000" w:themeColor="text1"/>
                <w:highlight w:val="yellow"/>
              </w:rPr>
            </w:pPr>
            <w:r w:rsidRPr="00503585">
              <w:rPr>
                <w:color w:val="000000" w:themeColor="text1"/>
              </w:rPr>
              <w:t>$382,19</w:t>
            </w:r>
            <w:r>
              <w:rPr>
                <w:color w:val="000000" w:themeColor="text1"/>
              </w:rPr>
              <w:t>5</w:t>
            </w:r>
          </w:p>
        </w:tc>
      </w:tr>
      <w:tr w:rsidR="009B6266" w14:paraId="328039DD" w14:textId="77777777" w:rsidTr="00590A67">
        <w:tc>
          <w:tcPr>
            <w:tcW w:w="2864" w:type="dxa"/>
            <w:tcBorders>
              <w:top w:val="single" w:sz="4" w:space="0" w:color="auto"/>
              <w:left w:val="single" w:sz="4" w:space="0" w:color="auto"/>
              <w:bottom w:val="single" w:sz="4" w:space="0" w:color="auto"/>
              <w:right w:val="single" w:sz="4" w:space="0" w:color="auto"/>
            </w:tcBorders>
            <w:hideMark/>
          </w:tcPr>
          <w:p w14:paraId="3B84038E" w14:textId="77777777" w:rsidR="009B6266" w:rsidRDefault="009B6266" w:rsidP="00590A67">
            <w:pPr>
              <w:pStyle w:val="Header"/>
              <w:spacing w:before="60" w:after="60"/>
              <w:rPr>
                <w:szCs w:val="22"/>
              </w:rPr>
            </w:pPr>
            <w:r w:rsidRPr="00540F3A">
              <w:rPr>
                <w:color w:val="000000" w:themeColor="text1"/>
                <w:szCs w:val="24"/>
              </w:rPr>
              <w:lastRenderedPageBreak/>
              <w:t>Clerk of the Legislative Assembly</w:t>
            </w:r>
          </w:p>
        </w:tc>
        <w:tc>
          <w:tcPr>
            <w:tcW w:w="2835" w:type="dxa"/>
            <w:tcBorders>
              <w:top w:val="single" w:sz="4" w:space="0" w:color="auto"/>
              <w:left w:val="single" w:sz="4" w:space="0" w:color="auto"/>
              <w:bottom w:val="single" w:sz="4" w:space="0" w:color="auto"/>
              <w:right w:val="single" w:sz="4" w:space="0" w:color="auto"/>
            </w:tcBorders>
            <w:hideMark/>
          </w:tcPr>
          <w:p w14:paraId="528936C7" w14:textId="77777777" w:rsidR="009B6266" w:rsidRPr="00503585" w:rsidRDefault="009B6266" w:rsidP="00590A67">
            <w:pPr>
              <w:rPr>
                <w:bCs/>
                <w:color w:val="000000" w:themeColor="text1"/>
                <w:sz w:val="22"/>
                <w:szCs w:val="22"/>
                <w:highlight w:val="yellow"/>
              </w:rPr>
            </w:pPr>
            <w:r w:rsidRPr="00503585">
              <w:rPr>
                <w:color w:val="000000" w:themeColor="text1"/>
                <w:szCs w:val="24"/>
              </w:rPr>
              <w:t>$267,824</w:t>
            </w:r>
          </w:p>
        </w:tc>
        <w:tc>
          <w:tcPr>
            <w:tcW w:w="3119" w:type="dxa"/>
            <w:tcBorders>
              <w:top w:val="single" w:sz="4" w:space="0" w:color="auto"/>
              <w:left w:val="single" w:sz="4" w:space="0" w:color="auto"/>
              <w:bottom w:val="single" w:sz="4" w:space="0" w:color="auto"/>
              <w:right w:val="single" w:sz="4" w:space="0" w:color="auto"/>
            </w:tcBorders>
            <w:hideMark/>
          </w:tcPr>
          <w:p w14:paraId="7507421D" w14:textId="77777777" w:rsidR="009B6266" w:rsidRPr="00503585" w:rsidRDefault="009B6266" w:rsidP="00590A67">
            <w:pPr>
              <w:rPr>
                <w:color w:val="000000" w:themeColor="text1"/>
                <w:highlight w:val="yellow"/>
              </w:rPr>
            </w:pPr>
            <w:r w:rsidRPr="00503585">
              <w:rPr>
                <w:color w:val="000000" w:themeColor="text1"/>
              </w:rPr>
              <w:t>$299,824</w:t>
            </w:r>
          </w:p>
        </w:tc>
      </w:tr>
      <w:tr w:rsidR="009B6266" w14:paraId="553CA76F" w14:textId="77777777" w:rsidTr="00590A67">
        <w:tc>
          <w:tcPr>
            <w:tcW w:w="2864" w:type="dxa"/>
            <w:tcBorders>
              <w:top w:val="single" w:sz="4" w:space="0" w:color="auto"/>
              <w:left w:val="single" w:sz="4" w:space="0" w:color="auto"/>
              <w:bottom w:val="single" w:sz="4" w:space="0" w:color="auto"/>
              <w:right w:val="single" w:sz="4" w:space="0" w:color="auto"/>
            </w:tcBorders>
          </w:tcPr>
          <w:p w14:paraId="7C389957" w14:textId="77777777" w:rsidR="009B6266" w:rsidRPr="00540F3A" w:rsidRDefault="009B6266" w:rsidP="00590A67">
            <w:pPr>
              <w:pStyle w:val="Header"/>
              <w:spacing w:before="60" w:after="60"/>
              <w:rPr>
                <w:color w:val="000000" w:themeColor="text1"/>
                <w:szCs w:val="24"/>
              </w:rPr>
            </w:pPr>
            <w:r w:rsidRPr="00540F3A">
              <w:rPr>
                <w:color w:val="000000" w:themeColor="text1"/>
                <w:szCs w:val="24"/>
              </w:rPr>
              <w:t>Electoral Commissioner</w:t>
            </w:r>
          </w:p>
        </w:tc>
        <w:tc>
          <w:tcPr>
            <w:tcW w:w="2835" w:type="dxa"/>
            <w:tcBorders>
              <w:top w:val="single" w:sz="4" w:space="0" w:color="auto"/>
              <w:left w:val="single" w:sz="4" w:space="0" w:color="auto"/>
              <w:bottom w:val="single" w:sz="4" w:space="0" w:color="auto"/>
              <w:right w:val="single" w:sz="4" w:space="0" w:color="auto"/>
            </w:tcBorders>
          </w:tcPr>
          <w:p w14:paraId="225F9871" w14:textId="77777777" w:rsidR="009B6266" w:rsidRDefault="009B6266" w:rsidP="00590A67">
            <w:pPr>
              <w:rPr>
                <w:color w:val="FF0000"/>
                <w:szCs w:val="24"/>
              </w:rPr>
            </w:pPr>
            <w:r>
              <w:rPr>
                <w:color w:val="000000" w:themeColor="text1"/>
                <w:szCs w:val="24"/>
              </w:rPr>
              <w:t>$275,000</w:t>
            </w:r>
          </w:p>
        </w:tc>
        <w:tc>
          <w:tcPr>
            <w:tcW w:w="3119" w:type="dxa"/>
            <w:tcBorders>
              <w:top w:val="single" w:sz="4" w:space="0" w:color="auto"/>
              <w:left w:val="single" w:sz="4" w:space="0" w:color="auto"/>
              <w:bottom w:val="single" w:sz="4" w:space="0" w:color="auto"/>
              <w:right w:val="single" w:sz="4" w:space="0" w:color="auto"/>
            </w:tcBorders>
          </w:tcPr>
          <w:p w14:paraId="4867E803" w14:textId="77777777" w:rsidR="009B6266" w:rsidRDefault="009B6266" w:rsidP="00590A67">
            <w:pPr>
              <w:rPr>
                <w:color w:val="000000" w:themeColor="text1"/>
              </w:rPr>
            </w:pPr>
            <w:r>
              <w:rPr>
                <w:color w:val="000000" w:themeColor="text1"/>
              </w:rPr>
              <w:t>$307,000</w:t>
            </w:r>
          </w:p>
        </w:tc>
      </w:tr>
    </w:tbl>
    <w:p w14:paraId="45509249" w14:textId="742CDDD8" w:rsidR="00FB49BB" w:rsidRPr="00371BF3" w:rsidRDefault="00DF0E97" w:rsidP="00371BF3">
      <w:pPr>
        <w:numPr>
          <w:ilvl w:val="1"/>
          <w:numId w:val="4"/>
        </w:numPr>
        <w:tabs>
          <w:tab w:val="clear" w:pos="720"/>
          <w:tab w:val="num" w:pos="0"/>
        </w:tabs>
        <w:spacing w:before="80" w:after="60"/>
        <w:ind w:left="709" w:hanging="709"/>
      </w:pPr>
      <w:r>
        <w:t xml:space="preserve">Where a person appointed to an office listed above has an employer-provided vehicle, column 2 of Table </w:t>
      </w:r>
      <w:r w:rsidR="00AD2FD8">
        <w:t>3</w:t>
      </w:r>
      <w:r>
        <w:t>.1 is the total remuneration payable.</w:t>
      </w:r>
      <w:r w:rsidR="008743D2">
        <w:t xml:space="preserve"> </w:t>
      </w:r>
    </w:p>
    <w:bookmarkEnd w:id="6"/>
    <w:p w14:paraId="44C1B214" w14:textId="525FEE94"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59383D76" w14:textId="77777777" w:rsidR="00A82F8D" w:rsidRDefault="00A82F8D" w:rsidP="00A82F8D">
      <w:pPr>
        <w:pStyle w:val="Heading3"/>
      </w:pPr>
      <w:bookmarkStart w:id="8" w:name="_Hlk136539025"/>
      <w:r w:rsidRPr="006E7416">
        <w:t>Vehicle</w:t>
      </w:r>
    </w:p>
    <w:p w14:paraId="5D9AADBC" w14:textId="7B9492F0" w:rsidR="00A82F8D" w:rsidRPr="001325F0" w:rsidRDefault="00A82F8D" w:rsidP="00A82F8D">
      <w:pPr>
        <w:numPr>
          <w:ilvl w:val="1"/>
          <w:numId w:val="4"/>
        </w:numPr>
        <w:spacing w:before="80" w:after="60"/>
        <w:rPr>
          <w:color w:val="000000" w:themeColor="text1"/>
        </w:rPr>
      </w:pPr>
      <w:r w:rsidRPr="006E7416">
        <w:rPr>
          <w:color w:val="000000" w:themeColor="text1"/>
        </w:rPr>
        <w:t>If a</w:t>
      </w:r>
      <w:r>
        <w:rPr>
          <w:color w:val="000000" w:themeColor="text1"/>
        </w:rPr>
        <w:t xml:space="preserve"> person appointed to an office listed above h</w:t>
      </w:r>
      <w:r w:rsidRPr="006E7416">
        <w:rPr>
          <w:color w:val="000000" w:themeColor="text1"/>
        </w:rPr>
        <w:t>as an employer-provided vehicle,</w:t>
      </w:r>
      <w:r>
        <w:rPr>
          <w:color w:val="000000" w:themeColor="text1"/>
        </w:rPr>
        <w:t xml:space="preserve"> the conditions are consistent with Part 13 – Transitional Public Sector Management Amendment Standards 2021 (No 1) of the </w:t>
      </w:r>
      <w:r w:rsidRPr="00364F10">
        <w:rPr>
          <w:i/>
          <w:iCs/>
          <w:color w:val="000000" w:themeColor="text1"/>
        </w:rPr>
        <w:t>Public Sector Management Standards 2016</w:t>
      </w:r>
      <w:r>
        <w:rPr>
          <w:color w:val="000000" w:themeColor="text1"/>
        </w:rPr>
        <w:t>.</w:t>
      </w:r>
      <w:r w:rsidRPr="006E7416">
        <w:rPr>
          <w:color w:val="000000" w:themeColor="text1"/>
        </w:rPr>
        <w:t xml:space="preserve"> </w:t>
      </w:r>
    </w:p>
    <w:bookmarkEnd w:id="8"/>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Employer provided </w:t>
      </w:r>
      <w:proofErr w:type="gramStart"/>
      <w:r w:rsidRPr="0040603C">
        <w:rPr>
          <w:rFonts w:cs="Arial"/>
          <w:szCs w:val="26"/>
        </w:rPr>
        <w:t>benefits</w:t>
      </w:r>
      <w:proofErr w:type="gramEnd"/>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24211C7A" w14:textId="0F7FFAE2" w:rsidR="00FA6A71" w:rsidRPr="009E65ED"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t xml:space="preserve">An employer-provided benefit, or cash payment in lieu of an employer-provided benefit, is in addition to the remuneration specified in clause 3.1 of this </w:t>
      </w:r>
      <w:proofErr w:type="gramStart"/>
      <w:r w:rsidRPr="009E65ED">
        <w:rPr>
          <w:rFonts w:eastAsia="Times New Roman"/>
          <w:sz w:val="24"/>
          <w:szCs w:val="20"/>
        </w:rPr>
        <w:t>determination, and</w:t>
      </w:r>
      <w:proofErr w:type="gramEnd"/>
      <w:r w:rsidRPr="009E65ED">
        <w:rPr>
          <w:rFonts w:eastAsia="Times New Roman"/>
          <w:sz w:val="24"/>
          <w:szCs w:val="20"/>
        </w:rPr>
        <w:t xml:space="preserve"> does not affect salary for superannuation purposes.</w:t>
      </w:r>
    </w:p>
    <w:p w14:paraId="3BC87A82" w14:textId="0D36AD37" w:rsidR="00FA6A71"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lastRenderedPageBreak/>
        <w:t>For the avoidance of doubt, the value of an allowance or entitlement set out in this Determination is fixed and cannot be transferred to any other component of the total remuneration package.</w:t>
      </w:r>
    </w:p>
    <w:p w14:paraId="0772537C" w14:textId="757DFD10" w:rsidR="007F5CF1" w:rsidRPr="007F5CF1" w:rsidRDefault="007F5CF1" w:rsidP="007F5CF1">
      <w:pPr>
        <w:pStyle w:val="Heading3"/>
        <w:keepLines w:val="0"/>
        <w:ind w:left="709" w:hanging="709"/>
        <w:rPr>
          <w:rFonts w:cs="Arial"/>
          <w:szCs w:val="26"/>
        </w:rPr>
      </w:pPr>
      <w:r w:rsidRPr="007F5CF1">
        <w:rPr>
          <w:rFonts w:cs="Arial"/>
          <w:szCs w:val="26"/>
        </w:rPr>
        <w:t>Vehicle parking space</w:t>
      </w:r>
    </w:p>
    <w:p w14:paraId="059FBFAC" w14:textId="5A70EC31" w:rsidR="007F5CF1" w:rsidRPr="009E65ED" w:rsidRDefault="007F5CF1" w:rsidP="00FA6A71">
      <w:pPr>
        <w:pStyle w:val="ListParagraph"/>
        <w:numPr>
          <w:ilvl w:val="1"/>
          <w:numId w:val="4"/>
        </w:numPr>
        <w:spacing w:before="80" w:after="60" w:line="240" w:lineRule="auto"/>
        <w:contextualSpacing w:val="0"/>
        <w:rPr>
          <w:rFonts w:eastAsia="Times New Roman"/>
          <w:sz w:val="24"/>
          <w:szCs w:val="20"/>
        </w:rPr>
      </w:pPr>
      <w:bookmarkStart w:id="9" w:name="_Hlk136539162"/>
      <w:r w:rsidRPr="007F5CF1">
        <w:rPr>
          <w:rFonts w:eastAsia="Times New Roman"/>
          <w:sz w:val="24"/>
          <w:szCs w:val="20"/>
        </w:rPr>
        <w:t>A</w:t>
      </w:r>
      <w:r w:rsidR="00A82F8D">
        <w:rPr>
          <w:rFonts w:eastAsia="Times New Roman"/>
          <w:sz w:val="24"/>
          <w:szCs w:val="20"/>
        </w:rPr>
        <w:t xml:space="preserve"> person appointed to an office listed above</w:t>
      </w:r>
      <w:r w:rsidRPr="007F5CF1">
        <w:rPr>
          <w:rFonts w:eastAsia="Times New Roman"/>
          <w:sz w:val="24"/>
          <w:szCs w:val="20"/>
        </w:rPr>
        <w:t xml:space="preserve"> is entitled to a parking space </w:t>
      </w:r>
      <w:r w:rsidR="00A82F8D">
        <w:rPr>
          <w:rFonts w:eastAsia="Times New Roman"/>
          <w:sz w:val="24"/>
          <w:szCs w:val="20"/>
        </w:rPr>
        <w:t xml:space="preserve">or an allowance in lieu of a parking space, consistent with that provided to executives </w:t>
      </w:r>
      <w:r w:rsidRPr="007F5CF1">
        <w:rPr>
          <w:rFonts w:eastAsia="Times New Roman"/>
          <w:sz w:val="24"/>
          <w:szCs w:val="20"/>
        </w:rPr>
        <w:t xml:space="preserve">in </w:t>
      </w:r>
      <w:r w:rsidR="00A82F8D">
        <w:rPr>
          <w:rFonts w:eastAsia="Times New Roman"/>
          <w:sz w:val="24"/>
          <w:szCs w:val="20"/>
        </w:rPr>
        <w:t xml:space="preserve">section 52A of </w:t>
      </w:r>
      <w:r w:rsidRPr="007F5CF1">
        <w:rPr>
          <w:rFonts w:eastAsia="Times New Roman"/>
          <w:sz w:val="24"/>
          <w:szCs w:val="20"/>
        </w:rPr>
        <w:t xml:space="preserve">the </w:t>
      </w:r>
      <w:r w:rsidRPr="006C45D5">
        <w:rPr>
          <w:rFonts w:eastAsia="Times New Roman"/>
          <w:i/>
          <w:iCs/>
          <w:sz w:val="24"/>
          <w:szCs w:val="20"/>
        </w:rPr>
        <w:t>Public Sector Management Standards 2016</w:t>
      </w:r>
      <w:r>
        <w:rPr>
          <w:rFonts w:eastAsia="Times New Roman"/>
          <w:sz w:val="24"/>
          <w:szCs w:val="20"/>
        </w:rPr>
        <w:t>.</w:t>
      </w:r>
    </w:p>
    <w:bookmarkEnd w:id="9"/>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5B772493" w:rsidR="0069220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504C6734" w14:textId="303FB239" w:rsidR="00A82F8D" w:rsidRPr="00BA31FA" w:rsidRDefault="00A82F8D" w:rsidP="00A82F8D">
      <w:pPr>
        <w:numPr>
          <w:ilvl w:val="1"/>
          <w:numId w:val="4"/>
        </w:numPr>
        <w:tabs>
          <w:tab w:val="clear" w:pos="720"/>
        </w:tabs>
        <w:spacing w:before="80" w:after="60"/>
        <w:ind w:left="709" w:hanging="709"/>
        <w:rPr>
          <w:szCs w:val="24"/>
          <w:lang w:val="en-US"/>
        </w:rPr>
      </w:pPr>
      <w:bookmarkStart w:id="10" w:name="_Hlk136539199"/>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bookmarkEnd w:id="10"/>
    <w:p w14:paraId="79C33C7A" w14:textId="1556DCC8" w:rsidR="00F92A75" w:rsidRDefault="00F92A75" w:rsidP="00F92A75">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17F334AA" w14:textId="30C85860"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10F317DF"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 xml:space="preserve">the appointment as a statutory </w:t>
      </w:r>
      <w:proofErr w:type="gramStart"/>
      <w:r w:rsidR="00EF30A1">
        <w:rPr>
          <w:szCs w:val="24"/>
        </w:rPr>
        <w:t>office</w:t>
      </w:r>
      <w:r w:rsidR="009F1E09">
        <w:rPr>
          <w:szCs w:val="24"/>
        </w:rPr>
        <w:t>-</w:t>
      </w:r>
      <w:r w:rsidR="00EF30A1">
        <w:rPr>
          <w:szCs w:val="24"/>
        </w:rPr>
        <w:t>holder</w:t>
      </w:r>
      <w:proofErr w:type="gramEnd"/>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packing personal effects and furniture belonging to the person and their </w:t>
      </w:r>
      <w:proofErr w:type="gramStart"/>
      <w:r w:rsidRPr="0040431A">
        <w:rPr>
          <w:szCs w:val="24"/>
        </w:rPr>
        <w:t>family;</w:t>
      </w:r>
      <w:proofErr w:type="gramEnd"/>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necessary storage of personal effects and </w:t>
      </w:r>
      <w:proofErr w:type="gramStart"/>
      <w:r w:rsidRPr="0040431A">
        <w:rPr>
          <w:szCs w:val="24"/>
        </w:rPr>
        <w:t>furniture;</w:t>
      </w:r>
      <w:proofErr w:type="gramEnd"/>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removal costs and associated insurance of personal effects and </w:t>
      </w:r>
      <w:proofErr w:type="gramStart"/>
      <w:r w:rsidRPr="0040431A">
        <w:rPr>
          <w:szCs w:val="24"/>
        </w:rPr>
        <w:t>furniture;</w:t>
      </w:r>
      <w:proofErr w:type="gramEnd"/>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unpacking of personal effects and </w:t>
      </w:r>
      <w:proofErr w:type="gramStart"/>
      <w:r w:rsidRPr="0040431A">
        <w:rPr>
          <w:szCs w:val="24"/>
        </w:rPr>
        <w:t>furniture;</w:t>
      </w:r>
      <w:proofErr w:type="gramEnd"/>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costs of travel, accommodation and meals between the former location and the </w:t>
      </w:r>
      <w:proofErr w:type="gramStart"/>
      <w:r w:rsidRPr="0040431A">
        <w:rPr>
          <w:szCs w:val="24"/>
        </w:rPr>
        <w:t>ACT;</w:t>
      </w:r>
      <w:proofErr w:type="gramEnd"/>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40431A">
        <w:rPr>
          <w:szCs w:val="24"/>
        </w:rPr>
        <w:t>);</w:t>
      </w:r>
      <w:proofErr w:type="gramEnd"/>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costs of disconnection and reconnection of </w:t>
      </w:r>
      <w:proofErr w:type="gramStart"/>
      <w:r w:rsidRPr="0040431A">
        <w:rPr>
          <w:szCs w:val="24"/>
        </w:rPr>
        <w:t>utilities;</w:t>
      </w:r>
      <w:proofErr w:type="gramEnd"/>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w:t>
      </w:r>
      <w:proofErr w:type="gramStart"/>
      <w:r w:rsidRPr="0040431A">
        <w:rPr>
          <w:szCs w:val="24"/>
        </w:rPr>
        <w:t>ACT;</w:t>
      </w:r>
      <w:proofErr w:type="gramEnd"/>
      <w:r w:rsidRPr="0040431A">
        <w:rPr>
          <w:szCs w:val="24"/>
        </w:rPr>
        <w:t xml:space="preserve">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lastRenderedPageBreak/>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23FF94BD"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B00550" w:rsidRPr="0040431A">
        <w:rPr>
          <w:szCs w:val="24"/>
        </w:rPr>
        <w:t>may be</w:t>
      </w:r>
      <w:r w:rsidRPr="0040431A">
        <w:rPr>
          <w:szCs w:val="24"/>
        </w:rPr>
        <w:t xml:space="preserve"> required to repay the following amount:</w:t>
      </w:r>
    </w:p>
    <w:p w14:paraId="569D3A7C" w14:textId="0786E3E6"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.3</w:t>
      </w:r>
      <w:r w:rsidR="009C41FF">
        <w:rPr>
          <w:szCs w:val="24"/>
        </w:rPr>
        <w:t xml:space="preserve"> and section </w:t>
      </w:r>
      <w:proofErr w:type="gramStart"/>
      <w:r w:rsidR="009C41FF">
        <w:rPr>
          <w:szCs w:val="24"/>
        </w:rPr>
        <w:t>9.4</w:t>
      </w:r>
      <w:r w:rsidRPr="0040431A">
        <w:rPr>
          <w:szCs w:val="24"/>
        </w:rPr>
        <w:t>;</w:t>
      </w:r>
      <w:proofErr w:type="gramEnd"/>
      <w:r w:rsidRPr="0040431A">
        <w:rPr>
          <w:szCs w:val="24"/>
        </w:rPr>
        <w:t xml:space="preserve"> </w:t>
      </w:r>
    </w:p>
    <w:p w14:paraId="68D99BA2" w14:textId="68DCF51B"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r w:rsidR="009C41FF">
        <w:rPr>
          <w:szCs w:val="24"/>
        </w:rPr>
        <w:t xml:space="preserve"> and section 9.4</w:t>
      </w:r>
      <w:r w:rsidRPr="0040431A">
        <w:rPr>
          <w:szCs w:val="24"/>
        </w:rPr>
        <w:t>.</w:t>
      </w:r>
    </w:p>
    <w:p w14:paraId="7F3487F7" w14:textId="1901CB48"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roofErr w:type="gramStart"/>
      <w:r>
        <w:t>);</w:t>
      </w:r>
      <w:proofErr w:type="gramEnd"/>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roofErr w:type="gramStart"/>
      <w:r>
        <w:t>);</w:t>
      </w:r>
      <w:proofErr w:type="gramEnd"/>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roofErr w:type="gramStart"/>
      <w:r>
        <w:t>);</w:t>
      </w:r>
      <w:proofErr w:type="gramEnd"/>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 xml:space="preserve">part 9.6 (executive employee and statutory </w:t>
      </w:r>
      <w:proofErr w:type="gramStart"/>
      <w:r>
        <w:t>office-holder</w:t>
      </w:r>
      <w:proofErr w:type="gramEnd"/>
      <w:r>
        <w:t xml:space="preserve"> leave and other entitlements).</w:t>
      </w:r>
    </w:p>
    <w:p w14:paraId="75313317" w14:textId="1945AD9E" w:rsidR="00BD5F55" w:rsidRDefault="00BD5F55" w:rsidP="00BD5F55">
      <w:pPr>
        <w:numPr>
          <w:ilvl w:val="1"/>
          <w:numId w:val="4"/>
        </w:numPr>
        <w:tabs>
          <w:tab w:val="clear" w:pos="720"/>
        </w:tabs>
        <w:spacing w:before="80" w:after="60"/>
        <w:ind w:left="709" w:hanging="709"/>
      </w:pPr>
      <w:r>
        <w:t xml:space="preserve">Leave entitlements, salary sacrifice arrangements and vacation childcare subsidy are provided to executives under Division 5.6 of the </w:t>
      </w:r>
      <w:r w:rsidRPr="006C45D5">
        <w:rPr>
          <w:i/>
          <w:iCs/>
        </w:rPr>
        <w:t>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proofErr w:type="gramStart"/>
      <w:r w:rsidRPr="0040431A">
        <w:t>means</w:t>
      </w:r>
      <w:proofErr w:type="gramEnd"/>
      <w:r w:rsidRPr="0040431A">
        <w:t xml:space="preserve">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7"/>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w:t>
      </w:r>
      <w:proofErr w:type="gramStart"/>
      <w:r>
        <w:t>transport;</w:t>
      </w:r>
      <w:proofErr w:type="gramEnd"/>
      <w:r>
        <w:t xml:space="preserve"> </w:t>
      </w:r>
    </w:p>
    <w:p w14:paraId="72380CD5" w14:textId="77777777" w:rsidR="0069220A" w:rsidRDefault="0069220A" w:rsidP="0069220A">
      <w:pPr>
        <w:numPr>
          <w:ilvl w:val="2"/>
          <w:numId w:val="4"/>
        </w:numPr>
        <w:tabs>
          <w:tab w:val="clear" w:pos="720"/>
        </w:tabs>
        <w:spacing w:after="60"/>
        <w:ind w:left="1134" w:hanging="436"/>
      </w:pPr>
      <w:r>
        <w:t xml:space="preserve">commercially provided </w:t>
      </w:r>
      <w:proofErr w:type="gramStart"/>
      <w:r>
        <w:t>flights;</w:t>
      </w:r>
      <w:proofErr w:type="gramEnd"/>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 xml:space="preserve">Commercially provided travel should be selected </w:t>
      </w:r>
      <w:proofErr w:type="gramStart"/>
      <w:r>
        <w:t>on the basis of</w:t>
      </w:r>
      <w:proofErr w:type="gramEnd"/>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lastRenderedPageBreak/>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 xml:space="preserve">—economy </w:t>
      </w:r>
      <w:proofErr w:type="gramStart"/>
      <w:r w:rsidRPr="00E433F0">
        <w:rPr>
          <w:rFonts w:eastAsia="Calibri"/>
          <w:szCs w:val="24"/>
        </w:rPr>
        <w:t>class;</w:t>
      </w:r>
      <w:proofErr w:type="gramEnd"/>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 xml:space="preserve">—business </w:t>
      </w:r>
      <w:proofErr w:type="gramStart"/>
      <w:r w:rsidRPr="00E433F0">
        <w:rPr>
          <w:rFonts w:eastAsia="Calibri"/>
          <w:szCs w:val="24"/>
        </w:rPr>
        <w:t>class;</w:t>
      </w:r>
      <w:proofErr w:type="gramEnd"/>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1135105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9C41FF">
        <w:rPr>
          <w:i/>
        </w:rPr>
        <w:t>21</w:t>
      </w:r>
      <w:r w:rsidRPr="0040431A">
        <w:rPr>
          <w:i/>
        </w:rPr>
        <w:t>-20</w:t>
      </w:r>
      <w:r w:rsidR="004F75A6" w:rsidRPr="0040431A">
        <w:rPr>
          <w:i/>
        </w:rPr>
        <w:t>2</w:t>
      </w:r>
      <w:r w:rsidR="009C41FF">
        <w:rPr>
          <w:i/>
        </w:rPr>
        <w:t>2</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 xml:space="preserve">—4.5 </w:t>
      </w:r>
      <w:proofErr w:type="gramStart"/>
      <w:r w:rsidRPr="00E433F0">
        <w:rPr>
          <w:rFonts w:eastAsia="Calibri"/>
          <w:szCs w:val="24"/>
        </w:rPr>
        <w:t>stars;</w:t>
      </w:r>
      <w:proofErr w:type="gramEnd"/>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proofErr w:type="gramStart"/>
      <w:r w:rsidR="00CE4B09">
        <w:t>4.5 star</w:t>
      </w:r>
      <w:proofErr w:type="gramEnd"/>
      <w:r w:rsidR="00CE4B09">
        <w:t xml:space="preserve">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005B9C1C"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w:t>
      </w:r>
      <w:r w:rsidR="00B00550" w:rsidRPr="001458A6">
        <w:rPr>
          <w:sz w:val="20"/>
          <w:lang w:val="en-US"/>
        </w:rPr>
        <w:t>conference,</w:t>
      </w:r>
      <w:r w:rsidRPr="001458A6">
        <w:rPr>
          <w:sz w:val="20"/>
          <w:lang w:val="en-US"/>
        </w:rPr>
        <w:t xml:space="preserve"> or seminar </w:t>
      </w:r>
      <w:r>
        <w:rPr>
          <w:sz w:val="20"/>
          <w:lang w:val="en-US"/>
        </w:rPr>
        <w:t xml:space="preserve">they are attending </w:t>
      </w:r>
      <w:r w:rsidRPr="001458A6">
        <w:rPr>
          <w:sz w:val="20"/>
          <w:lang w:val="en-US"/>
        </w:rPr>
        <w:t xml:space="preserve">is being </w:t>
      </w:r>
      <w:r w:rsidR="00B00550" w:rsidRPr="001458A6">
        <w:rPr>
          <w:sz w:val="20"/>
          <w:lang w:val="en-US"/>
        </w:rPr>
        <w:t>held</w:t>
      </w:r>
      <w:r w:rsidR="00B0055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w:t>
      </w:r>
      <w:proofErr w:type="gramStart"/>
      <w:r w:rsidRPr="00380585">
        <w:rPr>
          <w:szCs w:val="24"/>
        </w:rPr>
        <w:t>as a result of</w:t>
      </w:r>
      <w:proofErr w:type="gramEnd"/>
      <w:r w:rsidRPr="00380585">
        <w:rPr>
          <w:szCs w:val="24"/>
        </w:rPr>
        <w:t xml:space="preserve">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lastRenderedPageBreak/>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 xml:space="preserve">Travel </w:t>
      </w:r>
      <w:proofErr w:type="gramStart"/>
      <w:r>
        <w:rPr>
          <w:rFonts w:cs="Arial"/>
          <w:szCs w:val="26"/>
        </w:rPr>
        <w:t>insurance</w:t>
      </w:r>
      <w:proofErr w:type="gramEnd"/>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428B2605" w:rsidR="00EA644C" w:rsidRDefault="00EA644C" w:rsidP="00EA644C">
      <w:pPr>
        <w:numPr>
          <w:ilvl w:val="1"/>
          <w:numId w:val="4"/>
        </w:numPr>
        <w:spacing w:before="80" w:after="60"/>
      </w:pPr>
      <w:r>
        <w:t xml:space="preserve">If necessary, the cost of travel insurance will be met as a reasonable </w:t>
      </w:r>
      <w:r w:rsidR="00B00550">
        <w:t>work-related</w:t>
      </w:r>
      <w:r>
        <w:t xml:space="preserve"> expense by the Territory.</w:t>
      </w:r>
    </w:p>
    <w:p w14:paraId="5893F19A" w14:textId="74B6CA84" w:rsidR="00EA644C" w:rsidRDefault="00EA644C" w:rsidP="00EA644C">
      <w:pPr>
        <w:numPr>
          <w:ilvl w:val="1"/>
          <w:numId w:val="4"/>
        </w:numPr>
        <w:spacing w:before="80" w:after="60"/>
      </w:pPr>
      <w:r>
        <w:t xml:space="preserve">All legitimate and reasonable </w:t>
      </w:r>
      <w:r w:rsidR="00B00550">
        <w:t>work-related</w:t>
      </w:r>
      <w:r>
        <w:t xml:space="preserve">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002B1DC2" w14:textId="77777777" w:rsidR="009C41FF" w:rsidRPr="00EE2788" w:rsidRDefault="009C41FF" w:rsidP="009C41FF">
      <w:pPr>
        <w:spacing w:before="80"/>
        <w:ind w:left="709"/>
        <w:jc w:val="both"/>
        <w:rPr>
          <w:b/>
          <w:bCs/>
          <w:i/>
          <w:iCs/>
        </w:rPr>
      </w:pPr>
      <w:r w:rsidRPr="0038703B">
        <w:rPr>
          <w:b/>
          <w:bCs/>
          <w:i/>
          <w:iCs/>
        </w:rPr>
        <w:t>Public Benevolent Institution</w:t>
      </w:r>
      <w:r>
        <w:rPr>
          <w:b/>
          <w:bCs/>
          <w:i/>
          <w:iCs/>
        </w:rPr>
        <w:t xml:space="preserve"> </w:t>
      </w:r>
      <w:r w:rsidRPr="0038703B">
        <w:t>means a charity whose main purpose is to relieve poverty, sickness, suffering or disability.</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25F58B9B" w14:textId="4A031D61"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w:t>
      </w:r>
      <w:proofErr w:type="gramStart"/>
      <w:r w:rsidR="00145B8A">
        <w:t>a number of</w:t>
      </w:r>
      <w:proofErr w:type="gramEnd"/>
      <w:r w:rsidR="00145B8A">
        <w:t xml:space="preserve">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57F989EE" w14:textId="77777777" w:rsidR="00316F20" w:rsidRPr="00540F3A" w:rsidRDefault="00316F20" w:rsidP="00316F20">
      <w:pPr>
        <w:pStyle w:val="Heading3"/>
        <w:keepLines w:val="0"/>
        <w:ind w:left="709" w:hanging="709"/>
        <w:rPr>
          <w:rFonts w:cs="Arial"/>
          <w:color w:val="000000" w:themeColor="text1"/>
          <w:szCs w:val="26"/>
        </w:rPr>
      </w:pPr>
      <w:bookmarkStart w:id="11" w:name="_Hlk107514287"/>
      <w:r w:rsidRPr="00540F3A">
        <w:rPr>
          <w:rFonts w:cs="Arial"/>
          <w:color w:val="000000" w:themeColor="text1"/>
          <w:szCs w:val="26"/>
        </w:rPr>
        <w:t>Revocation of previous Determination</w:t>
      </w:r>
    </w:p>
    <w:p w14:paraId="097A1081" w14:textId="05A733F6" w:rsidR="00A62067" w:rsidRDefault="00316F20" w:rsidP="00D763B8">
      <w:pPr>
        <w:numPr>
          <w:ilvl w:val="1"/>
          <w:numId w:val="4"/>
        </w:numPr>
        <w:tabs>
          <w:tab w:val="clear" w:pos="720"/>
        </w:tabs>
        <w:spacing w:before="80" w:after="60"/>
        <w:ind w:left="709" w:hanging="709"/>
      </w:pPr>
      <w:r w:rsidRPr="0016636D">
        <w:rPr>
          <w:color w:val="000000" w:themeColor="text1"/>
        </w:rPr>
        <w:t xml:space="preserve">Determination </w:t>
      </w:r>
      <w:r w:rsidR="009B6266">
        <w:rPr>
          <w:color w:val="000000" w:themeColor="text1"/>
        </w:rPr>
        <w:t>4</w:t>
      </w:r>
      <w:r w:rsidR="00440A32" w:rsidRPr="0016636D">
        <w:rPr>
          <w:color w:val="000000" w:themeColor="text1"/>
        </w:rPr>
        <w:t xml:space="preserve"> of 202</w:t>
      </w:r>
      <w:r w:rsidR="009B6266">
        <w:rPr>
          <w:color w:val="000000" w:themeColor="text1"/>
        </w:rPr>
        <w:t>3</w:t>
      </w:r>
      <w:r w:rsidRPr="0016636D">
        <w:rPr>
          <w:color w:val="000000" w:themeColor="text1"/>
        </w:rPr>
        <w:t xml:space="preserve"> is revoked</w:t>
      </w:r>
      <w:r w:rsidRPr="0016636D">
        <w:rPr>
          <w:b/>
        </w:rPr>
        <w:t>.</w:t>
      </w:r>
      <w:bookmarkEnd w:id="11"/>
      <w:bookmarkEnd w:id="0"/>
      <w:r w:rsidR="00944A2C">
        <w:br w:type="page"/>
      </w:r>
    </w:p>
    <w:tbl>
      <w:tblPr>
        <w:tblW w:w="0" w:type="auto"/>
        <w:tblLook w:val="04A0" w:firstRow="1" w:lastRow="0" w:firstColumn="1" w:lastColumn="0" w:noHBand="0" w:noVBand="1"/>
      </w:tblPr>
      <w:tblGrid>
        <w:gridCol w:w="4529"/>
        <w:gridCol w:w="4488"/>
      </w:tblGrid>
      <w:tr w:rsidR="00B7173F" w:rsidRPr="006A51E8" w14:paraId="713334C7" w14:textId="77777777" w:rsidTr="00CE5659">
        <w:tc>
          <w:tcPr>
            <w:tcW w:w="4529" w:type="dxa"/>
          </w:tcPr>
          <w:p w14:paraId="68FA9C98" w14:textId="77777777" w:rsidR="00B7173F" w:rsidRPr="000F41B0" w:rsidRDefault="00B7173F" w:rsidP="00CE5659">
            <w:pPr>
              <w:tabs>
                <w:tab w:val="left" w:pos="4253"/>
                <w:tab w:val="left" w:leader="dot" w:pos="8222"/>
              </w:tabs>
              <w:rPr>
                <w:szCs w:val="24"/>
              </w:rPr>
            </w:pPr>
          </w:p>
          <w:p w14:paraId="71565DB0" w14:textId="77777777" w:rsidR="00B7173F" w:rsidRPr="000F41B0" w:rsidRDefault="00B7173F" w:rsidP="00CE5659">
            <w:pPr>
              <w:tabs>
                <w:tab w:val="left" w:pos="4253"/>
                <w:tab w:val="left" w:pos="7230"/>
                <w:tab w:val="left" w:leader="dot" w:pos="8222"/>
              </w:tabs>
              <w:rPr>
                <w:szCs w:val="24"/>
              </w:rPr>
            </w:pPr>
            <w:r>
              <w:rPr>
                <w:szCs w:val="24"/>
              </w:rPr>
              <w:t>Ms Sandra Lambert AM</w:t>
            </w:r>
            <w:r w:rsidRPr="000F41B0">
              <w:rPr>
                <w:szCs w:val="24"/>
              </w:rPr>
              <w:tab/>
            </w:r>
          </w:p>
          <w:p w14:paraId="19552D6A" w14:textId="77777777" w:rsidR="00B7173F" w:rsidRPr="000F41B0" w:rsidRDefault="00B7173F" w:rsidP="00CE5659">
            <w:pPr>
              <w:tabs>
                <w:tab w:val="left" w:pos="7230"/>
              </w:tabs>
              <w:rPr>
                <w:szCs w:val="24"/>
              </w:rPr>
            </w:pPr>
            <w:r w:rsidRPr="000F41B0">
              <w:rPr>
                <w:szCs w:val="24"/>
              </w:rPr>
              <w:t>Chair</w:t>
            </w:r>
          </w:p>
          <w:p w14:paraId="73BBF460" w14:textId="77777777" w:rsidR="00B7173F" w:rsidRDefault="00B7173F" w:rsidP="00CE5659">
            <w:pPr>
              <w:tabs>
                <w:tab w:val="left" w:pos="4253"/>
                <w:tab w:val="left" w:leader="dot" w:pos="8222"/>
              </w:tabs>
              <w:rPr>
                <w:szCs w:val="24"/>
              </w:rPr>
            </w:pPr>
          </w:p>
          <w:p w14:paraId="65A11B95" w14:textId="77777777" w:rsidR="00B7173F" w:rsidRDefault="00B7173F" w:rsidP="00CE5659">
            <w:pPr>
              <w:tabs>
                <w:tab w:val="left" w:pos="4253"/>
                <w:tab w:val="left" w:leader="dot" w:pos="8222"/>
              </w:tabs>
              <w:spacing w:after="120"/>
              <w:rPr>
                <w:szCs w:val="24"/>
              </w:rPr>
            </w:pPr>
          </w:p>
          <w:p w14:paraId="5D45484B" w14:textId="77777777" w:rsidR="0042612F" w:rsidRDefault="0042612F" w:rsidP="00CE5659">
            <w:pPr>
              <w:tabs>
                <w:tab w:val="left" w:pos="4253"/>
                <w:tab w:val="left" w:leader="dot" w:pos="8222"/>
              </w:tabs>
              <w:spacing w:after="120"/>
              <w:rPr>
                <w:szCs w:val="24"/>
              </w:rPr>
            </w:pPr>
          </w:p>
          <w:p w14:paraId="7FDB15CA" w14:textId="77777777" w:rsidR="00070912" w:rsidRDefault="00070912" w:rsidP="00CE5659">
            <w:pPr>
              <w:tabs>
                <w:tab w:val="left" w:pos="4253"/>
                <w:tab w:val="left" w:leader="dot" w:pos="8222"/>
              </w:tabs>
              <w:spacing w:after="120"/>
              <w:rPr>
                <w:szCs w:val="24"/>
              </w:rPr>
            </w:pPr>
          </w:p>
          <w:p w14:paraId="12DFEC48" w14:textId="77777777" w:rsidR="00FD56C5" w:rsidRPr="000F41B0" w:rsidRDefault="00FD56C5" w:rsidP="00FD56C5">
            <w:pPr>
              <w:tabs>
                <w:tab w:val="left" w:pos="4253"/>
                <w:tab w:val="left" w:leader="dot" w:pos="8222"/>
              </w:tabs>
              <w:rPr>
                <w:szCs w:val="24"/>
              </w:rPr>
            </w:pPr>
            <w:r>
              <w:rPr>
                <w:szCs w:val="24"/>
              </w:rPr>
              <w:t>Mr Dale Boucher PSM</w:t>
            </w:r>
            <w:r w:rsidRPr="000F41B0">
              <w:rPr>
                <w:szCs w:val="24"/>
              </w:rPr>
              <w:tab/>
            </w:r>
          </w:p>
          <w:p w14:paraId="33785069" w14:textId="77777777" w:rsidR="00FD56C5" w:rsidRDefault="00FD56C5" w:rsidP="00FD56C5">
            <w:pPr>
              <w:tabs>
                <w:tab w:val="left" w:pos="4253"/>
                <w:tab w:val="left" w:leader="dot" w:pos="8222"/>
              </w:tabs>
              <w:rPr>
                <w:szCs w:val="24"/>
              </w:rPr>
            </w:pPr>
            <w:r w:rsidRPr="000F41B0">
              <w:rPr>
                <w:szCs w:val="24"/>
              </w:rPr>
              <w:t xml:space="preserve">Member </w:t>
            </w:r>
          </w:p>
          <w:p w14:paraId="1F4225D5" w14:textId="77777777" w:rsidR="00FD56C5" w:rsidRDefault="00FD56C5" w:rsidP="00CE5659">
            <w:pPr>
              <w:tabs>
                <w:tab w:val="left" w:pos="4253"/>
                <w:tab w:val="left" w:leader="dot" w:pos="8222"/>
              </w:tabs>
              <w:spacing w:after="120"/>
              <w:rPr>
                <w:szCs w:val="24"/>
              </w:rPr>
            </w:pPr>
          </w:p>
          <w:p w14:paraId="18EB4A22" w14:textId="77777777" w:rsidR="00FD56C5" w:rsidRDefault="00FD56C5" w:rsidP="00CE5659">
            <w:pPr>
              <w:tabs>
                <w:tab w:val="left" w:pos="4253"/>
                <w:tab w:val="left" w:leader="dot" w:pos="8222"/>
              </w:tabs>
              <w:spacing w:after="120"/>
              <w:rPr>
                <w:szCs w:val="24"/>
              </w:rPr>
            </w:pPr>
          </w:p>
          <w:p w14:paraId="398273F5" w14:textId="77777777" w:rsidR="0042612F" w:rsidRDefault="0042612F" w:rsidP="00CE5659">
            <w:pPr>
              <w:tabs>
                <w:tab w:val="left" w:pos="4253"/>
                <w:tab w:val="left" w:leader="dot" w:pos="8222"/>
              </w:tabs>
              <w:spacing w:after="120"/>
              <w:rPr>
                <w:szCs w:val="24"/>
              </w:rPr>
            </w:pPr>
          </w:p>
          <w:p w14:paraId="0C9B01E9" w14:textId="77777777" w:rsidR="00FD56C5" w:rsidRPr="000F41B0" w:rsidRDefault="00FD56C5" w:rsidP="00CE5659">
            <w:pPr>
              <w:tabs>
                <w:tab w:val="left" w:pos="4253"/>
                <w:tab w:val="left" w:leader="dot" w:pos="8222"/>
              </w:tabs>
              <w:spacing w:after="120"/>
              <w:rPr>
                <w:szCs w:val="24"/>
              </w:rPr>
            </w:pPr>
          </w:p>
        </w:tc>
        <w:tc>
          <w:tcPr>
            <w:tcW w:w="4488" w:type="dxa"/>
          </w:tcPr>
          <w:p w14:paraId="4A8D2F12" w14:textId="77777777" w:rsidR="00B7173F" w:rsidRDefault="00B7173F" w:rsidP="00CE5659">
            <w:pPr>
              <w:tabs>
                <w:tab w:val="left" w:pos="3059"/>
                <w:tab w:val="left" w:pos="7230"/>
              </w:tabs>
              <w:spacing w:before="120"/>
            </w:pPr>
            <w:r>
              <w:t xml:space="preserve"> </w:t>
            </w:r>
            <w:r w:rsidR="00C845C4">
              <w:rPr>
                <w:noProof/>
              </w:rPr>
              <w:drawing>
                <wp:inline distT="0" distB="0" distL="0" distR="0" wp14:anchorId="46093A46" wp14:editId="7F25891E">
                  <wp:extent cx="1824205" cy="877640"/>
                  <wp:effectExtent l="0" t="0" r="5080" b="0"/>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6"/>
                          <a:stretch>
                            <a:fillRect/>
                          </a:stretch>
                        </pic:blipFill>
                        <pic:spPr>
                          <a:xfrm>
                            <a:off x="0" y="0"/>
                            <a:ext cx="1824205" cy="877640"/>
                          </a:xfrm>
                          <a:prstGeom prst="rect">
                            <a:avLst/>
                          </a:prstGeom>
                        </pic:spPr>
                      </pic:pic>
                    </a:graphicData>
                  </a:graphic>
                </wp:inline>
              </w:drawing>
            </w:r>
            <w:r>
              <w:br/>
            </w:r>
          </w:p>
          <w:p w14:paraId="1657E3EB" w14:textId="77777777" w:rsidR="00C845C4" w:rsidRDefault="00C845C4" w:rsidP="00C845C4"/>
          <w:p w14:paraId="22BE14DD" w14:textId="65311940" w:rsidR="00C845C4" w:rsidRPr="00C845C4" w:rsidRDefault="00C845C4" w:rsidP="00C845C4">
            <w:r>
              <w:rPr>
                <w:noProof/>
              </w:rPr>
              <w:drawing>
                <wp:inline distT="0" distB="0" distL="0" distR="0" wp14:anchorId="27A28D0F" wp14:editId="31162A78">
                  <wp:extent cx="1571844" cy="905001"/>
                  <wp:effectExtent l="0" t="0" r="9525" b="9525"/>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7"/>
                          <a:stretch>
                            <a:fillRect/>
                          </a:stretch>
                        </pic:blipFill>
                        <pic:spPr>
                          <a:xfrm>
                            <a:off x="0" y="0"/>
                            <a:ext cx="1571844" cy="905001"/>
                          </a:xfrm>
                          <a:prstGeom prst="rect">
                            <a:avLst/>
                          </a:prstGeom>
                        </pic:spPr>
                      </pic:pic>
                    </a:graphicData>
                  </a:graphic>
                </wp:inline>
              </w:drawing>
            </w:r>
          </w:p>
        </w:tc>
      </w:tr>
      <w:tr w:rsidR="00B7173F" w:rsidRPr="006A51E8" w14:paraId="66B1C991" w14:textId="77777777" w:rsidTr="00CE5659">
        <w:tc>
          <w:tcPr>
            <w:tcW w:w="4529" w:type="dxa"/>
          </w:tcPr>
          <w:p w14:paraId="547CB5F8" w14:textId="67794C56" w:rsidR="00B7173F" w:rsidRPr="000F41B0" w:rsidRDefault="00BA79B3" w:rsidP="00CE5659">
            <w:pPr>
              <w:tabs>
                <w:tab w:val="left" w:pos="4253"/>
                <w:tab w:val="left" w:leader="dot" w:pos="8222"/>
              </w:tabs>
              <w:rPr>
                <w:szCs w:val="24"/>
              </w:rPr>
            </w:pPr>
            <w:r>
              <w:rPr>
                <w:szCs w:val="24"/>
              </w:rPr>
              <w:t>M</w:t>
            </w:r>
            <w:r w:rsidR="00B7173F">
              <w:rPr>
                <w:szCs w:val="24"/>
              </w:rPr>
              <w:t xml:space="preserve">r </w:t>
            </w:r>
            <w:r w:rsidR="009C41FF">
              <w:rPr>
                <w:szCs w:val="24"/>
              </w:rPr>
              <w:t>Michael Manthorpe PSM FIPAA</w:t>
            </w:r>
            <w:r w:rsidR="00B7173F" w:rsidRPr="000F41B0">
              <w:rPr>
                <w:szCs w:val="24"/>
              </w:rPr>
              <w:tab/>
            </w:r>
          </w:p>
          <w:p w14:paraId="0AE764C3" w14:textId="77777777" w:rsidR="00B7173F" w:rsidRDefault="00B7173F" w:rsidP="00CE5659">
            <w:pPr>
              <w:tabs>
                <w:tab w:val="left" w:pos="4253"/>
                <w:tab w:val="left" w:leader="dot" w:pos="8222"/>
              </w:tabs>
              <w:rPr>
                <w:szCs w:val="24"/>
              </w:rPr>
            </w:pPr>
            <w:r w:rsidRPr="000F41B0">
              <w:rPr>
                <w:szCs w:val="24"/>
              </w:rPr>
              <w:t>Member</w:t>
            </w:r>
          </w:p>
          <w:p w14:paraId="31F73F72" w14:textId="77777777" w:rsidR="00070912" w:rsidRDefault="00070912" w:rsidP="00070912">
            <w:pPr>
              <w:rPr>
                <w:szCs w:val="24"/>
              </w:rPr>
            </w:pPr>
          </w:p>
          <w:p w14:paraId="29ACB4F6" w14:textId="77777777" w:rsidR="00070912" w:rsidRDefault="00070912" w:rsidP="00070912">
            <w:pPr>
              <w:rPr>
                <w:szCs w:val="24"/>
              </w:rPr>
            </w:pPr>
          </w:p>
          <w:p w14:paraId="4F5DD8B7" w14:textId="15D0038C" w:rsidR="00070912" w:rsidRPr="00070912" w:rsidRDefault="00070912" w:rsidP="00070912">
            <w:pPr>
              <w:rPr>
                <w:szCs w:val="24"/>
              </w:rPr>
            </w:pPr>
          </w:p>
        </w:tc>
        <w:tc>
          <w:tcPr>
            <w:tcW w:w="4488" w:type="dxa"/>
          </w:tcPr>
          <w:p w14:paraId="5E4FB45A" w14:textId="44246858" w:rsidR="00B7173F" w:rsidRDefault="00B7173F" w:rsidP="00CE5659">
            <w:pPr>
              <w:tabs>
                <w:tab w:val="left" w:pos="3059"/>
                <w:tab w:val="left" w:pos="7230"/>
              </w:tabs>
            </w:pPr>
            <w:r w:rsidRPr="006A51E8">
              <w:t xml:space="preserve"> </w:t>
            </w:r>
            <w:r w:rsidR="00C845C4">
              <w:rPr>
                <w:noProof/>
              </w:rPr>
              <w:drawing>
                <wp:inline distT="0" distB="0" distL="0" distR="0" wp14:anchorId="43C3D375" wp14:editId="0F15F11B">
                  <wp:extent cx="1955800" cy="3810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1955800" cy="381000"/>
                          </a:xfrm>
                          <a:prstGeom prst="rect">
                            <a:avLst/>
                          </a:prstGeom>
                        </pic:spPr>
                      </pic:pic>
                    </a:graphicData>
                  </a:graphic>
                </wp:inline>
              </w:drawing>
            </w:r>
          </w:p>
          <w:p w14:paraId="32C6D2AA" w14:textId="6808987A" w:rsidR="00B7173F" w:rsidRDefault="00B7173F" w:rsidP="00CE5659">
            <w:pPr>
              <w:tabs>
                <w:tab w:val="left" w:pos="3059"/>
                <w:tab w:val="left" w:pos="7230"/>
              </w:tabs>
            </w:pPr>
          </w:p>
          <w:p w14:paraId="108C81CD" w14:textId="767C63BC" w:rsidR="00B7173F" w:rsidRDefault="00B7173F" w:rsidP="00CE5659">
            <w:pPr>
              <w:tabs>
                <w:tab w:val="left" w:pos="3059"/>
                <w:tab w:val="left" w:pos="7230"/>
              </w:tabs>
            </w:pPr>
            <w:r>
              <w:t xml:space="preserve">  </w:t>
            </w:r>
          </w:p>
          <w:p w14:paraId="795C583B" w14:textId="77777777" w:rsidR="00B7173F" w:rsidRDefault="00B7173F" w:rsidP="00CE5659">
            <w:pPr>
              <w:tabs>
                <w:tab w:val="left" w:pos="3059"/>
                <w:tab w:val="left" w:pos="7230"/>
              </w:tabs>
            </w:pPr>
          </w:p>
        </w:tc>
      </w:tr>
    </w:tbl>
    <w:p w14:paraId="7BE6C3A0" w14:textId="779EC154" w:rsidR="00B7173F" w:rsidRDefault="00C845C4" w:rsidP="00C845C4">
      <w:pPr>
        <w:tabs>
          <w:tab w:val="left" w:pos="4320"/>
          <w:tab w:val="left" w:pos="7068"/>
          <w:tab w:val="right" w:pos="9027"/>
        </w:tabs>
      </w:pPr>
      <w:r>
        <w:tab/>
      </w:r>
      <w:r>
        <w:tab/>
      </w:r>
      <w:r>
        <w:tab/>
        <w:t>24</w:t>
      </w:r>
      <w:r w:rsidR="009B6266">
        <w:t xml:space="preserve"> </w:t>
      </w:r>
      <w:r w:rsidR="0042612F">
        <w:t>April</w:t>
      </w:r>
      <w:r w:rsidR="009B6266">
        <w:t xml:space="preserve"> 2024</w:t>
      </w:r>
    </w:p>
    <w:p w14:paraId="0B8784B4" w14:textId="77777777" w:rsidR="00B7173F" w:rsidRPr="00467BA6" w:rsidRDefault="00B7173F" w:rsidP="003E745D">
      <w:pPr>
        <w:tabs>
          <w:tab w:val="left" w:pos="4320"/>
        </w:tabs>
        <w:jc w:val="right"/>
        <w:rPr>
          <w:color w:val="000000" w:themeColor="text1"/>
        </w:rPr>
      </w:pP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B629" w14:textId="77777777" w:rsidR="00763E25" w:rsidRDefault="00763E25">
      <w:r>
        <w:separator/>
      </w:r>
    </w:p>
  </w:endnote>
  <w:endnote w:type="continuationSeparator" w:id="0">
    <w:p w14:paraId="126FF112" w14:textId="77777777" w:rsidR="00763E25" w:rsidRDefault="0076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619" w14:textId="77777777" w:rsidR="000A0399" w:rsidRDefault="000A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4748CC">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7191" w14:textId="77777777" w:rsidR="000A0399" w:rsidRDefault="000A0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4748CC">
      <w:rPr>
        <w:rFonts w:ascii="Calibri" w:hAnsi="Calibri"/>
        <w:noProof/>
      </w:rPr>
      <w:t>12</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326F" w14:textId="77777777" w:rsidR="00763E25" w:rsidRDefault="00763E25">
      <w:r>
        <w:separator/>
      </w:r>
    </w:p>
  </w:footnote>
  <w:footnote w:type="continuationSeparator" w:id="0">
    <w:p w14:paraId="00DA0DA6" w14:textId="77777777" w:rsidR="00763E25" w:rsidRDefault="00763E25">
      <w:r>
        <w:continuationSeparator/>
      </w:r>
    </w:p>
  </w:footnote>
  <w:footnote w:id="1">
    <w:p w14:paraId="641C037B" w14:textId="77777777" w:rsidR="00E9451F" w:rsidRPr="00C221AC" w:rsidRDefault="00E9451F" w:rsidP="00E9451F">
      <w:pPr>
        <w:pStyle w:val="FootnoteText"/>
        <w:rPr>
          <w:lang w:val="en-AU"/>
        </w:rPr>
      </w:pPr>
      <w:r>
        <w:rPr>
          <w:rStyle w:val="FootnoteReference"/>
        </w:rPr>
        <w:footnoteRef/>
      </w:r>
      <w:r>
        <w:t xml:space="preserve"> </w:t>
      </w:r>
      <w:r w:rsidRPr="00014CFC">
        <w:rPr>
          <w:rFonts w:cs="Calibri"/>
          <w:sz w:val="18"/>
          <w:szCs w:val="12"/>
        </w:rPr>
        <w:t xml:space="preserve">Australian Bureau of Statistics Release </w:t>
      </w:r>
      <w:r>
        <w:rPr>
          <w:rFonts w:cs="Calibri"/>
          <w:sz w:val="18"/>
          <w:szCs w:val="12"/>
          <w:lang w:val="en-AU"/>
        </w:rPr>
        <w:t>21 February 2024</w:t>
      </w:r>
      <w:r w:rsidRPr="00014CFC">
        <w:rPr>
          <w:sz w:val="18"/>
          <w:szCs w:val="12"/>
        </w:rPr>
        <w:t xml:space="preserve"> </w:t>
      </w:r>
      <w:hyperlink r:id="rId1" w:anchor="state-and-territory-wage-growth" w:history="1">
        <w:r w:rsidRPr="00C221AC">
          <w:rPr>
            <w:rStyle w:val="Hyperlink"/>
            <w:sz w:val="18"/>
            <w:szCs w:val="18"/>
          </w:rPr>
          <w:t>Wage Price Index, Australia, December 2023 | Australian Bureau of Statistics (abs.gov.au)</w:t>
        </w:r>
      </w:hyperlink>
    </w:p>
  </w:footnote>
  <w:footnote w:id="2">
    <w:p w14:paraId="3B7D3A59" w14:textId="77777777" w:rsidR="009B6266" w:rsidRPr="00014CFC" w:rsidRDefault="009B6266" w:rsidP="009B6266">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ACT Treasury, </w:t>
      </w:r>
      <w:r>
        <w:rPr>
          <w:rFonts w:cs="Calibri"/>
          <w:sz w:val="18"/>
          <w:szCs w:val="12"/>
          <w:lang w:val="en-AU"/>
        </w:rPr>
        <w:t xml:space="preserve">31 January </w:t>
      </w:r>
      <w:r w:rsidRPr="00014CFC">
        <w:rPr>
          <w:rFonts w:cs="Calibri"/>
          <w:sz w:val="18"/>
          <w:szCs w:val="12"/>
        </w:rPr>
        <w:t>202</w:t>
      </w:r>
      <w:r>
        <w:rPr>
          <w:rFonts w:cs="Calibri"/>
          <w:sz w:val="18"/>
          <w:szCs w:val="12"/>
          <w:lang w:val="en-AU"/>
        </w:rPr>
        <w:t>4</w:t>
      </w:r>
      <w:r w:rsidRPr="00014CFC">
        <w:rPr>
          <w:rFonts w:cs="Calibri"/>
          <w:sz w:val="18"/>
          <w:szCs w:val="12"/>
        </w:rPr>
        <w:t xml:space="preserve">, CPI – </w:t>
      </w:r>
      <w:r>
        <w:rPr>
          <w:rFonts w:cs="Calibri"/>
          <w:sz w:val="18"/>
          <w:szCs w:val="12"/>
          <w:lang w:val="en-AU"/>
        </w:rPr>
        <w:t>December</w:t>
      </w:r>
      <w:r w:rsidRPr="00014CFC">
        <w:rPr>
          <w:rFonts w:cs="Calibri"/>
          <w:sz w:val="18"/>
          <w:szCs w:val="12"/>
        </w:rPr>
        <w:t xml:space="preserve"> Quarter 2023 </w:t>
      </w:r>
      <w:hyperlink r:id="rId2" w:history="1">
        <w:r w:rsidRPr="00014CFC">
          <w:rPr>
            <w:rStyle w:val="Hyperlink"/>
            <w:rFonts w:cs="Calibri"/>
            <w:sz w:val="18"/>
            <w:szCs w:val="12"/>
          </w:rPr>
          <w:t>https://www.treasury.act.gov.au/__data/assets/pdf_file/0009/399978/CPI.pdf/_recache</w:t>
        </w:r>
      </w:hyperlink>
      <w:r w:rsidRPr="00014CFC">
        <w:rPr>
          <w:rFonts w:cs="Calibri"/>
          <w:sz w:val="18"/>
          <w:szCs w:val="12"/>
        </w:rPr>
        <w:t xml:space="preserve"> </w:t>
      </w:r>
    </w:p>
  </w:footnote>
  <w:footnote w:id="3">
    <w:p w14:paraId="4E3430CA" w14:textId="77777777" w:rsidR="009B6266" w:rsidRPr="00040544" w:rsidRDefault="009B6266" w:rsidP="009B6266">
      <w:pPr>
        <w:pStyle w:val="FootnoteText"/>
        <w:jc w:val="left"/>
        <w:rPr>
          <w:sz w:val="18"/>
          <w:szCs w:val="12"/>
        </w:rPr>
      </w:pPr>
      <w:r w:rsidRPr="00014CFC">
        <w:rPr>
          <w:rStyle w:val="FootnoteReference"/>
          <w:rFonts w:cs="Calibri"/>
          <w:sz w:val="18"/>
          <w:szCs w:val="12"/>
        </w:rPr>
        <w:footnoteRef/>
      </w:r>
      <w:r w:rsidRPr="00014CFC">
        <w:rPr>
          <w:rFonts w:cs="Calibri"/>
          <w:sz w:val="18"/>
          <w:szCs w:val="12"/>
        </w:rPr>
        <w:t xml:space="preserve"> Australian Bureau of Statistics Release </w:t>
      </w:r>
      <w:r>
        <w:rPr>
          <w:rFonts w:cs="Calibri"/>
          <w:sz w:val="18"/>
          <w:szCs w:val="12"/>
          <w:lang w:val="en-AU"/>
        </w:rPr>
        <w:t>31 January 2024</w:t>
      </w:r>
      <w:r w:rsidRPr="00014CFC">
        <w:rPr>
          <w:sz w:val="18"/>
          <w:szCs w:val="12"/>
        </w:rPr>
        <w:t xml:space="preserve"> </w:t>
      </w:r>
      <w:hyperlink r:id="rId3" w:history="1">
        <w:r w:rsidRPr="00FB6723">
          <w:rPr>
            <w:rStyle w:val="Hyperlink"/>
            <w:sz w:val="18"/>
            <w:szCs w:val="12"/>
          </w:rPr>
          <w:t>https://www.abs.gov.au/statistics/economy/price-indexes-and-inflation/consumer-price-index-australia/latest-release</w:t>
        </w:r>
      </w:hyperlink>
    </w:p>
  </w:footnote>
  <w:footnote w:id="4">
    <w:p w14:paraId="434081A9" w14:textId="77777777" w:rsidR="009B6266" w:rsidRPr="00014CFC" w:rsidRDefault="009B6266" w:rsidP="009B6266">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w:t>
      </w:r>
      <w:hyperlink r:id="rId4" w:history="1">
        <w:r>
          <w:rPr>
            <w:rStyle w:val="Hyperlink"/>
            <w:rFonts w:cs="Calibri"/>
            <w:sz w:val="18"/>
            <w:szCs w:val="12"/>
          </w:rPr>
          <w:t>ACT Budget 2023-2024 Budget Review</w:t>
        </w:r>
      </w:hyperlink>
      <w:r w:rsidRPr="00014CFC">
        <w:rPr>
          <w:rFonts w:cs="Calibri"/>
          <w:sz w:val="18"/>
          <w:szCs w:val="12"/>
        </w:rPr>
        <w:t xml:space="preserve">, page </w:t>
      </w:r>
      <w:r>
        <w:rPr>
          <w:rFonts w:cs="Calibri"/>
          <w:sz w:val="18"/>
          <w:szCs w:val="12"/>
          <w:lang w:val="en-AU"/>
        </w:rPr>
        <w:t>9</w:t>
      </w:r>
      <w:r w:rsidRPr="00014CFC">
        <w:rPr>
          <w:rFonts w:cs="Calibri"/>
          <w:sz w:val="18"/>
          <w:szCs w:val="12"/>
        </w:rPr>
        <w:t>.</w:t>
      </w:r>
    </w:p>
  </w:footnote>
  <w:footnote w:id="5">
    <w:p w14:paraId="1CBB06CA" w14:textId="77777777" w:rsidR="009B6266" w:rsidRPr="00EC2C07" w:rsidRDefault="009B6266" w:rsidP="009B6266">
      <w:pPr>
        <w:pStyle w:val="FootnoteText"/>
        <w:rPr>
          <w:sz w:val="18"/>
          <w:szCs w:val="18"/>
        </w:rPr>
      </w:pPr>
      <w:r>
        <w:rPr>
          <w:rStyle w:val="FootnoteReference"/>
        </w:rPr>
        <w:footnoteRef/>
      </w:r>
      <w:r>
        <w:t xml:space="preserve"> </w:t>
      </w:r>
      <w:hyperlink r:id="rId5" w:history="1">
        <w:r w:rsidRPr="00C06033">
          <w:rPr>
            <w:rStyle w:val="Hyperlink"/>
            <w:sz w:val="18"/>
            <w:szCs w:val="18"/>
          </w:rPr>
          <w:t>https://treasury.gov.au/tax-cuts</w:t>
        </w:r>
      </w:hyperlink>
    </w:p>
  </w:footnote>
  <w:footnote w:id="6">
    <w:p w14:paraId="12F04031" w14:textId="77777777" w:rsidR="009B6266" w:rsidRPr="00077AD0" w:rsidRDefault="009B6266" w:rsidP="009B6266">
      <w:pPr>
        <w:pStyle w:val="FootnoteText"/>
        <w:rPr>
          <w:lang w:val="en-AU"/>
        </w:rPr>
      </w:pPr>
      <w:r>
        <w:rPr>
          <w:rStyle w:val="FootnoteReference"/>
        </w:rPr>
        <w:footnoteRef/>
      </w:r>
      <w:r>
        <w:t xml:space="preserve"> </w:t>
      </w:r>
      <w:r>
        <w:rPr>
          <w:sz w:val="18"/>
          <w:szCs w:val="18"/>
          <w:lang w:val="en-AU"/>
        </w:rPr>
        <w:t>P</w:t>
      </w:r>
      <w:proofErr w:type="spellStart"/>
      <w:r w:rsidRPr="00371BF3">
        <w:rPr>
          <w:sz w:val="18"/>
          <w:szCs w:val="18"/>
        </w:rPr>
        <w:t>rovides</w:t>
      </w:r>
      <w:proofErr w:type="spellEnd"/>
      <w:r w:rsidRPr="00371BF3">
        <w:rPr>
          <w:sz w:val="18"/>
          <w:szCs w:val="18"/>
        </w:rPr>
        <w:t xml:space="preserve"> for additional remuneration </w:t>
      </w:r>
      <w:r>
        <w:rPr>
          <w:sz w:val="18"/>
          <w:szCs w:val="18"/>
          <w:lang w:val="en-AU"/>
        </w:rPr>
        <w:t xml:space="preserve">associated with the previous provision of executive vehicles, </w:t>
      </w:r>
      <w:r w:rsidRPr="00371BF3">
        <w:rPr>
          <w:sz w:val="18"/>
          <w:szCs w:val="18"/>
        </w:rPr>
        <w:t xml:space="preserve">commensurate with that payable to ACTPS senior executives under section 51 of the </w:t>
      </w:r>
      <w:bookmarkStart w:id="7" w:name="_Hlk136597530"/>
      <w:r w:rsidRPr="00371BF3">
        <w:rPr>
          <w:i/>
          <w:iCs/>
          <w:sz w:val="18"/>
          <w:szCs w:val="18"/>
        </w:rPr>
        <w:t>Public Sector Management Standards 2016</w:t>
      </w:r>
      <w:bookmarkEnd w:id="7"/>
      <w:r w:rsidRPr="00371BF3">
        <w:rPr>
          <w:sz w:val="18"/>
          <w:szCs w:val="18"/>
        </w:rPr>
        <w:t>.</w:t>
      </w:r>
      <w:r>
        <w:t> </w:t>
      </w:r>
    </w:p>
  </w:footnote>
  <w:footnote w:id="7">
    <w:p w14:paraId="121DD65E" w14:textId="53E579BE" w:rsidR="005720DA" w:rsidRPr="00C32396" w:rsidRDefault="005720DA" w:rsidP="00C32396">
      <w:r w:rsidRPr="0040431A">
        <w:rPr>
          <w:rStyle w:val="FootnoteReference"/>
          <w:sz w:val="16"/>
          <w:szCs w:val="16"/>
        </w:rPr>
        <w:footnoteRef/>
      </w:r>
      <w:r w:rsidRPr="0040431A">
        <w:rPr>
          <w:sz w:val="16"/>
          <w:szCs w:val="16"/>
        </w:rPr>
        <w:t xml:space="preserve"> </w:t>
      </w:r>
      <w:hyperlink r:id="rId6" w:anchor=":~:text=For%20the%202022%2D23%20income%20year%2C%20the%20reasonable%20amount%20for,overtime%20meal%20expenses%20is%20%2433.25." w:history="1">
        <w:r w:rsidR="00624501" w:rsidRPr="00371AF8">
          <w:rPr>
            <w:rStyle w:val="Hyperlink"/>
            <w:sz w:val="16"/>
            <w:szCs w:val="16"/>
            <w:lang w:val="en-GB"/>
          </w:rPr>
          <w:t>Australian Taxation Office – Taxation Determination 202</w:t>
        </w:r>
        <w:r w:rsidR="00981665">
          <w:rPr>
            <w:rStyle w:val="Hyperlink"/>
            <w:sz w:val="16"/>
            <w:szCs w:val="16"/>
            <w:lang w:val="en-GB"/>
          </w:rPr>
          <w:t>2</w:t>
        </w:r>
        <w:r w:rsidR="00624501" w:rsidRPr="00371AF8">
          <w:rPr>
            <w:rStyle w:val="Hyperlink"/>
            <w:sz w:val="16"/>
            <w:szCs w:val="16"/>
            <w:lang w:val="en-GB"/>
          </w:rPr>
          <w:t>/</w:t>
        </w:r>
        <w:r w:rsidR="00981665">
          <w:rPr>
            <w:rStyle w:val="Hyperlink"/>
            <w:sz w:val="16"/>
            <w:szCs w:val="16"/>
            <w:lang w:val="en-GB"/>
          </w:rPr>
          <w:t>10</w:t>
        </w:r>
        <w:r w:rsidR="00624501" w:rsidRPr="00371AF8">
          <w:rPr>
            <w:rStyle w:val="Hyperlink"/>
            <w:sz w:val="16"/>
            <w:szCs w:val="16"/>
            <w:lang w:val="en-GB"/>
          </w:rPr>
          <w:t xml:space="preserve"> Income tax: what are the reasonable travel and overtime meal allowance expense amounts for the 202</w:t>
        </w:r>
        <w:r w:rsidR="00981665">
          <w:rPr>
            <w:rStyle w:val="Hyperlink"/>
            <w:sz w:val="16"/>
            <w:szCs w:val="16"/>
            <w:lang w:val="en-GB"/>
          </w:rPr>
          <w:t>2</w:t>
        </w:r>
        <w:r w:rsidR="00624501" w:rsidRPr="00371AF8">
          <w:rPr>
            <w:rStyle w:val="Hyperlink"/>
            <w:sz w:val="16"/>
            <w:szCs w:val="16"/>
            <w:lang w:val="en-GB"/>
          </w:rPr>
          <w:t>-2</w:t>
        </w:r>
        <w:r w:rsidR="00981665">
          <w:rPr>
            <w:rStyle w:val="Hyperlink"/>
            <w:sz w:val="16"/>
            <w:szCs w:val="16"/>
            <w:lang w:val="en-GB"/>
          </w:rPr>
          <w:t>3</w:t>
        </w:r>
        <w:r w:rsidR="00624501" w:rsidRPr="00371AF8">
          <w:rPr>
            <w:rStyle w:val="Hyperlink"/>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06B" w14:textId="5DBD58D6" w:rsidR="000A0399" w:rsidRDefault="000A0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FDF2" w14:textId="4405E4A1" w:rsidR="000A0399" w:rsidRDefault="000A0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EE4B" w14:textId="60D16FDD" w:rsidR="000A0399" w:rsidRDefault="000A0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547E0855" w:rsidR="00EE3961" w:rsidRDefault="00EE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0212785A" w:rsidR="00EE3961" w:rsidRDefault="00EE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3120DAFE"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9"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8"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3560902">
    <w:abstractNumId w:val="9"/>
  </w:num>
  <w:num w:numId="2" w16cid:durableId="2047948176">
    <w:abstractNumId w:val="18"/>
  </w:num>
  <w:num w:numId="3" w16cid:durableId="827937030">
    <w:abstractNumId w:val="2"/>
  </w:num>
  <w:num w:numId="4" w16cid:durableId="1167287476">
    <w:abstractNumId w:val="39"/>
  </w:num>
  <w:num w:numId="5" w16cid:durableId="1294479748">
    <w:abstractNumId w:val="25"/>
  </w:num>
  <w:num w:numId="6" w16cid:durableId="624048391">
    <w:abstractNumId w:val="30"/>
  </w:num>
  <w:num w:numId="7" w16cid:durableId="708535157">
    <w:abstractNumId w:val="20"/>
  </w:num>
  <w:num w:numId="8" w16cid:durableId="1089274263">
    <w:abstractNumId w:val="36"/>
  </w:num>
  <w:num w:numId="9" w16cid:durableId="1434589545">
    <w:abstractNumId w:val="39"/>
  </w:num>
  <w:num w:numId="10" w16cid:durableId="1154103859">
    <w:abstractNumId w:val="39"/>
  </w:num>
  <w:num w:numId="11" w16cid:durableId="1100101549">
    <w:abstractNumId w:val="37"/>
  </w:num>
  <w:num w:numId="12" w16cid:durableId="118766589">
    <w:abstractNumId w:val="27"/>
  </w:num>
  <w:num w:numId="13" w16cid:durableId="181211237">
    <w:abstractNumId w:val="28"/>
  </w:num>
  <w:num w:numId="14" w16cid:durableId="1965308550">
    <w:abstractNumId w:val="22"/>
  </w:num>
  <w:num w:numId="15" w16cid:durableId="2021425011">
    <w:abstractNumId w:val="40"/>
  </w:num>
  <w:num w:numId="16" w16cid:durableId="1436245887">
    <w:abstractNumId w:val="24"/>
  </w:num>
  <w:num w:numId="17" w16cid:durableId="145513049">
    <w:abstractNumId w:val="10"/>
  </w:num>
  <w:num w:numId="18" w16cid:durableId="230579702">
    <w:abstractNumId w:val="17"/>
  </w:num>
  <w:num w:numId="19" w16cid:durableId="1783837383">
    <w:abstractNumId w:val="0"/>
  </w:num>
  <w:num w:numId="20" w16cid:durableId="644431010">
    <w:abstractNumId w:val="19"/>
  </w:num>
  <w:num w:numId="21" w16cid:durableId="1603762921">
    <w:abstractNumId w:val="31"/>
  </w:num>
  <w:num w:numId="22" w16cid:durableId="1172066077">
    <w:abstractNumId w:val="38"/>
  </w:num>
  <w:num w:numId="23" w16cid:durableId="1297645039">
    <w:abstractNumId w:val="15"/>
  </w:num>
  <w:num w:numId="24" w16cid:durableId="1767388378">
    <w:abstractNumId w:val="4"/>
  </w:num>
  <w:num w:numId="25" w16cid:durableId="2043895511">
    <w:abstractNumId w:val="16"/>
  </w:num>
  <w:num w:numId="26" w16cid:durableId="191504946">
    <w:abstractNumId w:val="34"/>
  </w:num>
  <w:num w:numId="27" w16cid:durableId="1843660083">
    <w:abstractNumId w:val="35"/>
  </w:num>
  <w:num w:numId="28" w16cid:durableId="1702515995">
    <w:abstractNumId w:val="29"/>
  </w:num>
  <w:num w:numId="29" w16cid:durableId="639848245">
    <w:abstractNumId w:val="3"/>
  </w:num>
  <w:num w:numId="30" w16cid:durableId="540242230">
    <w:abstractNumId w:val="12"/>
  </w:num>
  <w:num w:numId="31" w16cid:durableId="299966001">
    <w:abstractNumId w:val="7"/>
  </w:num>
  <w:num w:numId="32" w16cid:durableId="2080244878">
    <w:abstractNumId w:val="21"/>
  </w:num>
  <w:num w:numId="33" w16cid:durableId="1527206957">
    <w:abstractNumId w:val="6"/>
  </w:num>
  <w:num w:numId="34" w16cid:durableId="1447581138">
    <w:abstractNumId w:val="32"/>
  </w:num>
  <w:num w:numId="35" w16cid:durableId="1799101009">
    <w:abstractNumId w:val="33"/>
  </w:num>
  <w:num w:numId="36" w16cid:durableId="2025594516">
    <w:abstractNumId w:val="41"/>
  </w:num>
  <w:num w:numId="37" w16cid:durableId="1159232877">
    <w:abstractNumId w:val="8"/>
  </w:num>
  <w:num w:numId="38" w16cid:durableId="2088309884">
    <w:abstractNumId w:val="26"/>
  </w:num>
  <w:num w:numId="39" w16cid:durableId="1861359000">
    <w:abstractNumId w:val="11"/>
  </w:num>
  <w:num w:numId="40" w16cid:durableId="1653675819">
    <w:abstractNumId w:val="1"/>
  </w:num>
  <w:num w:numId="41" w16cid:durableId="107623291">
    <w:abstractNumId w:val="39"/>
  </w:num>
  <w:num w:numId="42" w16cid:durableId="1968966559">
    <w:abstractNumId w:val="23"/>
  </w:num>
  <w:num w:numId="43" w16cid:durableId="1280792474">
    <w:abstractNumId w:val="39"/>
  </w:num>
  <w:num w:numId="44" w16cid:durableId="1789203960">
    <w:abstractNumId w:val="13"/>
  </w:num>
  <w:num w:numId="45" w16cid:durableId="400178574">
    <w:abstractNumId w:val="5"/>
  </w:num>
  <w:num w:numId="46" w16cid:durableId="12790967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328830">
    <w:abstractNumId w:val="39"/>
  </w:num>
  <w:num w:numId="48" w16cid:durableId="1166357247">
    <w:abstractNumId w:val="14"/>
  </w:num>
  <w:num w:numId="49" w16cid:durableId="4588406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9378035">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235E0"/>
    <w:rsid w:val="00031CFC"/>
    <w:rsid w:val="0004555F"/>
    <w:rsid w:val="0005314A"/>
    <w:rsid w:val="000556CB"/>
    <w:rsid w:val="00056206"/>
    <w:rsid w:val="00056B4A"/>
    <w:rsid w:val="00056F1E"/>
    <w:rsid w:val="00061EFC"/>
    <w:rsid w:val="0006448B"/>
    <w:rsid w:val="000656D9"/>
    <w:rsid w:val="00070912"/>
    <w:rsid w:val="00070D49"/>
    <w:rsid w:val="0007167B"/>
    <w:rsid w:val="000739D1"/>
    <w:rsid w:val="00073FA6"/>
    <w:rsid w:val="00077AD0"/>
    <w:rsid w:val="0008057D"/>
    <w:rsid w:val="00090A4E"/>
    <w:rsid w:val="000945B5"/>
    <w:rsid w:val="00094C9A"/>
    <w:rsid w:val="00097FB9"/>
    <w:rsid w:val="000A0399"/>
    <w:rsid w:val="000B0E53"/>
    <w:rsid w:val="000B67A3"/>
    <w:rsid w:val="000B7D21"/>
    <w:rsid w:val="000C0FBA"/>
    <w:rsid w:val="000D063D"/>
    <w:rsid w:val="000D2549"/>
    <w:rsid w:val="000D2E7C"/>
    <w:rsid w:val="000E19B1"/>
    <w:rsid w:val="000E2D42"/>
    <w:rsid w:val="000E540E"/>
    <w:rsid w:val="000F5176"/>
    <w:rsid w:val="000F5D3A"/>
    <w:rsid w:val="000F74E9"/>
    <w:rsid w:val="00100A4A"/>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1F0C"/>
    <w:rsid w:val="0015430B"/>
    <w:rsid w:val="00163FC8"/>
    <w:rsid w:val="0016506F"/>
    <w:rsid w:val="0016636D"/>
    <w:rsid w:val="00170CB2"/>
    <w:rsid w:val="001745F0"/>
    <w:rsid w:val="0018012B"/>
    <w:rsid w:val="0018099A"/>
    <w:rsid w:val="00181BC6"/>
    <w:rsid w:val="00182E98"/>
    <w:rsid w:val="00192151"/>
    <w:rsid w:val="00195E09"/>
    <w:rsid w:val="00195F46"/>
    <w:rsid w:val="001A7100"/>
    <w:rsid w:val="001B0BA5"/>
    <w:rsid w:val="001B4DE2"/>
    <w:rsid w:val="001B685B"/>
    <w:rsid w:val="001C56AB"/>
    <w:rsid w:val="001C79EF"/>
    <w:rsid w:val="001D03AE"/>
    <w:rsid w:val="001D1882"/>
    <w:rsid w:val="001D34E6"/>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3E02"/>
    <w:rsid w:val="002667F1"/>
    <w:rsid w:val="0026798E"/>
    <w:rsid w:val="00272569"/>
    <w:rsid w:val="002740B6"/>
    <w:rsid w:val="00274C3E"/>
    <w:rsid w:val="00293A63"/>
    <w:rsid w:val="002A134C"/>
    <w:rsid w:val="002A4ADA"/>
    <w:rsid w:val="002B391E"/>
    <w:rsid w:val="002B43F3"/>
    <w:rsid w:val="002B4D3C"/>
    <w:rsid w:val="002B4F37"/>
    <w:rsid w:val="002C0635"/>
    <w:rsid w:val="002C0A51"/>
    <w:rsid w:val="002C2272"/>
    <w:rsid w:val="002C2521"/>
    <w:rsid w:val="002C2963"/>
    <w:rsid w:val="002C3B13"/>
    <w:rsid w:val="002C469B"/>
    <w:rsid w:val="002C5A60"/>
    <w:rsid w:val="002C785E"/>
    <w:rsid w:val="002D2697"/>
    <w:rsid w:val="002D40AF"/>
    <w:rsid w:val="002D6B74"/>
    <w:rsid w:val="002E23E7"/>
    <w:rsid w:val="002E3F01"/>
    <w:rsid w:val="002F76C6"/>
    <w:rsid w:val="00300548"/>
    <w:rsid w:val="003019CD"/>
    <w:rsid w:val="003114FB"/>
    <w:rsid w:val="00316F20"/>
    <w:rsid w:val="00324CE1"/>
    <w:rsid w:val="0033335A"/>
    <w:rsid w:val="00335D5A"/>
    <w:rsid w:val="00335FA1"/>
    <w:rsid w:val="00336564"/>
    <w:rsid w:val="00344B5B"/>
    <w:rsid w:val="00347A7E"/>
    <w:rsid w:val="00351C1B"/>
    <w:rsid w:val="00355BD4"/>
    <w:rsid w:val="0036438B"/>
    <w:rsid w:val="003661F9"/>
    <w:rsid w:val="003715E6"/>
    <w:rsid w:val="00371BF3"/>
    <w:rsid w:val="00372DD3"/>
    <w:rsid w:val="00373E37"/>
    <w:rsid w:val="00377C0D"/>
    <w:rsid w:val="00381CF4"/>
    <w:rsid w:val="00382C46"/>
    <w:rsid w:val="00383A02"/>
    <w:rsid w:val="00391051"/>
    <w:rsid w:val="003B0300"/>
    <w:rsid w:val="003B0795"/>
    <w:rsid w:val="003B0856"/>
    <w:rsid w:val="003B1335"/>
    <w:rsid w:val="003B1A08"/>
    <w:rsid w:val="003C2BD3"/>
    <w:rsid w:val="003D0831"/>
    <w:rsid w:val="003D2774"/>
    <w:rsid w:val="003D2D25"/>
    <w:rsid w:val="003D4E8A"/>
    <w:rsid w:val="003D59CB"/>
    <w:rsid w:val="003E1BB3"/>
    <w:rsid w:val="003E745D"/>
    <w:rsid w:val="003E79F7"/>
    <w:rsid w:val="003F4842"/>
    <w:rsid w:val="003F5154"/>
    <w:rsid w:val="003F6933"/>
    <w:rsid w:val="003F7A76"/>
    <w:rsid w:val="004004FA"/>
    <w:rsid w:val="00403DB9"/>
    <w:rsid w:val="0040431A"/>
    <w:rsid w:val="00411F21"/>
    <w:rsid w:val="004130D0"/>
    <w:rsid w:val="004213D9"/>
    <w:rsid w:val="0042612F"/>
    <w:rsid w:val="0043370C"/>
    <w:rsid w:val="00435B2B"/>
    <w:rsid w:val="00437715"/>
    <w:rsid w:val="00440A32"/>
    <w:rsid w:val="00441444"/>
    <w:rsid w:val="00444138"/>
    <w:rsid w:val="004455DD"/>
    <w:rsid w:val="00450C40"/>
    <w:rsid w:val="0045748E"/>
    <w:rsid w:val="00467BA6"/>
    <w:rsid w:val="00470F0C"/>
    <w:rsid w:val="004748CC"/>
    <w:rsid w:val="00475AF5"/>
    <w:rsid w:val="00481B14"/>
    <w:rsid w:val="00484224"/>
    <w:rsid w:val="004857B8"/>
    <w:rsid w:val="004A2467"/>
    <w:rsid w:val="004A61D9"/>
    <w:rsid w:val="004A6415"/>
    <w:rsid w:val="004A7E1D"/>
    <w:rsid w:val="004B2675"/>
    <w:rsid w:val="004B34E3"/>
    <w:rsid w:val="004B4A80"/>
    <w:rsid w:val="004B66BB"/>
    <w:rsid w:val="004B688C"/>
    <w:rsid w:val="004B71C5"/>
    <w:rsid w:val="004C2A9A"/>
    <w:rsid w:val="004C42DA"/>
    <w:rsid w:val="004C4847"/>
    <w:rsid w:val="004C6CA8"/>
    <w:rsid w:val="004C6DE2"/>
    <w:rsid w:val="004D13A4"/>
    <w:rsid w:val="004D35A7"/>
    <w:rsid w:val="004D44E5"/>
    <w:rsid w:val="004D7FD9"/>
    <w:rsid w:val="004E4757"/>
    <w:rsid w:val="004F0900"/>
    <w:rsid w:val="004F66BD"/>
    <w:rsid w:val="004F6AA2"/>
    <w:rsid w:val="004F75A6"/>
    <w:rsid w:val="004F77CB"/>
    <w:rsid w:val="00500C2D"/>
    <w:rsid w:val="00501D7C"/>
    <w:rsid w:val="00507EB9"/>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776A3"/>
    <w:rsid w:val="00582CFF"/>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24501"/>
    <w:rsid w:val="00630FB5"/>
    <w:rsid w:val="00640AE0"/>
    <w:rsid w:val="006460C5"/>
    <w:rsid w:val="00647F0A"/>
    <w:rsid w:val="00656B85"/>
    <w:rsid w:val="006637AB"/>
    <w:rsid w:val="00667D31"/>
    <w:rsid w:val="0067357E"/>
    <w:rsid w:val="00674580"/>
    <w:rsid w:val="00674A79"/>
    <w:rsid w:val="00674BD0"/>
    <w:rsid w:val="00675113"/>
    <w:rsid w:val="00677B60"/>
    <w:rsid w:val="00683C06"/>
    <w:rsid w:val="0069037C"/>
    <w:rsid w:val="006921C0"/>
    <w:rsid w:val="0069220A"/>
    <w:rsid w:val="00692462"/>
    <w:rsid w:val="00694E86"/>
    <w:rsid w:val="00697229"/>
    <w:rsid w:val="006A0464"/>
    <w:rsid w:val="006A4555"/>
    <w:rsid w:val="006A5149"/>
    <w:rsid w:val="006B1254"/>
    <w:rsid w:val="006B1541"/>
    <w:rsid w:val="006B231A"/>
    <w:rsid w:val="006B2E82"/>
    <w:rsid w:val="006B5738"/>
    <w:rsid w:val="006B62E4"/>
    <w:rsid w:val="006C45D5"/>
    <w:rsid w:val="006C6578"/>
    <w:rsid w:val="006C74E2"/>
    <w:rsid w:val="006C7757"/>
    <w:rsid w:val="006D13CC"/>
    <w:rsid w:val="006D1DB1"/>
    <w:rsid w:val="006D2040"/>
    <w:rsid w:val="006D20A2"/>
    <w:rsid w:val="006D2D2C"/>
    <w:rsid w:val="006D6312"/>
    <w:rsid w:val="006D6BDF"/>
    <w:rsid w:val="006D79D3"/>
    <w:rsid w:val="006E1141"/>
    <w:rsid w:val="006E4F44"/>
    <w:rsid w:val="006E53A9"/>
    <w:rsid w:val="006E6165"/>
    <w:rsid w:val="006F1565"/>
    <w:rsid w:val="00700E75"/>
    <w:rsid w:val="00714C87"/>
    <w:rsid w:val="0071674A"/>
    <w:rsid w:val="00724DBA"/>
    <w:rsid w:val="00730C82"/>
    <w:rsid w:val="00732D04"/>
    <w:rsid w:val="007351B8"/>
    <w:rsid w:val="00735CE4"/>
    <w:rsid w:val="007437B4"/>
    <w:rsid w:val="00746C96"/>
    <w:rsid w:val="007534BC"/>
    <w:rsid w:val="00757287"/>
    <w:rsid w:val="007612FA"/>
    <w:rsid w:val="00763E25"/>
    <w:rsid w:val="00764A8D"/>
    <w:rsid w:val="007653BC"/>
    <w:rsid w:val="00774F91"/>
    <w:rsid w:val="00775190"/>
    <w:rsid w:val="0078119F"/>
    <w:rsid w:val="007853A6"/>
    <w:rsid w:val="00791C85"/>
    <w:rsid w:val="00793F8D"/>
    <w:rsid w:val="00797027"/>
    <w:rsid w:val="007A0CEA"/>
    <w:rsid w:val="007A3978"/>
    <w:rsid w:val="007A44ED"/>
    <w:rsid w:val="007B2F07"/>
    <w:rsid w:val="007B3033"/>
    <w:rsid w:val="007B444B"/>
    <w:rsid w:val="007B5A4D"/>
    <w:rsid w:val="007B7D04"/>
    <w:rsid w:val="007C050D"/>
    <w:rsid w:val="007D0169"/>
    <w:rsid w:val="007D57D5"/>
    <w:rsid w:val="007E11E5"/>
    <w:rsid w:val="007E3378"/>
    <w:rsid w:val="007E424C"/>
    <w:rsid w:val="007E4C05"/>
    <w:rsid w:val="007E6AB7"/>
    <w:rsid w:val="007F5CF1"/>
    <w:rsid w:val="00802958"/>
    <w:rsid w:val="00802ACA"/>
    <w:rsid w:val="00802EEA"/>
    <w:rsid w:val="008035C3"/>
    <w:rsid w:val="0080694B"/>
    <w:rsid w:val="00811707"/>
    <w:rsid w:val="00813A81"/>
    <w:rsid w:val="0081580E"/>
    <w:rsid w:val="00816B0C"/>
    <w:rsid w:val="00816BA9"/>
    <w:rsid w:val="008236B1"/>
    <w:rsid w:val="0082575E"/>
    <w:rsid w:val="008316A3"/>
    <w:rsid w:val="00840B00"/>
    <w:rsid w:val="00842AA2"/>
    <w:rsid w:val="00861DF6"/>
    <w:rsid w:val="0086483E"/>
    <w:rsid w:val="00865598"/>
    <w:rsid w:val="00867A92"/>
    <w:rsid w:val="00870068"/>
    <w:rsid w:val="008743D2"/>
    <w:rsid w:val="00876086"/>
    <w:rsid w:val="00877EB0"/>
    <w:rsid w:val="00882C73"/>
    <w:rsid w:val="00883CEC"/>
    <w:rsid w:val="00884608"/>
    <w:rsid w:val="00891859"/>
    <w:rsid w:val="0089656C"/>
    <w:rsid w:val="0089720F"/>
    <w:rsid w:val="008A43CC"/>
    <w:rsid w:val="008A4A64"/>
    <w:rsid w:val="008B36C4"/>
    <w:rsid w:val="008B5E76"/>
    <w:rsid w:val="008B6DDC"/>
    <w:rsid w:val="008C43AB"/>
    <w:rsid w:val="008C5BE2"/>
    <w:rsid w:val="008D0A3D"/>
    <w:rsid w:val="008D2952"/>
    <w:rsid w:val="008D5909"/>
    <w:rsid w:val="009031DC"/>
    <w:rsid w:val="009074E1"/>
    <w:rsid w:val="0091032A"/>
    <w:rsid w:val="009118FF"/>
    <w:rsid w:val="00912FF7"/>
    <w:rsid w:val="00913857"/>
    <w:rsid w:val="0092035A"/>
    <w:rsid w:val="009203C3"/>
    <w:rsid w:val="00926988"/>
    <w:rsid w:val="00934A13"/>
    <w:rsid w:val="00935862"/>
    <w:rsid w:val="00943B30"/>
    <w:rsid w:val="00944A2C"/>
    <w:rsid w:val="009468BC"/>
    <w:rsid w:val="00946CD2"/>
    <w:rsid w:val="009472F5"/>
    <w:rsid w:val="00951857"/>
    <w:rsid w:val="00960FDB"/>
    <w:rsid w:val="00962FCD"/>
    <w:rsid w:val="00964233"/>
    <w:rsid w:val="009651FF"/>
    <w:rsid w:val="00965615"/>
    <w:rsid w:val="00970733"/>
    <w:rsid w:val="00975E81"/>
    <w:rsid w:val="00981665"/>
    <w:rsid w:val="009844CE"/>
    <w:rsid w:val="0098544D"/>
    <w:rsid w:val="009859F7"/>
    <w:rsid w:val="00991FB8"/>
    <w:rsid w:val="00992018"/>
    <w:rsid w:val="009A108C"/>
    <w:rsid w:val="009A24F2"/>
    <w:rsid w:val="009A4B5B"/>
    <w:rsid w:val="009A54E1"/>
    <w:rsid w:val="009B6266"/>
    <w:rsid w:val="009C41FF"/>
    <w:rsid w:val="009D1A1F"/>
    <w:rsid w:val="009D1E3E"/>
    <w:rsid w:val="009D5748"/>
    <w:rsid w:val="009D72B0"/>
    <w:rsid w:val="009E34DA"/>
    <w:rsid w:val="009E4C67"/>
    <w:rsid w:val="009E65ED"/>
    <w:rsid w:val="009E735F"/>
    <w:rsid w:val="009F1E09"/>
    <w:rsid w:val="009F6241"/>
    <w:rsid w:val="00A01575"/>
    <w:rsid w:val="00A10D88"/>
    <w:rsid w:val="00A2214F"/>
    <w:rsid w:val="00A35E49"/>
    <w:rsid w:val="00A403CA"/>
    <w:rsid w:val="00A4108A"/>
    <w:rsid w:val="00A508E6"/>
    <w:rsid w:val="00A62067"/>
    <w:rsid w:val="00A7057A"/>
    <w:rsid w:val="00A72561"/>
    <w:rsid w:val="00A750B6"/>
    <w:rsid w:val="00A760A2"/>
    <w:rsid w:val="00A77538"/>
    <w:rsid w:val="00A82F8D"/>
    <w:rsid w:val="00A878FB"/>
    <w:rsid w:val="00A90AB7"/>
    <w:rsid w:val="00A9679B"/>
    <w:rsid w:val="00AA3C18"/>
    <w:rsid w:val="00AA5597"/>
    <w:rsid w:val="00AB02E2"/>
    <w:rsid w:val="00AC1C71"/>
    <w:rsid w:val="00AC729A"/>
    <w:rsid w:val="00AD2FD8"/>
    <w:rsid w:val="00AD45E6"/>
    <w:rsid w:val="00AD5324"/>
    <w:rsid w:val="00AE2CF2"/>
    <w:rsid w:val="00AE689E"/>
    <w:rsid w:val="00AE77C3"/>
    <w:rsid w:val="00B00550"/>
    <w:rsid w:val="00B008EB"/>
    <w:rsid w:val="00B048B6"/>
    <w:rsid w:val="00B258EE"/>
    <w:rsid w:val="00B36F10"/>
    <w:rsid w:val="00B373AF"/>
    <w:rsid w:val="00B3771A"/>
    <w:rsid w:val="00B40DE4"/>
    <w:rsid w:val="00B41011"/>
    <w:rsid w:val="00B42918"/>
    <w:rsid w:val="00B50DAA"/>
    <w:rsid w:val="00B51C15"/>
    <w:rsid w:val="00B543C2"/>
    <w:rsid w:val="00B602B7"/>
    <w:rsid w:val="00B61E76"/>
    <w:rsid w:val="00B634A3"/>
    <w:rsid w:val="00B65816"/>
    <w:rsid w:val="00B7173F"/>
    <w:rsid w:val="00B7359A"/>
    <w:rsid w:val="00B748D0"/>
    <w:rsid w:val="00B76438"/>
    <w:rsid w:val="00B7661C"/>
    <w:rsid w:val="00B768E8"/>
    <w:rsid w:val="00B83610"/>
    <w:rsid w:val="00B90A5E"/>
    <w:rsid w:val="00B90F0B"/>
    <w:rsid w:val="00B94E3B"/>
    <w:rsid w:val="00B960E0"/>
    <w:rsid w:val="00B96194"/>
    <w:rsid w:val="00B97BF2"/>
    <w:rsid w:val="00BA15E9"/>
    <w:rsid w:val="00BA23CF"/>
    <w:rsid w:val="00BA3A88"/>
    <w:rsid w:val="00BA5DCE"/>
    <w:rsid w:val="00BA79B3"/>
    <w:rsid w:val="00BA7F15"/>
    <w:rsid w:val="00BB3562"/>
    <w:rsid w:val="00BB5E73"/>
    <w:rsid w:val="00BB7044"/>
    <w:rsid w:val="00BC0E5B"/>
    <w:rsid w:val="00BC2ABD"/>
    <w:rsid w:val="00BC3333"/>
    <w:rsid w:val="00BC44F7"/>
    <w:rsid w:val="00BD1CE2"/>
    <w:rsid w:val="00BD46C1"/>
    <w:rsid w:val="00BD5F55"/>
    <w:rsid w:val="00BE3052"/>
    <w:rsid w:val="00BE4B52"/>
    <w:rsid w:val="00BF5C02"/>
    <w:rsid w:val="00BF7D35"/>
    <w:rsid w:val="00C03DBD"/>
    <w:rsid w:val="00C05120"/>
    <w:rsid w:val="00C078FD"/>
    <w:rsid w:val="00C10C16"/>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845C4"/>
    <w:rsid w:val="00C85F11"/>
    <w:rsid w:val="00C90DE3"/>
    <w:rsid w:val="00C91627"/>
    <w:rsid w:val="00C95977"/>
    <w:rsid w:val="00CA01A6"/>
    <w:rsid w:val="00CA0760"/>
    <w:rsid w:val="00CA0D6A"/>
    <w:rsid w:val="00CA0E47"/>
    <w:rsid w:val="00CA682D"/>
    <w:rsid w:val="00CB1C7E"/>
    <w:rsid w:val="00CB3A78"/>
    <w:rsid w:val="00CB6CD9"/>
    <w:rsid w:val="00CB7D64"/>
    <w:rsid w:val="00CB7ED3"/>
    <w:rsid w:val="00CC0ADB"/>
    <w:rsid w:val="00CC57FE"/>
    <w:rsid w:val="00CD1EAD"/>
    <w:rsid w:val="00CE4B09"/>
    <w:rsid w:val="00CF2E46"/>
    <w:rsid w:val="00D003B9"/>
    <w:rsid w:val="00D018AF"/>
    <w:rsid w:val="00D041D3"/>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42B1"/>
    <w:rsid w:val="00D850CE"/>
    <w:rsid w:val="00D924C3"/>
    <w:rsid w:val="00D93135"/>
    <w:rsid w:val="00DA3D0F"/>
    <w:rsid w:val="00DA46E9"/>
    <w:rsid w:val="00DA5979"/>
    <w:rsid w:val="00DB1F22"/>
    <w:rsid w:val="00DB7560"/>
    <w:rsid w:val="00DC011D"/>
    <w:rsid w:val="00DC337A"/>
    <w:rsid w:val="00DC35CF"/>
    <w:rsid w:val="00DC5108"/>
    <w:rsid w:val="00DC689A"/>
    <w:rsid w:val="00DC6C6D"/>
    <w:rsid w:val="00DD3FB5"/>
    <w:rsid w:val="00DD633A"/>
    <w:rsid w:val="00DD73BE"/>
    <w:rsid w:val="00DE39AD"/>
    <w:rsid w:val="00DE6EB1"/>
    <w:rsid w:val="00DF0D48"/>
    <w:rsid w:val="00DF0E97"/>
    <w:rsid w:val="00DF10B8"/>
    <w:rsid w:val="00DF140E"/>
    <w:rsid w:val="00DF3859"/>
    <w:rsid w:val="00DF40FC"/>
    <w:rsid w:val="00DF4AC6"/>
    <w:rsid w:val="00E010F5"/>
    <w:rsid w:val="00E01547"/>
    <w:rsid w:val="00E14F84"/>
    <w:rsid w:val="00E16907"/>
    <w:rsid w:val="00E23369"/>
    <w:rsid w:val="00E30896"/>
    <w:rsid w:val="00E32058"/>
    <w:rsid w:val="00E33098"/>
    <w:rsid w:val="00E33E5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9451F"/>
    <w:rsid w:val="00EA1A9E"/>
    <w:rsid w:val="00EA644C"/>
    <w:rsid w:val="00EA6F3D"/>
    <w:rsid w:val="00EB406C"/>
    <w:rsid w:val="00EC74B5"/>
    <w:rsid w:val="00EE2287"/>
    <w:rsid w:val="00EE2454"/>
    <w:rsid w:val="00EE3961"/>
    <w:rsid w:val="00EE59A2"/>
    <w:rsid w:val="00EF040C"/>
    <w:rsid w:val="00EF30A1"/>
    <w:rsid w:val="00F046EB"/>
    <w:rsid w:val="00F215BD"/>
    <w:rsid w:val="00F23FF5"/>
    <w:rsid w:val="00F30A6E"/>
    <w:rsid w:val="00F31978"/>
    <w:rsid w:val="00F35025"/>
    <w:rsid w:val="00F3571C"/>
    <w:rsid w:val="00F37B34"/>
    <w:rsid w:val="00F412B1"/>
    <w:rsid w:val="00F442A3"/>
    <w:rsid w:val="00F4504C"/>
    <w:rsid w:val="00F54DBA"/>
    <w:rsid w:val="00F5535C"/>
    <w:rsid w:val="00F55699"/>
    <w:rsid w:val="00F572EC"/>
    <w:rsid w:val="00F61B62"/>
    <w:rsid w:val="00F62FC9"/>
    <w:rsid w:val="00F64856"/>
    <w:rsid w:val="00F67DFE"/>
    <w:rsid w:val="00F74290"/>
    <w:rsid w:val="00F74FF0"/>
    <w:rsid w:val="00F84806"/>
    <w:rsid w:val="00F875AC"/>
    <w:rsid w:val="00F90A96"/>
    <w:rsid w:val="00F92A75"/>
    <w:rsid w:val="00F966E4"/>
    <w:rsid w:val="00FA00E5"/>
    <w:rsid w:val="00FA2187"/>
    <w:rsid w:val="00FA3A75"/>
    <w:rsid w:val="00FA5F23"/>
    <w:rsid w:val="00FA6A71"/>
    <w:rsid w:val="00FA77AE"/>
    <w:rsid w:val="00FB1085"/>
    <w:rsid w:val="00FB11C4"/>
    <w:rsid w:val="00FB4530"/>
    <w:rsid w:val="00FB49BB"/>
    <w:rsid w:val="00FB7E3C"/>
    <w:rsid w:val="00FC0892"/>
    <w:rsid w:val="00FC1A46"/>
    <w:rsid w:val="00FC1AD2"/>
    <w:rsid w:val="00FC20AD"/>
    <w:rsid w:val="00FC56F1"/>
    <w:rsid w:val="00FC5C65"/>
    <w:rsid w:val="00FC6619"/>
    <w:rsid w:val="00FC72EA"/>
    <w:rsid w:val="00FD287B"/>
    <w:rsid w:val="00FD56C5"/>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styleId="UnresolvedMention">
    <w:name w:val="Unresolved Mention"/>
    <w:basedOn w:val="DefaultParagraphFont"/>
    <w:uiPriority w:val="99"/>
    <w:semiHidden/>
    <w:unhideWhenUsed/>
    <w:rsid w:val="00263E02"/>
    <w:rPr>
      <w:color w:val="605E5C"/>
      <w:shd w:val="clear" w:color="auto" w:fill="E1DFDD"/>
    </w:rPr>
  </w:style>
  <w:style w:type="paragraph" w:styleId="Revision">
    <w:name w:val="Revision"/>
    <w:hidden/>
    <w:uiPriority w:val="99"/>
    <w:semiHidden/>
    <w:rsid w:val="00181BC6"/>
    <w:rPr>
      <w:rFonts w:ascii="Calibri" w:hAnsi="Calibri"/>
      <w:sz w:val="24"/>
    </w:rPr>
  </w:style>
  <w:style w:type="character" w:customStyle="1" w:styleId="Heading3Char">
    <w:name w:val="Heading 3 Char"/>
    <w:basedOn w:val="DefaultParagraphFont"/>
    <w:link w:val="Heading3"/>
    <w:uiPriority w:val="9"/>
    <w:rsid w:val="00656B85"/>
    <w:rPr>
      <w:rFonts w:ascii="Calibri" w:hAnsi="Calibri"/>
      <w:b/>
      <w:bCs/>
      <w:sz w:val="24"/>
    </w:rPr>
  </w:style>
  <w:style w:type="paragraph" w:customStyle="1" w:styleId="m4332841467621231132xmsonormal">
    <w:name w:val="m_4332841467621231132xmsonormal"/>
    <w:basedOn w:val="Normal"/>
    <w:rsid w:val="006C6578"/>
    <w:pPr>
      <w:spacing w:before="100" w:beforeAutospacing="1" w:after="100" w:afterAutospacing="1"/>
    </w:pPr>
    <w:rPr>
      <w:rFonts w:eastAsiaTheme="minorHAns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98163">
      <w:bodyDiv w:val="1"/>
      <w:marLeft w:val="0"/>
      <w:marRight w:val="0"/>
      <w:marTop w:val="0"/>
      <w:marBottom w:val="0"/>
      <w:divBdr>
        <w:top w:val="none" w:sz="0" w:space="0" w:color="auto"/>
        <w:left w:val="none" w:sz="0" w:space="0" w:color="auto"/>
        <w:bottom w:val="none" w:sz="0" w:space="0" w:color="auto"/>
        <w:right w:val="none" w:sz="0" w:space="0" w:color="auto"/>
      </w:divBdr>
    </w:div>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 w:id="1894658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abs.gov.au/statistics/economy/price-indexes-and-inflation/wage-price-index-australia/latest-release" TargetMode="External"/><Relationship Id="rId6" Type="http://schemas.openxmlformats.org/officeDocument/2006/relationships/hyperlink" Target="https://www.ato.gov.au/law/view/view.htm?docid=%22TXD%2FTD202210%2FNAT%2FATO%2F00001%22" TargetMode="External"/><Relationship Id="rId5" Type="http://schemas.openxmlformats.org/officeDocument/2006/relationships/hyperlink" Target="https://treasury.gov.au/tax-cuts" TargetMode="External"/><Relationship Id="rId4" Type="http://schemas.openxmlformats.org/officeDocument/2006/relationships/hyperlink" Target="https://www.treasury.act.gov.au/__data/assets/pdf_file/0003/2391636/2023-24-Budget-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346F7D77-BCBF-4C62-8352-2E3487829C23}">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1</TotalTime>
  <Pages>11</Pages>
  <Words>3319</Words>
  <Characters>17948</Characters>
  <Application>Microsoft Office Word</Application>
  <DocSecurity>0</DocSecurity>
  <Lines>2243</Lines>
  <Paragraphs>1635</Paragraphs>
  <ScaleCrop>false</ScaleCrop>
  <HeadingPairs>
    <vt:vector size="2" baseType="variant">
      <vt:variant>
        <vt:lpstr>Title</vt:lpstr>
      </vt:variant>
      <vt:variant>
        <vt:i4>1</vt:i4>
      </vt:variant>
    </vt:vector>
  </HeadingPairs>
  <TitlesOfParts>
    <vt:vector size="1" baseType="lpstr">
      <vt:lpstr>Determination 4 of 2023 - FTSOH AG Clerk EC</vt:lpstr>
    </vt:vector>
  </TitlesOfParts>
  <Company>InTACT</Company>
  <LinksUpToDate>false</LinksUpToDate>
  <CharactersWithSpaces>19632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4 of 2023 - FTSOH AG Clerk EC</dc:title>
  <dc:subject>Remuneration</dc:subject>
  <dc:creator>Secretary, ACT Remuneration Tribunal</dc:creator>
  <cp:lastModifiedBy>Hopkins, Lela</cp:lastModifiedBy>
  <cp:revision>2</cp:revision>
  <cp:lastPrinted>2024-04-24T01:40:00Z</cp:lastPrinted>
  <dcterms:created xsi:type="dcterms:W3CDTF">2024-05-13T04:44:00Z</dcterms:created>
  <dcterms:modified xsi:type="dcterms:W3CDTF">2024-05-13T04:44:00Z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2024-04-18T04:37:35Z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7e58aba2-fc71-4abf-b36a-9cf2e2d6e62a</vt:lpwstr>
  </property>
  <property fmtid="{D5CDD505-2E9C-101B-9397-08002B2CF9AE}" pid="18" name="MSIP_Label_69af8531-eb46-4968-8cb3-105d2f5ea87e_ContentBits">
    <vt:lpwstr>0</vt:lpwstr>
  </property>
</Properties>
</file>