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2EEA3" w14:textId="77777777" w:rsidR="009E4C67" w:rsidRPr="00DC6C6D" w:rsidRDefault="001D1882" w:rsidP="00DC6C6D">
      <w:pPr>
        <w:keepNext/>
        <w:keepLines/>
        <w:spacing w:before="120"/>
        <w:rPr>
          <w:rFonts w:cs="Arial"/>
          <w:sz w:val="28"/>
          <w:szCs w:val="28"/>
        </w:rPr>
      </w:pPr>
      <w:bookmarkStart w:id="0" w:name="_Toc44738651"/>
      <w:bookmarkStart w:id="1" w:name="_GoBack"/>
      <w:bookmarkEnd w:id="1"/>
      <w:r>
        <w:rPr>
          <w:rFonts w:cs="Arial"/>
          <w:noProof/>
          <w:lang w:eastAsia="en-AU"/>
        </w:rPr>
        <w:drawing>
          <wp:inline distT="0" distB="0" distL="0" distR="0" wp14:anchorId="30E0F2A5" wp14:editId="40C969C6">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2CF9B364" w14:textId="7AF6FDA7" w:rsidR="009E4C67" w:rsidRPr="00403DB9" w:rsidRDefault="009E4C67" w:rsidP="009E4C67">
      <w:pPr>
        <w:pStyle w:val="Heading1"/>
        <w:keepLines/>
        <w:pageBreakBefore w:val="0"/>
        <w:pBdr>
          <w:bottom w:val="none" w:sz="0" w:space="0" w:color="auto"/>
        </w:pBdr>
        <w:spacing w:before="240"/>
        <w:rPr>
          <w:color w:val="000000" w:themeColor="text1"/>
        </w:rPr>
      </w:pPr>
      <w:r w:rsidRPr="00403DB9">
        <w:rPr>
          <w:color w:val="000000" w:themeColor="text1"/>
        </w:rPr>
        <w:t xml:space="preserve">Determination </w:t>
      </w:r>
      <w:r w:rsidR="009E65ED" w:rsidRPr="009E65ED">
        <w:t>3</w:t>
      </w:r>
      <w:r w:rsidR="009E65ED">
        <w:rPr>
          <w:color w:val="FF0000"/>
        </w:rPr>
        <w:t xml:space="preserve"> </w:t>
      </w:r>
      <w:r w:rsidR="00DC6C6D" w:rsidRPr="00403DB9">
        <w:rPr>
          <w:color w:val="000000" w:themeColor="text1"/>
        </w:rPr>
        <w:t xml:space="preserve">of </w:t>
      </w:r>
      <w:r w:rsidR="00440A32">
        <w:rPr>
          <w:color w:val="000000" w:themeColor="text1"/>
        </w:rPr>
        <w:t>2021</w:t>
      </w:r>
    </w:p>
    <w:p w14:paraId="0263C472" w14:textId="77777777" w:rsidR="00DC6C6D" w:rsidRPr="00DC6C6D" w:rsidRDefault="00FA00E5" w:rsidP="00DC6C6D">
      <w:pPr>
        <w:pStyle w:val="Heading1"/>
        <w:keepLines/>
        <w:pageBreakBefore w:val="0"/>
        <w:pBdr>
          <w:bottom w:val="none" w:sz="0" w:space="0" w:color="auto"/>
        </w:pBdr>
        <w:spacing w:before="240"/>
      </w:pPr>
      <w:r>
        <w:t xml:space="preserve">Full-time </w:t>
      </w:r>
      <w:r w:rsidR="00355BD4">
        <w:t>Statutory</w:t>
      </w:r>
      <w:r>
        <w:t xml:space="preserve"> Office Holders</w:t>
      </w:r>
      <w:r w:rsidR="004F6AA2">
        <w:t xml:space="preserve">: Auditor-General, Clerk of the Legislative Assembly, </w:t>
      </w:r>
      <w:r w:rsidR="00355BD4">
        <w:br/>
      </w:r>
      <w:r w:rsidR="004F6AA2">
        <w:t>Electoral Commissioner</w:t>
      </w:r>
    </w:p>
    <w:p w14:paraId="4873F6F8" w14:textId="77777777" w:rsidR="00D66012" w:rsidRPr="003B1A08" w:rsidRDefault="00D66012" w:rsidP="00D66012">
      <w:proofErr w:type="gramStart"/>
      <w:r w:rsidRPr="003B1A08">
        <w:t>made</w:t>
      </w:r>
      <w:proofErr w:type="gramEnd"/>
      <w:r w:rsidRPr="003B1A08">
        <w:t xml:space="preserve"> under the </w:t>
      </w:r>
    </w:p>
    <w:p w14:paraId="23D672B9" w14:textId="77777777" w:rsidR="00D66012" w:rsidRPr="00DB411F" w:rsidRDefault="00D66012" w:rsidP="00D66012">
      <w:pPr>
        <w:rPr>
          <w:rFonts w:cs="Arial"/>
          <w:b/>
        </w:rPr>
      </w:pPr>
      <w:r w:rsidRPr="00DB411F">
        <w:rPr>
          <w:rFonts w:cs="Arial"/>
          <w:b/>
        </w:rPr>
        <w:t>Remuneration Tribunal Act 1995, section 10 (Inquiries about holders of certain positions)</w:t>
      </w:r>
    </w:p>
    <w:p w14:paraId="74FBD987" w14:textId="1ACDE53E" w:rsidR="009E4C67" w:rsidRPr="00F215BD" w:rsidRDefault="009E4C67" w:rsidP="009E4C67">
      <w:pPr>
        <w:pStyle w:val="Heading1"/>
        <w:keepLines/>
        <w:pageBreakBefore w:val="0"/>
        <w:pBdr>
          <w:bottom w:val="none" w:sz="0" w:space="0" w:color="auto"/>
        </w:pBdr>
        <w:spacing w:before="240"/>
      </w:pPr>
      <w:r w:rsidRPr="00F215BD">
        <w:t>AC</w:t>
      </w:r>
      <w:r w:rsidR="007D57D5">
        <w:t>C</w:t>
      </w:r>
      <w:r w:rsidRPr="00F215BD">
        <w:t>OMPANYING STATEMENT</w:t>
      </w:r>
      <w:r w:rsidR="0013477F">
        <w:t xml:space="preserve">  </w:t>
      </w:r>
    </w:p>
    <w:p w14:paraId="7CD50454" w14:textId="77777777" w:rsidR="009E4C67" w:rsidRPr="003B1A08" w:rsidRDefault="009E4C67" w:rsidP="009E4C67">
      <w:pPr>
        <w:pStyle w:val="N-line3"/>
        <w:pBdr>
          <w:bottom w:val="none" w:sz="0" w:space="0" w:color="auto"/>
        </w:pBdr>
      </w:pPr>
    </w:p>
    <w:p w14:paraId="13140720" w14:textId="77777777" w:rsidR="00D34A6C" w:rsidRDefault="00D34A6C" w:rsidP="009E4C67">
      <w:pPr>
        <w:pStyle w:val="N-line3"/>
        <w:pBdr>
          <w:top w:val="single" w:sz="12" w:space="1" w:color="auto"/>
          <w:bottom w:val="none" w:sz="0" w:space="0" w:color="auto"/>
        </w:pBdr>
      </w:pPr>
    </w:p>
    <w:p w14:paraId="02620CCD" w14:textId="77777777" w:rsidR="00F30A6E" w:rsidRDefault="00F30A6E" w:rsidP="00F30A6E">
      <w:pPr>
        <w:pStyle w:val="Heading2"/>
        <w:spacing w:before="120" w:after="60"/>
        <w:jc w:val="left"/>
      </w:pPr>
      <w:r>
        <w:t>Background</w:t>
      </w:r>
    </w:p>
    <w:p w14:paraId="0691D477" w14:textId="77777777" w:rsidR="00F30A6E" w:rsidRPr="00626357" w:rsidRDefault="00F30A6E" w:rsidP="00F30A6E">
      <w:pPr>
        <w:spacing w:before="120" w:after="60"/>
      </w:pPr>
      <w:r w:rsidRPr="00626357">
        <w:t xml:space="preserve">Under section 10 of the </w:t>
      </w:r>
      <w:r w:rsidRPr="00626357">
        <w:rPr>
          <w:i/>
        </w:rPr>
        <w:t>Remuneration Tribunal Act 1995</w:t>
      </w:r>
      <w:r w:rsidRPr="00626357">
        <w:t xml:space="preserve"> </w:t>
      </w:r>
      <w:r w:rsidR="00A750B6">
        <w:t xml:space="preserve">(the Act), </w:t>
      </w:r>
      <w:r w:rsidRPr="00626357">
        <w:t>the Remuneration Tribunal (</w:t>
      </w:r>
      <w:r w:rsidR="00A750B6">
        <w:t xml:space="preserve">the </w:t>
      </w:r>
      <w:r w:rsidRPr="00626357">
        <w:t xml:space="preserve">Tribunal) is required to inquire into, and determine, the </w:t>
      </w:r>
      <w:r w:rsidR="00500C2D">
        <w:t>remuneration</w:t>
      </w:r>
      <w:r w:rsidRPr="00626357">
        <w:t>, allowances and other entitlements for certain full-time public offices.  Of those offices, this Determination covers</w:t>
      </w:r>
      <w:r>
        <w:t xml:space="preserve"> the</w:t>
      </w:r>
      <w:r w:rsidR="00FA00E5">
        <w:t xml:space="preserve"> following</w:t>
      </w:r>
      <w:r w:rsidRPr="00626357">
        <w:t>:</w:t>
      </w:r>
    </w:p>
    <w:p w14:paraId="2390915B" w14:textId="77777777" w:rsidR="004F6AA2" w:rsidRDefault="004F6AA2" w:rsidP="00F30A6E">
      <w:pPr>
        <w:numPr>
          <w:ilvl w:val="0"/>
          <w:numId w:val="12"/>
        </w:numPr>
      </w:pPr>
      <w:r w:rsidRPr="00B41011">
        <w:t>Auditor-General</w:t>
      </w:r>
      <w:r>
        <w:t>;</w:t>
      </w:r>
    </w:p>
    <w:p w14:paraId="7C251C66" w14:textId="77777777" w:rsidR="00F30A6E" w:rsidRDefault="00F30A6E" w:rsidP="004F6AA2">
      <w:pPr>
        <w:numPr>
          <w:ilvl w:val="0"/>
          <w:numId w:val="12"/>
        </w:numPr>
      </w:pPr>
      <w:r>
        <w:t>Clerk</w:t>
      </w:r>
      <w:r w:rsidR="00FA00E5">
        <w:t xml:space="preserve"> of the Legislative Assembly</w:t>
      </w:r>
      <w:r>
        <w:t>; and</w:t>
      </w:r>
    </w:p>
    <w:p w14:paraId="36BF6988" w14:textId="77777777" w:rsidR="00F30A6E" w:rsidRPr="00B41011" w:rsidRDefault="00F30A6E" w:rsidP="00F30A6E">
      <w:pPr>
        <w:numPr>
          <w:ilvl w:val="0"/>
          <w:numId w:val="12"/>
        </w:numPr>
      </w:pPr>
      <w:r>
        <w:t>Electoral Commissioner.</w:t>
      </w:r>
    </w:p>
    <w:p w14:paraId="2A832729" w14:textId="77777777" w:rsidR="001C56AB" w:rsidRPr="009D2938" w:rsidRDefault="001C56AB" w:rsidP="001C56AB">
      <w:pPr>
        <w:spacing w:before="120" w:after="60"/>
        <w:rPr>
          <w:color w:val="000000" w:themeColor="text1"/>
        </w:rPr>
      </w:pPr>
      <w:r w:rsidRPr="009D2938">
        <w:rPr>
          <w:b/>
          <w:color w:val="000000" w:themeColor="text1"/>
        </w:rPr>
        <w:t>Considerations</w:t>
      </w:r>
    </w:p>
    <w:p w14:paraId="04821415" w14:textId="77777777" w:rsidR="001C56AB" w:rsidRPr="007C572F" w:rsidRDefault="001C56AB" w:rsidP="001C56AB">
      <w:pPr>
        <w:spacing w:after="120"/>
      </w:pPr>
      <w:bookmarkStart w:id="2" w:name="_Hlk78802250"/>
      <w:r w:rsidRPr="007C572F">
        <w:t>In September 2020, the Tribunal decided to determine no adjustment to remuneration, allowances or entitlements for the position holders within its jurisdiction</w:t>
      </w:r>
      <w:r>
        <w:t>.</w:t>
      </w:r>
    </w:p>
    <w:p w14:paraId="0D492859" w14:textId="77777777" w:rsidR="001C56AB" w:rsidRPr="00677D07" w:rsidRDefault="001C56AB" w:rsidP="001C56AB">
      <w:pPr>
        <w:spacing w:after="120"/>
        <w:rPr>
          <w:szCs w:val="24"/>
        </w:rPr>
      </w:pPr>
      <w:r w:rsidRPr="00677D07">
        <w:rPr>
          <w:szCs w:val="24"/>
        </w:rPr>
        <w:t xml:space="preserve">In April 2021, the Tribunal commenced its Autumn Sitting to consider the remuneration, allowances and other entitlements of the following position holders: </w:t>
      </w:r>
    </w:p>
    <w:p w14:paraId="4A9D9315" w14:textId="77777777" w:rsidR="001C56AB" w:rsidRPr="00677D07" w:rsidRDefault="001C56AB" w:rsidP="001C56AB">
      <w:pPr>
        <w:pStyle w:val="ListParagraph"/>
        <w:numPr>
          <w:ilvl w:val="0"/>
          <w:numId w:val="48"/>
        </w:numPr>
        <w:spacing w:after="120"/>
        <w:rPr>
          <w:sz w:val="24"/>
          <w:szCs w:val="24"/>
        </w:rPr>
      </w:pPr>
      <w:r w:rsidRPr="00677D07">
        <w:rPr>
          <w:sz w:val="24"/>
          <w:szCs w:val="24"/>
        </w:rPr>
        <w:t>Members of the Legislative Assembly (including the Chief Minister, Deputy Chief Minister, and other Ministers and Members of the Legislative Assembly holding particular offices);</w:t>
      </w:r>
    </w:p>
    <w:p w14:paraId="1A2061AD" w14:textId="77777777" w:rsidR="001C56AB" w:rsidRPr="00677D07" w:rsidRDefault="001C56AB" w:rsidP="001C56AB">
      <w:pPr>
        <w:pStyle w:val="ListParagraph"/>
        <w:numPr>
          <w:ilvl w:val="0"/>
          <w:numId w:val="48"/>
        </w:numPr>
        <w:spacing w:after="120"/>
        <w:rPr>
          <w:sz w:val="24"/>
          <w:szCs w:val="24"/>
        </w:rPr>
      </w:pPr>
      <w:r w:rsidRPr="00677D07">
        <w:rPr>
          <w:sz w:val="24"/>
          <w:szCs w:val="24"/>
        </w:rPr>
        <w:t>the Head of Service, Directors-General and ACT Public Service Executives;</w:t>
      </w:r>
      <w:r>
        <w:rPr>
          <w:sz w:val="24"/>
          <w:szCs w:val="24"/>
        </w:rPr>
        <w:t xml:space="preserve"> and</w:t>
      </w:r>
    </w:p>
    <w:p w14:paraId="674FE38A" w14:textId="77777777" w:rsidR="001C56AB" w:rsidRPr="00677D07" w:rsidRDefault="001C56AB" w:rsidP="001C56AB">
      <w:pPr>
        <w:pStyle w:val="ListParagraph"/>
        <w:numPr>
          <w:ilvl w:val="0"/>
          <w:numId w:val="48"/>
        </w:numPr>
        <w:spacing w:after="120"/>
        <w:rPr>
          <w:sz w:val="24"/>
          <w:szCs w:val="24"/>
        </w:rPr>
      </w:pPr>
      <w:r w:rsidRPr="00677D07">
        <w:rPr>
          <w:sz w:val="24"/>
          <w:szCs w:val="24"/>
        </w:rPr>
        <w:t xml:space="preserve">Full-time Statutory Office Holders, referred to in Section 10(1) of the </w:t>
      </w:r>
      <w:r w:rsidRPr="007468A3">
        <w:rPr>
          <w:i/>
          <w:sz w:val="24"/>
          <w:szCs w:val="24"/>
        </w:rPr>
        <w:t>Remuneration Tribunal Act 1995</w:t>
      </w:r>
      <w:r w:rsidRPr="00677D07">
        <w:rPr>
          <w:sz w:val="24"/>
          <w:szCs w:val="24"/>
        </w:rPr>
        <w:t>, including the Clerk of the Legislative Assembly, the Auditor-General and Electoral Commissioner</w:t>
      </w:r>
      <w:r>
        <w:rPr>
          <w:sz w:val="24"/>
          <w:szCs w:val="24"/>
        </w:rPr>
        <w:t>.</w:t>
      </w:r>
    </w:p>
    <w:p w14:paraId="7ED92016" w14:textId="77777777" w:rsidR="001C56AB" w:rsidRPr="001C56AB" w:rsidRDefault="001C56AB" w:rsidP="001C56AB">
      <w:pPr>
        <w:spacing w:after="120"/>
        <w:rPr>
          <w:rFonts w:cs="Calibri"/>
        </w:rPr>
      </w:pPr>
      <w:r w:rsidRPr="001C56AB" w:rsidDel="00BB4820">
        <w:rPr>
          <w:rFonts w:cs="Calibri"/>
        </w:rPr>
        <w:lastRenderedPageBreak/>
        <w:t xml:space="preserve">The Tribunal advertised its </w:t>
      </w:r>
      <w:r w:rsidRPr="001C56AB">
        <w:rPr>
          <w:rFonts w:cs="Calibri"/>
        </w:rPr>
        <w:t>Autumn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Saturday 20 February 2021. </w:t>
      </w:r>
      <w:r w:rsidRPr="001C56AB">
        <w:rPr>
          <w:rFonts w:cs="Calibri"/>
        </w:rPr>
        <w:t xml:space="preserve">The Tribunal also wrote to the relevant position holders requesting submissions. </w:t>
      </w:r>
    </w:p>
    <w:p w14:paraId="6AB0EEF7" w14:textId="459865D7" w:rsidR="001C56AB" w:rsidRPr="001C56AB" w:rsidRDefault="001C56AB" w:rsidP="001C56AB">
      <w:pPr>
        <w:spacing w:after="120"/>
        <w:rPr>
          <w:rFonts w:cs="Calibri"/>
        </w:rPr>
      </w:pPr>
      <w:r w:rsidRPr="001C56AB">
        <w:rPr>
          <w:rFonts w:cs="Calibri"/>
        </w:rPr>
        <w:t xml:space="preserve">At its meeting in April 2021, the Tribunal met with the Chief Minister, ACT Government Treasury officials and officials responsible for the Enterprise Agreement bargaining for </w:t>
      </w:r>
      <w:r w:rsidRPr="001C56AB">
        <w:rPr>
          <w:rFonts w:cs="Calibri"/>
        </w:rPr>
        <w:br/>
        <w:t xml:space="preserve">ACT Public Sector non-executive employees. The Tribunal reconvened for </w:t>
      </w:r>
      <w:r w:rsidR="00B36F10">
        <w:rPr>
          <w:rFonts w:cs="Calibri"/>
        </w:rPr>
        <w:t>additional</w:t>
      </w:r>
      <w:r w:rsidR="00B36F10" w:rsidRPr="001C56AB">
        <w:rPr>
          <w:rFonts w:cs="Calibri"/>
        </w:rPr>
        <w:t xml:space="preserve"> </w:t>
      </w:r>
      <w:r w:rsidRPr="001C56AB">
        <w:rPr>
          <w:rFonts w:cs="Calibri"/>
        </w:rPr>
        <w:t>briefings from Treasury officials in June and July 2021</w:t>
      </w:r>
      <w:r w:rsidR="00B36F10">
        <w:rPr>
          <w:rFonts w:cs="Calibri"/>
        </w:rPr>
        <w:t>,</w:t>
      </w:r>
      <w:r w:rsidR="00D924C3">
        <w:t xml:space="preserve"> in particular to pay further attention to the economic circumstances of the Territory</w:t>
      </w:r>
      <w:r w:rsidRPr="001C56AB">
        <w:rPr>
          <w:rFonts w:cs="Calibri"/>
        </w:rPr>
        <w:t xml:space="preserve">. </w:t>
      </w:r>
    </w:p>
    <w:p w14:paraId="20CC670E" w14:textId="77777777" w:rsidR="001C56AB" w:rsidRPr="001C56AB" w:rsidRDefault="001C56AB" w:rsidP="001C56AB">
      <w:pPr>
        <w:spacing w:after="120"/>
        <w:rPr>
          <w:rFonts w:cs="Calibri"/>
        </w:rPr>
      </w:pPr>
      <w:r w:rsidRPr="001C56AB">
        <w:rPr>
          <w:rFonts w:cs="Calibri"/>
        </w:rPr>
        <w:t xml:space="preserve">In its deliberations, the Tribunal gave considerable weight to community standards and expectations, in particular in terms of the continuing uncertainty of circumstances currently faced in the Territory by the recent outbreak of the COVID-19 Delta variant across the country.   </w:t>
      </w:r>
    </w:p>
    <w:p w14:paraId="5C9A3816" w14:textId="77777777" w:rsidR="001C56AB" w:rsidRPr="001C56AB" w:rsidRDefault="001C56AB" w:rsidP="001C56AB">
      <w:pPr>
        <w:spacing w:after="120"/>
        <w:rPr>
          <w:rFonts w:cs="Calibri"/>
        </w:rPr>
      </w:pPr>
      <w:r w:rsidRPr="001C56AB">
        <w:rPr>
          <w:rFonts w:cs="Calibri"/>
        </w:rPr>
        <w:t>The Tribunal balanced this consideration with the importance of the Territory providing competitive and equitable remuneration, allowances and other entitlements so that it can continue to attract and retain high calibre individuals to deliver high quality services to the ACT community. In this context, the Tribunal noted the wage policies and recent remuneration determinations by its Commonwealth and State/Territory counterparts.</w:t>
      </w:r>
    </w:p>
    <w:p w14:paraId="23668015" w14:textId="77777777" w:rsidR="001C56AB" w:rsidRPr="001C56AB" w:rsidRDefault="001C56AB" w:rsidP="001C56AB">
      <w:pPr>
        <w:spacing w:after="120"/>
        <w:rPr>
          <w:rFonts w:cs="Calibri"/>
        </w:rPr>
      </w:pPr>
      <w:r w:rsidRPr="001C56AB">
        <w:rPr>
          <w:rFonts w:cs="Calibri"/>
        </w:rPr>
        <w:t xml:space="preserve">Consistent with usual practice, the pay increases that were provided to the ACT Public Sector non-executive workforce during 2020 and 2021 under the Enterprise Agreements were considered by the Tribunal. In addition, when considering pay increases for statutory office holders, the Tribunal was guided by the pay increases that were provided to executives in the ACT Public Service. </w:t>
      </w:r>
    </w:p>
    <w:p w14:paraId="2E4C622C" w14:textId="77777777" w:rsidR="001C56AB" w:rsidRPr="001C56AB" w:rsidRDefault="001C56AB" w:rsidP="001C56AB">
      <w:pPr>
        <w:spacing w:after="120"/>
        <w:rPr>
          <w:rFonts w:cs="Calibri"/>
        </w:rPr>
      </w:pPr>
      <w:r w:rsidRPr="001C56AB">
        <w:rPr>
          <w:rFonts w:cs="Calibri"/>
        </w:rPr>
        <w:t>The Tribunal had regard to the 2020-21 ACT Budget that was released in February 2021 by the Chief Minister which predicted growth in 2021-22 of 1.75 per cent in WPI and 1.25 per cent in CPI</w:t>
      </w:r>
      <w:r w:rsidRPr="001C56AB">
        <w:rPr>
          <w:rStyle w:val="FootnoteReference"/>
          <w:rFonts w:ascii="Calibri" w:hAnsi="Calibri" w:cs="Calibri"/>
        </w:rPr>
        <w:footnoteReference w:id="1"/>
      </w:r>
      <w:r w:rsidRPr="001C56AB">
        <w:rPr>
          <w:rFonts w:cs="Calibri"/>
        </w:rPr>
        <w:t>.</w:t>
      </w:r>
    </w:p>
    <w:p w14:paraId="435F02D5" w14:textId="2B4CA889" w:rsidR="001C56AB" w:rsidRPr="001C56AB" w:rsidRDefault="001C56AB" w:rsidP="001C56AB">
      <w:pPr>
        <w:spacing w:after="120"/>
        <w:rPr>
          <w:rFonts w:cs="Calibri"/>
          <w:color w:val="000000" w:themeColor="text1"/>
        </w:rPr>
      </w:pPr>
      <w:r w:rsidRPr="001C56AB">
        <w:rPr>
          <w:rFonts w:cs="Calibri"/>
          <w:color w:val="000000" w:themeColor="text1"/>
        </w:rPr>
        <w:t>The Australian Bureau of Statistics released the Consumer Price Index June Quarter 2021 on 28 July 2021 which included an increase of 0.8 per cent to the ACT during the June quarter, with a 4.8 per cent increase over the year (June 2020 to June 2021)</w:t>
      </w:r>
      <w:r w:rsidRPr="001C56AB">
        <w:rPr>
          <w:rStyle w:val="FootnoteReference"/>
          <w:rFonts w:ascii="Calibri" w:hAnsi="Calibri" w:cs="Calibri"/>
          <w:color w:val="000000" w:themeColor="text1"/>
        </w:rPr>
        <w:footnoteReference w:id="2"/>
      </w:r>
      <w:r w:rsidRPr="001C56AB">
        <w:rPr>
          <w:rFonts w:cs="Calibri"/>
          <w:color w:val="000000" w:themeColor="text1"/>
        </w:rPr>
        <w:t xml:space="preserve">. Notwithstanding this, the Tribunal notes the </w:t>
      </w:r>
      <w:r w:rsidR="00D924C3">
        <w:rPr>
          <w:rFonts w:cs="Calibri"/>
          <w:color w:val="000000" w:themeColor="text1"/>
        </w:rPr>
        <w:t xml:space="preserve">national </w:t>
      </w:r>
      <w:r w:rsidRPr="001C56AB">
        <w:rPr>
          <w:rFonts w:cs="Calibri"/>
          <w:color w:val="000000" w:themeColor="text1"/>
        </w:rPr>
        <w:t>trimmed mean inflation was 1.6 per cent over the year</w:t>
      </w:r>
      <w:r w:rsidRPr="001C56AB">
        <w:rPr>
          <w:rStyle w:val="FootnoteReference"/>
          <w:rFonts w:ascii="Calibri" w:hAnsi="Calibri" w:cs="Calibri"/>
          <w:color w:val="000000" w:themeColor="text1"/>
        </w:rPr>
        <w:footnoteReference w:id="3"/>
      </w:r>
      <w:r w:rsidRPr="001C56AB">
        <w:rPr>
          <w:rFonts w:cs="Calibri"/>
          <w:color w:val="000000" w:themeColor="text1"/>
        </w:rPr>
        <w:t>.</w:t>
      </w:r>
    </w:p>
    <w:p w14:paraId="2EFC7ED8" w14:textId="4554DADE" w:rsidR="001C56AB" w:rsidRPr="001C56AB" w:rsidRDefault="001C56AB" w:rsidP="001C56AB">
      <w:pPr>
        <w:spacing w:after="120"/>
        <w:rPr>
          <w:rFonts w:cs="Calibri"/>
        </w:rPr>
      </w:pPr>
      <w:r w:rsidRPr="001C56AB">
        <w:rPr>
          <w:rFonts w:cs="Calibri"/>
        </w:rPr>
        <w:t xml:space="preserve">The Tribunal considered the statements from the Governor of the Reserve Bank of Australia released during April 2021 and July 2021 and noted his views concerning the importance of increasing wages to stimulate consumption.  </w:t>
      </w:r>
    </w:p>
    <w:p w14:paraId="279AF9AA" w14:textId="77777777" w:rsidR="001C56AB" w:rsidRPr="001C56AB" w:rsidRDefault="001C56AB" w:rsidP="001C56AB">
      <w:pPr>
        <w:spacing w:after="120"/>
        <w:rPr>
          <w:rFonts w:cs="Calibri"/>
        </w:rPr>
      </w:pPr>
      <w:r w:rsidRPr="001C56AB">
        <w:rPr>
          <w:rFonts w:cs="Calibri"/>
        </w:rPr>
        <w:t>The Tribunal also noted the outcome of the Annual Wage Review of the Fair Work Commission</w:t>
      </w:r>
      <w:r w:rsidRPr="001C56AB">
        <w:rPr>
          <w:rStyle w:val="FootnoteReference"/>
          <w:rFonts w:ascii="Calibri" w:hAnsi="Calibri" w:cs="Calibri"/>
          <w:color w:val="000000" w:themeColor="text1"/>
        </w:rPr>
        <w:footnoteReference w:id="4"/>
      </w:r>
      <w:r w:rsidRPr="001C56AB">
        <w:rPr>
          <w:rFonts w:cs="Calibri"/>
        </w:rPr>
        <w:t xml:space="preserve"> released in June 2021.</w:t>
      </w:r>
    </w:p>
    <w:p w14:paraId="7F68B663" w14:textId="77777777" w:rsidR="001C56AB" w:rsidRPr="009D2938" w:rsidRDefault="001C56AB" w:rsidP="001C56AB">
      <w:pPr>
        <w:spacing w:before="120" w:after="60"/>
        <w:rPr>
          <w:b/>
          <w:color w:val="000000" w:themeColor="text1"/>
        </w:rPr>
      </w:pPr>
      <w:r w:rsidRPr="009D2938">
        <w:rPr>
          <w:b/>
          <w:color w:val="000000" w:themeColor="text1"/>
        </w:rPr>
        <w:lastRenderedPageBreak/>
        <w:t>Decision</w:t>
      </w:r>
    </w:p>
    <w:p w14:paraId="6F29E6AD" w14:textId="3B925485" w:rsidR="001C56AB" w:rsidRDefault="001C56AB" w:rsidP="001C56AB">
      <w:pPr>
        <w:spacing w:after="120"/>
      </w:pPr>
      <w:r>
        <w:t xml:space="preserve">The Tribunal has taken a later decision than usual due to the ongoing uncertainty created by both the COVID-19 pandemic and </w:t>
      </w:r>
      <w:r w:rsidR="00A4108A">
        <w:t xml:space="preserve">its potential impact on </w:t>
      </w:r>
      <w:r>
        <w:t>the economic situation</w:t>
      </w:r>
      <w:r w:rsidR="00A4108A" w:rsidRPr="00A4108A">
        <w:t xml:space="preserve"> </w:t>
      </w:r>
      <w:r w:rsidR="00A4108A">
        <w:t>of the Territory</w:t>
      </w:r>
      <w:r>
        <w:t xml:space="preserve">. The Tribunal acknowledges that there continues to be uncertainty due to the outbreak of the </w:t>
      </w:r>
      <w:r w:rsidRPr="00B21FF7">
        <w:t>COVID-19 Delta variant</w:t>
      </w:r>
      <w:r>
        <w:t xml:space="preserve">. However, the Tribunal believes that it would not be prudent to delay further its decision on the remuneration of the </w:t>
      </w:r>
      <w:r w:rsidRPr="00677D07">
        <w:t>position</w:t>
      </w:r>
      <w:r w:rsidRPr="00677D07">
        <w:rPr>
          <w:lang w:val="x-none"/>
        </w:rPr>
        <w:t xml:space="preserve"> holders </w:t>
      </w:r>
      <w:r w:rsidRPr="00677D07">
        <w:t>covered by this Determination</w:t>
      </w:r>
      <w:r>
        <w:t>.</w:t>
      </w:r>
    </w:p>
    <w:p w14:paraId="35837EA6" w14:textId="77777777" w:rsidR="001C56AB" w:rsidRPr="005C4204" w:rsidRDefault="001C56AB" w:rsidP="001C56AB">
      <w:pPr>
        <w:spacing w:after="120"/>
        <w:rPr>
          <w:color w:val="000000" w:themeColor="text1"/>
        </w:rPr>
      </w:pPr>
      <w:r w:rsidRPr="005C4204">
        <w:rPr>
          <w:color w:val="000000" w:themeColor="text1"/>
        </w:rPr>
        <w:t xml:space="preserve">Given the reasons outlined above, the Tribunal has decided to provide an increase of 1.8 per cent to the </w:t>
      </w:r>
      <w:r w:rsidRPr="005C4204">
        <w:rPr>
          <w:color w:val="000000" w:themeColor="text1"/>
          <w:lang w:val="x-none"/>
        </w:rPr>
        <w:t xml:space="preserve">remuneration of </w:t>
      </w:r>
      <w:r w:rsidRPr="005C4204">
        <w:rPr>
          <w:color w:val="000000" w:themeColor="text1"/>
        </w:rPr>
        <w:t>position</w:t>
      </w:r>
      <w:r w:rsidRPr="005C4204">
        <w:rPr>
          <w:color w:val="000000" w:themeColor="text1"/>
          <w:lang w:val="x-none"/>
        </w:rPr>
        <w:t xml:space="preserve"> holders </w:t>
      </w:r>
      <w:r w:rsidRPr="005C4204">
        <w:rPr>
          <w:color w:val="000000" w:themeColor="text1"/>
        </w:rPr>
        <w:t>covered by this Determination</w:t>
      </w:r>
      <w:r w:rsidRPr="005C4204">
        <w:rPr>
          <w:color w:val="000000" w:themeColor="text1"/>
          <w:lang w:val="x-none"/>
        </w:rPr>
        <w:t xml:space="preserve">. </w:t>
      </w:r>
      <w:r w:rsidRPr="005C4204">
        <w:rPr>
          <w:color w:val="000000" w:themeColor="text1"/>
        </w:rPr>
        <w:t>The increase is taken to have commenced on 1 July 2021.</w:t>
      </w:r>
      <w:r w:rsidRPr="005C4204">
        <w:rPr>
          <w:color w:val="000000" w:themeColor="text1"/>
          <w:lang w:val="x-none"/>
        </w:rPr>
        <w:t xml:space="preserve"> </w:t>
      </w:r>
    </w:p>
    <w:bookmarkEnd w:id="2"/>
    <w:p w14:paraId="34C26EDE" w14:textId="77777777" w:rsidR="00440A32" w:rsidRPr="00EC63EB" w:rsidRDefault="00440A32" w:rsidP="00B3771A">
      <w:pPr>
        <w:spacing w:before="120" w:after="60"/>
        <w:rPr>
          <w:color w:val="000000" w:themeColor="text1"/>
          <w:szCs w:val="24"/>
        </w:rPr>
      </w:pPr>
    </w:p>
    <w:p w14:paraId="6CDA23ED" w14:textId="5BC8AAB8" w:rsidR="00F30A6E" w:rsidRPr="00382C46" w:rsidRDefault="00440A32" w:rsidP="00F30A6E">
      <w:pPr>
        <w:ind w:left="360"/>
        <w:jc w:val="right"/>
        <w:rPr>
          <w:szCs w:val="24"/>
        </w:rPr>
      </w:pPr>
      <w:r>
        <w:rPr>
          <w:szCs w:val="24"/>
        </w:rPr>
        <w:t>August 2021</w:t>
      </w:r>
    </w:p>
    <w:p w14:paraId="07A11EAE" w14:textId="77777777" w:rsidR="00DC6C6D" w:rsidRDefault="00DC6C6D" w:rsidP="00D34A6C">
      <w:pPr>
        <w:ind w:left="360"/>
        <w:jc w:val="right"/>
        <w:rPr>
          <w:szCs w:val="24"/>
        </w:rPr>
      </w:pPr>
    </w:p>
    <w:p w14:paraId="4B22BC1F" w14:textId="77777777" w:rsidR="0092035A" w:rsidRDefault="0092035A" w:rsidP="00DC6C6D">
      <w:pPr>
        <w:ind w:left="360"/>
        <w:jc w:val="right"/>
        <w:rPr>
          <w:szCs w:val="24"/>
        </w:rPr>
      </w:pPr>
    </w:p>
    <w:p w14:paraId="0E97D2F9" w14:textId="77777777" w:rsidR="00DC6C6D" w:rsidRPr="003B1A08" w:rsidRDefault="00DC6C6D" w:rsidP="00DC6C6D"/>
    <w:p w14:paraId="71854889" w14:textId="77777777" w:rsidR="00DC6C6D" w:rsidRPr="003B1A08" w:rsidRDefault="00DC6C6D" w:rsidP="00DC6C6D">
      <w:pPr>
        <w:spacing w:before="120"/>
        <w:rPr>
          <w:rFonts w:cs="Arial"/>
        </w:rPr>
        <w:sectPr w:rsidR="00DC6C6D" w:rsidRPr="003B1A08" w:rsidSect="00DC6C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14:paraId="213CA4CF" w14:textId="77777777" w:rsidR="0092035A" w:rsidRDefault="001D1882" w:rsidP="0092035A">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09EBB5DD" wp14:editId="32AC8619">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00DC6C6D" w:rsidRPr="00DE55B3">
        <w:rPr>
          <w:rFonts w:ascii="Arial" w:hAnsi="Arial" w:cs="Arial"/>
          <w:b/>
          <w:bCs/>
          <w:noProof/>
          <w:szCs w:val="26"/>
          <w:lang w:eastAsia="en-AU"/>
        </w:rPr>
        <w:t xml:space="preserve">        </w:t>
      </w:r>
      <w:r w:rsidR="00DC6C6D" w:rsidRPr="00DE55B3">
        <w:rPr>
          <w:rFonts w:ascii="Arial" w:hAnsi="Arial" w:cs="Arial"/>
          <w:b/>
          <w:bCs/>
          <w:noProof/>
          <w:szCs w:val="26"/>
          <w:lang w:eastAsia="en-AU"/>
        </w:rPr>
        <w:tab/>
      </w:r>
      <w:r w:rsidR="00DC6C6D" w:rsidRPr="00DE55B3">
        <w:rPr>
          <w:rFonts w:ascii="Arial" w:hAnsi="Arial" w:cs="Arial"/>
          <w:b/>
          <w:bCs/>
          <w:noProof/>
          <w:szCs w:val="26"/>
          <w:lang w:eastAsia="en-AU"/>
        </w:rPr>
        <w:tab/>
        <w:t xml:space="preserve">     </w:t>
      </w:r>
      <w:r w:rsidR="00DC6C6D" w:rsidRPr="00BA23CF">
        <w:rPr>
          <w:rFonts w:cs="Arial"/>
          <w:sz w:val="28"/>
          <w:szCs w:val="28"/>
        </w:rPr>
        <w:t>Australian Capital Territory Remuneration Tribunal</w:t>
      </w:r>
    </w:p>
    <w:p w14:paraId="2E8B688D" w14:textId="07D08003" w:rsidR="00204A61" w:rsidRPr="00467BA6" w:rsidRDefault="00204A61" w:rsidP="00204A61">
      <w:pPr>
        <w:pStyle w:val="Heading1"/>
        <w:keepLines/>
        <w:pageBreakBefore w:val="0"/>
        <w:pBdr>
          <w:bottom w:val="none" w:sz="0" w:space="0" w:color="auto"/>
        </w:pBdr>
        <w:spacing w:before="240"/>
        <w:rPr>
          <w:color w:val="000000" w:themeColor="text1"/>
        </w:rPr>
      </w:pPr>
      <w:r w:rsidRPr="00467BA6">
        <w:rPr>
          <w:color w:val="000000" w:themeColor="text1"/>
        </w:rPr>
        <w:t xml:space="preserve">Determination </w:t>
      </w:r>
      <w:r w:rsidR="009E65ED" w:rsidRPr="00467BA6">
        <w:rPr>
          <w:color w:val="000000" w:themeColor="text1"/>
        </w:rPr>
        <w:t>3</w:t>
      </w:r>
      <w:r w:rsidR="007E424C" w:rsidRPr="00467BA6">
        <w:rPr>
          <w:color w:val="000000" w:themeColor="text1"/>
        </w:rPr>
        <w:t xml:space="preserve"> </w:t>
      </w:r>
      <w:r w:rsidRPr="00467BA6">
        <w:rPr>
          <w:color w:val="000000" w:themeColor="text1"/>
        </w:rPr>
        <w:t xml:space="preserve">of </w:t>
      </w:r>
      <w:r w:rsidR="007E424C" w:rsidRPr="00467BA6">
        <w:rPr>
          <w:color w:val="000000" w:themeColor="text1"/>
        </w:rPr>
        <w:t>20</w:t>
      </w:r>
      <w:r w:rsidR="004A61D9" w:rsidRPr="00467BA6">
        <w:rPr>
          <w:color w:val="000000" w:themeColor="text1"/>
        </w:rPr>
        <w:t>2</w:t>
      </w:r>
      <w:r w:rsidR="00440A32" w:rsidRPr="00467BA6">
        <w:rPr>
          <w:color w:val="000000" w:themeColor="text1"/>
        </w:rPr>
        <w:t>1</w:t>
      </w:r>
    </w:p>
    <w:p w14:paraId="3536AA69" w14:textId="77777777" w:rsidR="00E71B34" w:rsidRPr="00540F3A" w:rsidRDefault="00E71B34" w:rsidP="00E71B34">
      <w:pPr>
        <w:pStyle w:val="Heading1"/>
        <w:keepLines/>
        <w:pageBreakBefore w:val="0"/>
        <w:pBdr>
          <w:bottom w:val="none" w:sz="0" w:space="0" w:color="auto"/>
        </w:pBdr>
        <w:spacing w:before="240"/>
        <w:rPr>
          <w:color w:val="000000" w:themeColor="text1"/>
        </w:rPr>
      </w:pPr>
      <w:r w:rsidRPr="00540F3A">
        <w:rPr>
          <w:color w:val="000000" w:themeColor="text1"/>
        </w:rPr>
        <w:t xml:space="preserve">Full-time </w:t>
      </w:r>
      <w:r w:rsidR="00355BD4" w:rsidRPr="00540F3A">
        <w:rPr>
          <w:color w:val="000000" w:themeColor="text1"/>
        </w:rPr>
        <w:t>Statutory</w:t>
      </w:r>
      <w:r w:rsidRPr="00540F3A">
        <w:rPr>
          <w:color w:val="000000" w:themeColor="text1"/>
        </w:rPr>
        <w:t xml:space="preserve"> Office Holders</w:t>
      </w:r>
      <w:r w:rsidR="004F6AA2" w:rsidRPr="00540F3A">
        <w:rPr>
          <w:color w:val="000000" w:themeColor="text1"/>
        </w:rPr>
        <w:t xml:space="preserve">: Auditor-General, Clerk of the Legislative Assembly, </w:t>
      </w:r>
      <w:r w:rsidR="00355BD4" w:rsidRPr="00540F3A">
        <w:rPr>
          <w:color w:val="000000" w:themeColor="text1"/>
        </w:rPr>
        <w:br/>
      </w:r>
      <w:r w:rsidR="004F6AA2" w:rsidRPr="00540F3A">
        <w:rPr>
          <w:color w:val="000000" w:themeColor="text1"/>
        </w:rPr>
        <w:t>Electoral Commissioner</w:t>
      </w:r>
    </w:p>
    <w:p w14:paraId="0D345909" w14:textId="77777777" w:rsidR="00DC6C6D" w:rsidRPr="003B1A08" w:rsidRDefault="00DC6C6D" w:rsidP="00DC6C6D">
      <w:pPr>
        <w:pStyle w:val="madeunder"/>
        <w:spacing w:before="240" w:after="120"/>
      </w:pPr>
      <w:proofErr w:type="gramStart"/>
      <w:r w:rsidRPr="003B1A08">
        <w:t>made</w:t>
      </w:r>
      <w:proofErr w:type="gramEnd"/>
      <w:r w:rsidRPr="003B1A08">
        <w:t xml:space="preserve"> under the </w:t>
      </w:r>
    </w:p>
    <w:p w14:paraId="2C486E69" w14:textId="77777777"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71C07833" w14:textId="77777777" w:rsidR="00DC6C6D" w:rsidRPr="003B1A08" w:rsidRDefault="00DC6C6D" w:rsidP="00DC6C6D">
      <w:pPr>
        <w:pStyle w:val="CoverActName"/>
      </w:pPr>
    </w:p>
    <w:p w14:paraId="7FD0365B" w14:textId="77777777" w:rsidR="00DC6C6D" w:rsidRPr="003B1A08" w:rsidRDefault="00DC6C6D" w:rsidP="00DC6C6D">
      <w:pPr>
        <w:pStyle w:val="N-line3"/>
        <w:pBdr>
          <w:top w:val="single" w:sz="12" w:space="1" w:color="auto"/>
          <w:bottom w:val="none" w:sz="0" w:space="0" w:color="auto"/>
        </w:pBdr>
      </w:pPr>
    </w:p>
    <w:p w14:paraId="71C24EBF" w14:textId="77777777"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14:paraId="4653E1CF" w14:textId="7F2680EB" w:rsidR="00DC6C6D" w:rsidRPr="00540F3A" w:rsidRDefault="001D03AE" w:rsidP="001D03AE">
      <w:pPr>
        <w:numPr>
          <w:ilvl w:val="1"/>
          <w:numId w:val="4"/>
        </w:numPr>
        <w:tabs>
          <w:tab w:val="clear" w:pos="720"/>
        </w:tabs>
        <w:spacing w:before="80" w:after="60"/>
        <w:ind w:left="709" w:hanging="709"/>
        <w:rPr>
          <w:color w:val="000000" w:themeColor="text1"/>
        </w:rPr>
      </w:pPr>
      <w:r w:rsidRPr="000E19B1">
        <w:t xml:space="preserve">The instrument </w:t>
      </w:r>
      <w:r w:rsidR="00B3771A">
        <w:t xml:space="preserve">is taken to have </w:t>
      </w:r>
      <w:r w:rsidR="00B3771A">
        <w:rPr>
          <w:color w:val="000000" w:themeColor="text1"/>
        </w:rPr>
        <w:t>commenced</w:t>
      </w:r>
      <w:r w:rsidR="00E66FEB" w:rsidRPr="00540F3A">
        <w:rPr>
          <w:color w:val="000000" w:themeColor="text1"/>
        </w:rPr>
        <w:t xml:space="preserve"> </w:t>
      </w:r>
      <w:r w:rsidR="00E66FEB" w:rsidRPr="00467BA6">
        <w:rPr>
          <w:color w:val="000000" w:themeColor="text1"/>
        </w:rPr>
        <w:t>on</w:t>
      </w:r>
      <w:r w:rsidR="00D34A6C" w:rsidRPr="00467BA6">
        <w:rPr>
          <w:color w:val="000000" w:themeColor="text1"/>
        </w:rPr>
        <w:t xml:space="preserve"> </w:t>
      </w:r>
      <w:r w:rsidR="00440A32" w:rsidRPr="00467BA6">
        <w:rPr>
          <w:color w:val="000000" w:themeColor="text1"/>
        </w:rPr>
        <w:t>1 July 2021</w:t>
      </w:r>
      <w:r w:rsidR="00B3771A">
        <w:rPr>
          <w:color w:val="000000" w:themeColor="text1"/>
        </w:rPr>
        <w:t>.</w:t>
      </w:r>
      <w:r w:rsidRPr="00764A8D">
        <w:rPr>
          <w:color w:val="000000" w:themeColor="text1"/>
        </w:rPr>
        <w:t xml:space="preserve"> </w:t>
      </w:r>
    </w:p>
    <w:p w14:paraId="1B0A95BF" w14:textId="77777777" w:rsidR="00FC56F1" w:rsidRPr="00540F3A" w:rsidRDefault="00FC56F1" w:rsidP="00FC56F1">
      <w:pPr>
        <w:pStyle w:val="Heading3"/>
        <w:keepLines w:val="0"/>
        <w:tabs>
          <w:tab w:val="clear" w:pos="720"/>
        </w:tabs>
        <w:ind w:left="0" w:firstLine="0"/>
        <w:rPr>
          <w:rFonts w:cs="Arial"/>
          <w:color w:val="000000" w:themeColor="text1"/>
          <w:szCs w:val="26"/>
        </w:rPr>
      </w:pPr>
      <w:r w:rsidRPr="00540F3A">
        <w:rPr>
          <w:rFonts w:cs="Arial"/>
          <w:color w:val="000000" w:themeColor="text1"/>
          <w:szCs w:val="26"/>
        </w:rPr>
        <w:t>Application</w:t>
      </w:r>
    </w:p>
    <w:p w14:paraId="001F882C" w14:textId="77777777" w:rsidR="00FC56F1" w:rsidRPr="00540F3A" w:rsidRDefault="00FC56F1" w:rsidP="001D03AE">
      <w:pPr>
        <w:numPr>
          <w:ilvl w:val="1"/>
          <w:numId w:val="4"/>
        </w:numPr>
        <w:tabs>
          <w:tab w:val="clear" w:pos="720"/>
        </w:tabs>
        <w:spacing w:before="80" w:after="60"/>
        <w:ind w:left="709" w:hanging="709"/>
        <w:rPr>
          <w:color w:val="000000" w:themeColor="text1"/>
        </w:rPr>
      </w:pPr>
      <w:r w:rsidRPr="00540F3A">
        <w:rPr>
          <w:color w:val="000000" w:themeColor="text1"/>
        </w:rPr>
        <w:t>This Determination applies to the following offices:</w:t>
      </w:r>
    </w:p>
    <w:p w14:paraId="54B7B3E9" w14:textId="77777777" w:rsidR="004F6AA2" w:rsidRPr="00540F3A" w:rsidRDefault="004F6AA2" w:rsidP="00FC56F1">
      <w:pPr>
        <w:pStyle w:val="ListParagraph"/>
        <w:numPr>
          <w:ilvl w:val="0"/>
          <w:numId w:val="40"/>
        </w:numPr>
        <w:spacing w:before="80" w:after="60"/>
        <w:rPr>
          <w:color w:val="000000" w:themeColor="text1"/>
          <w:sz w:val="24"/>
          <w:szCs w:val="24"/>
        </w:rPr>
      </w:pPr>
      <w:r w:rsidRPr="00540F3A">
        <w:rPr>
          <w:color w:val="000000" w:themeColor="text1"/>
          <w:sz w:val="24"/>
          <w:szCs w:val="24"/>
        </w:rPr>
        <w:t xml:space="preserve">the Auditor-General; </w:t>
      </w:r>
    </w:p>
    <w:p w14:paraId="267DC6C4" w14:textId="77777777" w:rsidR="00FC56F1" w:rsidRPr="00540F3A" w:rsidRDefault="00500C2D" w:rsidP="004F6AA2">
      <w:pPr>
        <w:pStyle w:val="ListParagraph"/>
        <w:numPr>
          <w:ilvl w:val="0"/>
          <w:numId w:val="40"/>
        </w:numPr>
        <w:spacing w:before="80" w:after="60"/>
        <w:rPr>
          <w:color w:val="000000" w:themeColor="text1"/>
          <w:sz w:val="24"/>
          <w:szCs w:val="24"/>
        </w:rPr>
      </w:pPr>
      <w:r w:rsidRPr="00540F3A">
        <w:rPr>
          <w:color w:val="000000" w:themeColor="text1"/>
          <w:sz w:val="24"/>
          <w:szCs w:val="24"/>
        </w:rPr>
        <w:t xml:space="preserve">the </w:t>
      </w:r>
      <w:r w:rsidR="00FC56F1" w:rsidRPr="00540F3A">
        <w:rPr>
          <w:color w:val="000000" w:themeColor="text1"/>
          <w:sz w:val="24"/>
          <w:szCs w:val="24"/>
        </w:rPr>
        <w:t>Clerk of the Legislative Assembly</w:t>
      </w:r>
      <w:r w:rsidRPr="00540F3A">
        <w:rPr>
          <w:color w:val="000000" w:themeColor="text1"/>
          <w:sz w:val="24"/>
          <w:szCs w:val="24"/>
        </w:rPr>
        <w:t>;</w:t>
      </w:r>
      <w:r w:rsidR="004F6AA2" w:rsidRPr="00540F3A">
        <w:rPr>
          <w:color w:val="000000" w:themeColor="text1"/>
          <w:sz w:val="24"/>
          <w:szCs w:val="24"/>
        </w:rPr>
        <w:t xml:space="preserve"> </w:t>
      </w:r>
      <w:r w:rsidRPr="00540F3A">
        <w:rPr>
          <w:color w:val="000000" w:themeColor="text1"/>
          <w:sz w:val="24"/>
          <w:szCs w:val="24"/>
        </w:rPr>
        <w:t>and</w:t>
      </w:r>
    </w:p>
    <w:p w14:paraId="423F1C41" w14:textId="77777777" w:rsidR="00FC56F1" w:rsidRPr="00540F3A" w:rsidRDefault="00500C2D" w:rsidP="00FC56F1">
      <w:pPr>
        <w:pStyle w:val="ListParagraph"/>
        <w:numPr>
          <w:ilvl w:val="0"/>
          <w:numId w:val="40"/>
        </w:numPr>
        <w:spacing w:before="80" w:after="60"/>
        <w:rPr>
          <w:color w:val="000000" w:themeColor="text1"/>
          <w:sz w:val="24"/>
          <w:szCs w:val="24"/>
        </w:rPr>
      </w:pPr>
      <w:proofErr w:type="gramStart"/>
      <w:r w:rsidRPr="00540F3A">
        <w:rPr>
          <w:color w:val="000000" w:themeColor="text1"/>
          <w:sz w:val="24"/>
          <w:szCs w:val="24"/>
        </w:rPr>
        <w:t>the</w:t>
      </w:r>
      <w:proofErr w:type="gramEnd"/>
      <w:r w:rsidRPr="00540F3A">
        <w:rPr>
          <w:color w:val="000000" w:themeColor="text1"/>
          <w:sz w:val="24"/>
          <w:szCs w:val="24"/>
        </w:rPr>
        <w:t xml:space="preserve"> </w:t>
      </w:r>
      <w:r w:rsidR="00FC56F1" w:rsidRPr="00540F3A">
        <w:rPr>
          <w:color w:val="000000" w:themeColor="text1"/>
          <w:sz w:val="24"/>
          <w:szCs w:val="24"/>
        </w:rPr>
        <w:t>Electoral Commissioner.</w:t>
      </w:r>
    </w:p>
    <w:p w14:paraId="0A2BB54B" w14:textId="77777777" w:rsidR="00DC6C6D" w:rsidRPr="00540F3A" w:rsidRDefault="00DC6C6D" w:rsidP="00675113">
      <w:pPr>
        <w:pStyle w:val="Heading3"/>
        <w:keepLines w:val="0"/>
        <w:tabs>
          <w:tab w:val="clear" w:pos="720"/>
        </w:tabs>
        <w:rPr>
          <w:rFonts w:cs="Arial"/>
          <w:color w:val="000000" w:themeColor="text1"/>
          <w:szCs w:val="26"/>
        </w:rPr>
      </w:pPr>
      <w:r w:rsidRPr="00540F3A">
        <w:rPr>
          <w:rFonts w:cs="Arial"/>
          <w:color w:val="000000" w:themeColor="text1"/>
          <w:szCs w:val="26"/>
        </w:rPr>
        <w:t>Remuneration</w:t>
      </w:r>
    </w:p>
    <w:p w14:paraId="49D6C341" w14:textId="77777777" w:rsidR="001461C0" w:rsidRPr="00540F3A" w:rsidRDefault="00E71B34" w:rsidP="001461C0">
      <w:pPr>
        <w:numPr>
          <w:ilvl w:val="1"/>
          <w:numId w:val="4"/>
        </w:numPr>
        <w:tabs>
          <w:tab w:val="clear" w:pos="720"/>
        </w:tabs>
        <w:spacing w:before="80" w:after="60"/>
        <w:ind w:left="709" w:hanging="709"/>
        <w:rPr>
          <w:color w:val="000000" w:themeColor="text1"/>
        </w:rPr>
      </w:pPr>
      <w:r w:rsidRPr="00540F3A">
        <w:rPr>
          <w:color w:val="000000" w:themeColor="text1"/>
        </w:rPr>
        <w:t>The</w:t>
      </w:r>
      <w:r w:rsidR="00DC6C6D" w:rsidRPr="00540F3A">
        <w:rPr>
          <w:color w:val="000000" w:themeColor="text1"/>
        </w:rPr>
        <w:t xml:space="preserve"> office</w:t>
      </w:r>
      <w:r w:rsidRPr="00540F3A">
        <w:rPr>
          <w:color w:val="000000" w:themeColor="text1"/>
        </w:rPr>
        <w:t>s</w:t>
      </w:r>
      <w:r w:rsidR="00DC6C6D" w:rsidRPr="00540F3A">
        <w:rPr>
          <w:color w:val="000000" w:themeColor="text1"/>
        </w:rPr>
        <w:t xml:space="preserve"> </w:t>
      </w:r>
      <w:r w:rsidRPr="00540F3A">
        <w:rPr>
          <w:color w:val="000000" w:themeColor="text1"/>
        </w:rPr>
        <w:t xml:space="preserve">outlined below shall be entitled to the following remuneration </w:t>
      </w:r>
      <w:r w:rsidRPr="00540F3A">
        <w:rPr>
          <w:color w:val="000000" w:themeColor="text1"/>
        </w:rPr>
        <w:br/>
        <w:t>per annum:</w:t>
      </w:r>
      <w:r w:rsidR="00DC6C6D" w:rsidRPr="00540F3A">
        <w:rPr>
          <w:color w:val="000000" w:themeColor="text1"/>
        </w:rPr>
        <w:t xml:space="preserve"> </w:t>
      </w:r>
    </w:p>
    <w:p w14:paraId="4F0D799E" w14:textId="6311A8E7" w:rsidR="004F6AA2" w:rsidRPr="00467BA6" w:rsidRDefault="004F6AA2" w:rsidP="004F6AA2">
      <w:pPr>
        <w:pStyle w:val="ListParagraph"/>
        <w:numPr>
          <w:ilvl w:val="0"/>
          <w:numId w:val="40"/>
        </w:numPr>
        <w:spacing w:before="80" w:after="60"/>
        <w:rPr>
          <w:color w:val="000000" w:themeColor="text1"/>
          <w:sz w:val="24"/>
          <w:szCs w:val="24"/>
        </w:rPr>
      </w:pPr>
      <w:r w:rsidRPr="00540F3A">
        <w:rPr>
          <w:color w:val="000000" w:themeColor="text1"/>
          <w:sz w:val="24"/>
          <w:szCs w:val="24"/>
        </w:rPr>
        <w:t>Auditor-</w:t>
      </w:r>
      <w:r w:rsidRPr="00467BA6">
        <w:rPr>
          <w:color w:val="000000" w:themeColor="text1"/>
          <w:sz w:val="24"/>
          <w:szCs w:val="24"/>
        </w:rPr>
        <w:t>General:</w:t>
      </w:r>
      <w:r w:rsidRPr="00467BA6">
        <w:rPr>
          <w:bCs/>
          <w:color w:val="000000" w:themeColor="text1"/>
          <w:sz w:val="24"/>
          <w:szCs w:val="24"/>
        </w:rPr>
        <w:t xml:space="preserve"> </w:t>
      </w:r>
      <w:r w:rsidR="007E424C" w:rsidRPr="00467BA6">
        <w:rPr>
          <w:bCs/>
          <w:color w:val="000000" w:themeColor="text1"/>
          <w:sz w:val="24"/>
          <w:szCs w:val="24"/>
        </w:rPr>
        <w:t>$3</w:t>
      </w:r>
      <w:r w:rsidR="00382C46" w:rsidRPr="00467BA6">
        <w:rPr>
          <w:bCs/>
          <w:color w:val="000000" w:themeColor="text1"/>
          <w:sz w:val="24"/>
          <w:szCs w:val="24"/>
        </w:rPr>
        <w:t>1</w:t>
      </w:r>
      <w:r w:rsidR="00444138" w:rsidRPr="00467BA6">
        <w:rPr>
          <w:bCs/>
          <w:color w:val="000000" w:themeColor="text1"/>
          <w:sz w:val="24"/>
          <w:szCs w:val="24"/>
        </w:rPr>
        <w:t>7,704</w:t>
      </w:r>
      <w:r w:rsidR="00BC44F7" w:rsidRPr="00467BA6">
        <w:rPr>
          <w:bCs/>
          <w:color w:val="000000" w:themeColor="text1"/>
          <w:sz w:val="24"/>
          <w:szCs w:val="24"/>
        </w:rPr>
        <w:t>.</w:t>
      </w:r>
    </w:p>
    <w:p w14:paraId="52FF768B" w14:textId="1CB8FB67" w:rsidR="000F5176" w:rsidRPr="00467BA6" w:rsidRDefault="00E71B34" w:rsidP="00E71B34">
      <w:pPr>
        <w:pStyle w:val="ListParagraph"/>
        <w:numPr>
          <w:ilvl w:val="0"/>
          <w:numId w:val="40"/>
        </w:numPr>
        <w:spacing w:before="80" w:after="60"/>
        <w:rPr>
          <w:color w:val="000000" w:themeColor="text1"/>
          <w:sz w:val="24"/>
          <w:szCs w:val="24"/>
        </w:rPr>
      </w:pPr>
      <w:r w:rsidRPr="00467BA6">
        <w:rPr>
          <w:color w:val="000000" w:themeColor="text1"/>
          <w:sz w:val="24"/>
          <w:szCs w:val="24"/>
        </w:rPr>
        <w:t>Clerk of the Legislative Assembly:</w:t>
      </w:r>
      <w:r w:rsidRPr="00467BA6">
        <w:rPr>
          <w:bCs/>
          <w:color w:val="000000" w:themeColor="text1"/>
          <w:sz w:val="24"/>
          <w:szCs w:val="24"/>
        </w:rPr>
        <w:t xml:space="preserve"> </w:t>
      </w:r>
      <w:r w:rsidR="007E424C" w:rsidRPr="00467BA6">
        <w:rPr>
          <w:bCs/>
          <w:color w:val="000000" w:themeColor="text1"/>
          <w:sz w:val="24"/>
          <w:szCs w:val="24"/>
        </w:rPr>
        <w:t>$2</w:t>
      </w:r>
      <w:r w:rsidR="00444138" w:rsidRPr="00467BA6">
        <w:rPr>
          <w:bCs/>
          <w:color w:val="000000" w:themeColor="text1"/>
          <w:sz w:val="24"/>
          <w:szCs w:val="24"/>
        </w:rPr>
        <w:t>43,</w:t>
      </w:r>
      <w:r w:rsidR="008A43CC" w:rsidRPr="00467BA6">
        <w:rPr>
          <w:bCs/>
          <w:color w:val="000000" w:themeColor="text1"/>
          <w:sz w:val="24"/>
          <w:szCs w:val="24"/>
        </w:rPr>
        <w:t>322</w:t>
      </w:r>
      <w:r w:rsidR="00BC44F7" w:rsidRPr="00467BA6">
        <w:rPr>
          <w:bCs/>
          <w:color w:val="000000" w:themeColor="text1"/>
          <w:sz w:val="24"/>
          <w:szCs w:val="24"/>
        </w:rPr>
        <w:t>.</w:t>
      </w:r>
    </w:p>
    <w:p w14:paraId="2D738BAA" w14:textId="34225347" w:rsidR="00E71B34" w:rsidRPr="00467BA6" w:rsidRDefault="00E71B34" w:rsidP="00E71B34">
      <w:pPr>
        <w:pStyle w:val="ListParagraph"/>
        <w:numPr>
          <w:ilvl w:val="0"/>
          <w:numId w:val="40"/>
        </w:numPr>
        <w:spacing w:before="80" w:after="60"/>
        <w:rPr>
          <w:color w:val="000000" w:themeColor="text1"/>
          <w:sz w:val="24"/>
          <w:szCs w:val="24"/>
        </w:rPr>
      </w:pPr>
      <w:r w:rsidRPr="00467BA6">
        <w:rPr>
          <w:color w:val="000000" w:themeColor="text1"/>
          <w:sz w:val="24"/>
          <w:szCs w:val="24"/>
        </w:rPr>
        <w:t>Electoral Commissioner:</w:t>
      </w:r>
      <w:r w:rsidRPr="00467BA6">
        <w:rPr>
          <w:bCs/>
          <w:color w:val="000000" w:themeColor="text1"/>
          <w:sz w:val="24"/>
          <w:szCs w:val="24"/>
        </w:rPr>
        <w:t xml:space="preserve"> </w:t>
      </w:r>
      <w:r w:rsidR="0040431A" w:rsidRPr="00467BA6">
        <w:rPr>
          <w:color w:val="000000" w:themeColor="text1"/>
          <w:sz w:val="24"/>
          <w:szCs w:val="24"/>
          <w:lang w:eastAsia="x-none"/>
        </w:rPr>
        <w:t>$2</w:t>
      </w:r>
      <w:r w:rsidR="00444138" w:rsidRPr="00467BA6">
        <w:rPr>
          <w:color w:val="000000" w:themeColor="text1"/>
          <w:sz w:val="24"/>
          <w:szCs w:val="24"/>
          <w:lang w:eastAsia="x-none"/>
        </w:rPr>
        <w:t>32,532</w:t>
      </w:r>
      <w:r w:rsidR="00BC44F7" w:rsidRPr="00467BA6">
        <w:rPr>
          <w:bCs/>
          <w:color w:val="000000" w:themeColor="text1"/>
          <w:sz w:val="24"/>
          <w:szCs w:val="24"/>
        </w:rPr>
        <w:t>.</w:t>
      </w:r>
    </w:p>
    <w:p w14:paraId="44C1B214" w14:textId="16457993" w:rsidR="00DC6C6D" w:rsidRPr="00E433F0" w:rsidRDefault="00DC6C6D" w:rsidP="00AE2CF2">
      <w:pPr>
        <w:numPr>
          <w:ilvl w:val="1"/>
          <w:numId w:val="4"/>
        </w:numPr>
        <w:tabs>
          <w:tab w:val="clear" w:pos="720"/>
          <w:tab w:val="num" w:pos="0"/>
        </w:tabs>
        <w:spacing w:before="140" w:after="60"/>
        <w:ind w:left="709" w:hanging="709"/>
      </w:pPr>
      <w:r w:rsidRPr="00540F3A">
        <w:rPr>
          <w:color w:val="000000" w:themeColor="text1"/>
        </w:rPr>
        <w:t xml:space="preserve">A person appointed to an office </w:t>
      </w:r>
      <w:r w:rsidR="00195E09" w:rsidRPr="00540F3A">
        <w:rPr>
          <w:color w:val="000000" w:themeColor="text1"/>
        </w:rPr>
        <w:t xml:space="preserve">listed </w:t>
      </w:r>
      <w:r w:rsidR="00FC56F1" w:rsidRPr="00540F3A">
        <w:rPr>
          <w:color w:val="000000" w:themeColor="text1"/>
        </w:rPr>
        <w:t>above</w:t>
      </w:r>
      <w:r w:rsidRPr="00540F3A">
        <w:rPr>
          <w:color w:val="000000" w:themeColor="text1"/>
        </w:rPr>
        <w:t xml:space="preserve"> </w:t>
      </w:r>
      <w:r w:rsidRPr="00E433F0">
        <w:t xml:space="preserve">must not receive the </w:t>
      </w:r>
      <w:r w:rsidR="0067357E">
        <w:t xml:space="preserve">remuneration </w:t>
      </w:r>
      <w:r w:rsidRPr="00E433F0">
        <w:t xml:space="preserve">mentioned </w:t>
      </w:r>
      <w:r w:rsidR="00FC56F1">
        <w:t>above</w:t>
      </w:r>
      <w:r w:rsidRPr="00E433F0">
        <w:t xml:space="preserve"> if the person is paid a higher </w:t>
      </w:r>
      <w:r w:rsidR="0067357E">
        <w:t xml:space="preserve">remuneration </w:t>
      </w:r>
      <w:r w:rsidRPr="00E433F0">
        <w:t>for that office from another source.</w:t>
      </w:r>
    </w:p>
    <w:p w14:paraId="55D98161" w14:textId="54AC2903" w:rsidR="00DC6C6D" w:rsidRDefault="00DC6C6D" w:rsidP="00AE2CF2">
      <w:pPr>
        <w:numPr>
          <w:ilvl w:val="1"/>
          <w:numId w:val="4"/>
        </w:numPr>
        <w:tabs>
          <w:tab w:val="clear" w:pos="720"/>
          <w:tab w:val="num" w:pos="0"/>
        </w:tabs>
        <w:spacing w:before="80" w:after="60"/>
        <w:ind w:left="709" w:hanging="709"/>
      </w:pPr>
      <w:r w:rsidRPr="00E433F0">
        <w:t xml:space="preserve">If a </w:t>
      </w:r>
      <w:r w:rsidRPr="00813A81">
        <w:rPr>
          <w:color w:val="000000" w:themeColor="text1"/>
        </w:rPr>
        <w:t xml:space="preserve">person appointed to an office listed </w:t>
      </w:r>
      <w:r w:rsidR="00FC56F1" w:rsidRPr="00813A81">
        <w:rPr>
          <w:color w:val="000000" w:themeColor="text1"/>
        </w:rPr>
        <w:t>above</w:t>
      </w:r>
      <w:r w:rsidR="00CA0D6A" w:rsidRPr="00813A81">
        <w:rPr>
          <w:color w:val="000000" w:themeColor="text1"/>
        </w:rPr>
        <w:t xml:space="preserve"> </w:t>
      </w:r>
      <w:r w:rsidRPr="00813A81">
        <w:rPr>
          <w:color w:val="000000" w:themeColor="text1"/>
        </w:rPr>
        <w:t>is also appointed to another office</w:t>
      </w:r>
      <w:r w:rsidR="00A35E49" w:rsidRPr="00813A81">
        <w:rPr>
          <w:color w:val="000000" w:themeColor="text1"/>
        </w:rPr>
        <w:t xml:space="preserve"> under ACT legislation, </w:t>
      </w:r>
      <w:r w:rsidRPr="00813A81">
        <w:rPr>
          <w:color w:val="000000" w:themeColor="text1"/>
        </w:rPr>
        <w:t xml:space="preserve">the person must only receive </w:t>
      </w:r>
      <w:r w:rsidR="0067357E" w:rsidRPr="00813A81">
        <w:rPr>
          <w:color w:val="000000" w:themeColor="text1"/>
        </w:rPr>
        <w:t xml:space="preserve">remuneration </w:t>
      </w:r>
      <w:r w:rsidRPr="00813A81">
        <w:rPr>
          <w:color w:val="000000" w:themeColor="text1"/>
        </w:rPr>
        <w:t>for the office that has the highest remuneration</w:t>
      </w:r>
      <w:r w:rsidRPr="00E433F0">
        <w:t>.</w:t>
      </w:r>
    </w:p>
    <w:p w14:paraId="14455775" w14:textId="77777777" w:rsidR="0069220A" w:rsidRPr="0040603C" w:rsidRDefault="0069220A" w:rsidP="00031CFC">
      <w:pPr>
        <w:pStyle w:val="Heading3"/>
        <w:keepLines w:val="0"/>
        <w:ind w:left="709" w:hanging="709"/>
        <w:rPr>
          <w:rFonts w:cs="Arial"/>
          <w:szCs w:val="26"/>
        </w:rPr>
      </w:pPr>
      <w:r w:rsidRPr="0040603C">
        <w:rPr>
          <w:rFonts w:cs="Arial"/>
          <w:szCs w:val="26"/>
        </w:rPr>
        <w:lastRenderedPageBreak/>
        <w:t>Salary packaging</w:t>
      </w:r>
    </w:p>
    <w:p w14:paraId="4338E897" w14:textId="1EDDF9BB" w:rsidR="0069220A" w:rsidRDefault="0069220A" w:rsidP="0069220A">
      <w:pPr>
        <w:numPr>
          <w:ilvl w:val="1"/>
          <w:numId w:val="4"/>
        </w:numPr>
        <w:tabs>
          <w:tab w:val="clear" w:pos="720"/>
          <w:tab w:val="num" w:pos="0"/>
        </w:tabs>
        <w:spacing w:before="80" w:after="60"/>
        <w:ind w:left="709" w:hanging="709"/>
      </w:pPr>
      <w:r w:rsidRPr="00E433F0">
        <w:t xml:space="preserve">A person appointed to an office </w:t>
      </w:r>
      <w:r w:rsidR="00195E09">
        <w:t xml:space="preserve">listed </w:t>
      </w:r>
      <w:r w:rsidR="00500C2D">
        <w:t>in clause 2.1 of</w:t>
      </w:r>
      <w:r w:rsidR="00FC56F1">
        <w:t xml:space="preserve"> this Determination</w:t>
      </w:r>
      <w:r w:rsidR="00CA0D6A">
        <w:t xml:space="preserve"> </w:t>
      </w:r>
      <w:r w:rsidRPr="00BF6FC8">
        <w:t xml:space="preserve">may elect to take </w:t>
      </w:r>
      <w:r>
        <w:t xml:space="preserve">the </w:t>
      </w:r>
      <w:r w:rsidRPr="00BF6FC8">
        <w:t xml:space="preserve">remuneration </w:t>
      </w:r>
      <w:r w:rsidR="00861DF6">
        <w:t xml:space="preserve">outlined in </w:t>
      </w:r>
      <w:r w:rsidR="00735CE4">
        <w:t xml:space="preserve">clause </w:t>
      </w:r>
      <w:r w:rsidR="00861DF6">
        <w:t>3,</w:t>
      </w:r>
      <w:r w:rsidR="001461C0">
        <w:t xml:space="preserve"> </w:t>
      </w:r>
      <w:r w:rsidRPr="00BF6FC8">
        <w:t>as</w:t>
      </w:r>
      <w:r>
        <w:t>:</w:t>
      </w:r>
    </w:p>
    <w:p w14:paraId="793FAE76"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1B14DB42" w14:textId="77777777" w:rsidR="0069220A" w:rsidRPr="00BF6FC8" w:rsidRDefault="0069220A" w:rsidP="0069220A">
      <w:pPr>
        <w:numPr>
          <w:ilvl w:val="2"/>
          <w:numId w:val="4"/>
        </w:numPr>
        <w:tabs>
          <w:tab w:val="clear" w:pos="720"/>
        </w:tabs>
        <w:spacing w:after="60"/>
        <w:ind w:left="1134" w:hanging="436"/>
      </w:pPr>
      <w:proofErr w:type="gramStart"/>
      <w:r w:rsidRPr="00BF6FC8">
        <w:t>a</w:t>
      </w:r>
      <w:proofErr w:type="gramEnd"/>
      <w:r w:rsidRPr="00BF6FC8">
        <w:t xml:space="preserve"> combination of salary and other benefits</w:t>
      </w:r>
      <w:r>
        <w:t xml:space="preserve"> (</w:t>
      </w:r>
      <w:r w:rsidRPr="00B93392">
        <w:t xml:space="preserve">a </w:t>
      </w:r>
      <w:r>
        <w:rPr>
          <w:b/>
          <w:i/>
        </w:rPr>
        <w:t>salary package</w:t>
      </w:r>
      <w:r>
        <w:t>)</w:t>
      </w:r>
      <w:r w:rsidRPr="00BF6FC8">
        <w:t>.</w:t>
      </w:r>
    </w:p>
    <w:p w14:paraId="0A2C2628" w14:textId="77777777"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5AC08254" w14:textId="77777777"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14:paraId="2654BA64" w14:textId="77777777" w:rsidR="0069220A" w:rsidRPr="005C2122" w:rsidRDefault="0069220A" w:rsidP="0069220A">
      <w:pPr>
        <w:numPr>
          <w:ilvl w:val="2"/>
          <w:numId w:val="4"/>
        </w:numPr>
        <w:tabs>
          <w:tab w:val="clear" w:pos="720"/>
        </w:tabs>
        <w:spacing w:after="60"/>
        <w:ind w:left="1134" w:hanging="436"/>
      </w:pPr>
      <w:r w:rsidRPr="00501D02">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1B7F5B0F" w14:textId="77777777" w:rsidR="0069220A" w:rsidRPr="00BF6FC8"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FD501EC" w14:textId="77777777"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29B7B2C5" w14:textId="77777777" w:rsidR="0069220A" w:rsidRPr="0040603C" w:rsidRDefault="0069220A" w:rsidP="00031CFC">
      <w:pPr>
        <w:pStyle w:val="Heading3"/>
        <w:keepLines w:val="0"/>
        <w:ind w:left="709" w:hanging="709"/>
        <w:rPr>
          <w:rFonts w:cs="Arial"/>
          <w:szCs w:val="26"/>
        </w:rPr>
      </w:pPr>
      <w:r w:rsidRPr="0040603C">
        <w:rPr>
          <w:rFonts w:cs="Arial"/>
          <w:szCs w:val="26"/>
        </w:rPr>
        <w:t>Employer provided benefits</w:t>
      </w:r>
    </w:p>
    <w:p w14:paraId="0752091C" w14:textId="6ADF8845" w:rsidR="002D6B74" w:rsidRDefault="002D6B74" w:rsidP="002D6B74">
      <w:pPr>
        <w:pStyle w:val="ListParagraph"/>
        <w:numPr>
          <w:ilvl w:val="1"/>
          <w:numId w:val="4"/>
        </w:numPr>
        <w:spacing w:before="80" w:after="60" w:line="240" w:lineRule="auto"/>
        <w:contextualSpacing w:val="0"/>
        <w:rPr>
          <w:rFonts w:eastAsia="Times New Roman"/>
          <w:sz w:val="24"/>
          <w:szCs w:val="20"/>
        </w:rPr>
      </w:pPr>
      <w:r>
        <w:rPr>
          <w:rFonts w:eastAsia="Times New Roman"/>
          <w:sz w:val="24"/>
          <w:szCs w:val="20"/>
        </w:rPr>
        <w:t>A</w:t>
      </w:r>
      <w:r w:rsidRPr="0067357E">
        <w:rPr>
          <w:rFonts w:eastAsia="Times New Roman"/>
          <w:sz w:val="24"/>
          <w:szCs w:val="20"/>
        </w:rPr>
        <w:t xml:space="preserve"> person appointed to an office </w:t>
      </w:r>
      <w:r w:rsidR="00195E09">
        <w:rPr>
          <w:rFonts w:eastAsia="Times New Roman"/>
          <w:sz w:val="24"/>
          <w:szCs w:val="20"/>
        </w:rPr>
        <w:t xml:space="preserve">listed </w:t>
      </w:r>
      <w:r w:rsidRPr="0067357E">
        <w:rPr>
          <w:rFonts w:eastAsia="Times New Roman"/>
          <w:sz w:val="24"/>
          <w:szCs w:val="20"/>
        </w:rPr>
        <w:t>in clause 2.1 of this Determination is entitled to either the employer provided benefits mentioned</w:t>
      </w:r>
      <w:r>
        <w:rPr>
          <w:rFonts w:eastAsia="Times New Roman"/>
          <w:sz w:val="24"/>
          <w:szCs w:val="20"/>
        </w:rPr>
        <w:t xml:space="preserve"> </w:t>
      </w:r>
      <w:r w:rsidRPr="0067357E">
        <w:rPr>
          <w:rFonts w:eastAsia="Times New Roman"/>
          <w:sz w:val="24"/>
          <w:szCs w:val="20"/>
        </w:rPr>
        <w:t>below or the relevant cash payment in lieu of the benefit mentioned below.</w:t>
      </w:r>
    </w:p>
    <w:p w14:paraId="24211C7A" w14:textId="0F7FFAE2" w:rsidR="00FA6A71" w:rsidRPr="009E65ED" w:rsidRDefault="00FA6A71" w:rsidP="00FA6A71">
      <w:pPr>
        <w:pStyle w:val="ListParagraph"/>
        <w:numPr>
          <w:ilvl w:val="1"/>
          <w:numId w:val="4"/>
        </w:numPr>
        <w:spacing w:before="80" w:after="60" w:line="240" w:lineRule="auto"/>
        <w:contextualSpacing w:val="0"/>
        <w:rPr>
          <w:rFonts w:eastAsia="Times New Roman"/>
          <w:sz w:val="24"/>
          <w:szCs w:val="20"/>
        </w:rPr>
      </w:pPr>
      <w:r w:rsidRPr="009E65ED">
        <w:rPr>
          <w:rFonts w:eastAsia="Times New Roman"/>
          <w:sz w:val="24"/>
          <w:szCs w:val="20"/>
        </w:rPr>
        <w:t>An employer-provided benefit, or cash payment in lieu of an employer-provided benefit, is in addition to the remuneration specified in clause 3.1 of this determination, and does not affect salary for superannuation purposes.</w:t>
      </w:r>
    </w:p>
    <w:p w14:paraId="3BC87A82" w14:textId="1E70BA0C" w:rsidR="00FA6A71" w:rsidRPr="009E65ED" w:rsidRDefault="00FA6A71" w:rsidP="00FA6A71">
      <w:pPr>
        <w:pStyle w:val="ListParagraph"/>
        <w:numPr>
          <w:ilvl w:val="1"/>
          <w:numId w:val="4"/>
        </w:numPr>
        <w:spacing w:before="80" w:after="60" w:line="240" w:lineRule="auto"/>
        <w:contextualSpacing w:val="0"/>
        <w:rPr>
          <w:rFonts w:eastAsia="Times New Roman"/>
          <w:sz w:val="24"/>
          <w:szCs w:val="20"/>
        </w:rPr>
      </w:pPr>
      <w:r w:rsidRPr="009E65ED">
        <w:rPr>
          <w:rFonts w:eastAsia="Times New Roman"/>
          <w:sz w:val="24"/>
          <w:szCs w:val="20"/>
        </w:rPr>
        <w:t>For the avoidance of doubt, the value of an allowance or entitlement set out in this Determination is fixed and cannot be transferred to any other component of the total remuneration package.</w:t>
      </w:r>
    </w:p>
    <w:p w14:paraId="79AE0FF7" w14:textId="77777777" w:rsidR="00484224" w:rsidRPr="0040431A" w:rsidRDefault="00484224" w:rsidP="00484224">
      <w:pPr>
        <w:pStyle w:val="Heading3"/>
        <w:keepLines w:val="0"/>
        <w:ind w:left="709" w:hanging="709"/>
        <w:rPr>
          <w:rFonts w:cs="Arial"/>
          <w:szCs w:val="26"/>
        </w:rPr>
      </w:pPr>
      <w:r w:rsidRPr="0040431A">
        <w:rPr>
          <w:rFonts w:cs="Arial"/>
          <w:szCs w:val="26"/>
        </w:rPr>
        <w:t>Vehicle</w:t>
      </w:r>
    </w:p>
    <w:p w14:paraId="52C22CE0" w14:textId="15237CD8" w:rsidR="00484224" w:rsidRPr="0040431A" w:rsidRDefault="00BA7F15" w:rsidP="00BA7F15">
      <w:pPr>
        <w:numPr>
          <w:ilvl w:val="1"/>
          <w:numId w:val="4"/>
        </w:numPr>
        <w:spacing w:before="80" w:after="60" w:line="259" w:lineRule="auto"/>
      </w:pPr>
      <w:r w:rsidRPr="0040431A">
        <w:t xml:space="preserve">A person appointed to an office </w:t>
      </w:r>
      <w:r w:rsidR="001236F3" w:rsidRPr="0040431A">
        <w:t xml:space="preserve">listed </w:t>
      </w:r>
      <w:r w:rsidRPr="0040431A">
        <w:t xml:space="preserve">in clause 2.1 of this Determination, is entitled to an executive vehicle and associated arrangements, including a parking space. This entitlement is to be determined according to the same entitlements as if the person were a Senior Executive Service (SES) member at the same salary band under the </w:t>
      </w:r>
      <w:r w:rsidRPr="0040431A">
        <w:rPr>
          <w:i/>
        </w:rPr>
        <w:t xml:space="preserve">Public Sector Management Standards 2016 </w:t>
      </w:r>
      <w:r w:rsidRPr="0040431A">
        <w:t>and the</w:t>
      </w:r>
      <w:r w:rsidRPr="0040431A">
        <w:rPr>
          <w:i/>
        </w:rPr>
        <w:t xml:space="preserve"> Guidelines for the Management and Use of Executive Vehicles</w:t>
      </w:r>
      <w:r w:rsidRPr="0040431A">
        <w:t>.</w:t>
      </w:r>
    </w:p>
    <w:p w14:paraId="0B50D1CA" w14:textId="77777777" w:rsidR="0069220A" w:rsidRPr="0040431A" w:rsidRDefault="0069220A" w:rsidP="00031CFC">
      <w:pPr>
        <w:pStyle w:val="Heading3"/>
        <w:keepLines w:val="0"/>
        <w:ind w:left="709" w:hanging="709"/>
        <w:rPr>
          <w:rFonts w:cs="Arial"/>
          <w:szCs w:val="26"/>
        </w:rPr>
      </w:pPr>
      <w:r w:rsidRPr="0040431A">
        <w:rPr>
          <w:rFonts w:cs="Arial"/>
          <w:szCs w:val="26"/>
        </w:rPr>
        <w:t>Employer’s superannuation contribution</w:t>
      </w:r>
    </w:p>
    <w:p w14:paraId="368CE7A8" w14:textId="68DA4BA2" w:rsidR="0069220A" w:rsidRPr="0040431A" w:rsidRDefault="001461C0" w:rsidP="0069220A">
      <w:pPr>
        <w:numPr>
          <w:ilvl w:val="1"/>
          <w:numId w:val="4"/>
        </w:numPr>
        <w:tabs>
          <w:tab w:val="clear" w:pos="720"/>
        </w:tabs>
        <w:spacing w:before="80" w:after="60"/>
        <w:ind w:left="709" w:hanging="709"/>
        <w:rPr>
          <w:szCs w:val="24"/>
          <w:lang w:val="en-US"/>
        </w:rPr>
      </w:pPr>
      <w:r w:rsidRPr="0040431A">
        <w:rPr>
          <w:szCs w:val="24"/>
        </w:rPr>
        <w:t>A</w:t>
      </w:r>
      <w:r w:rsidR="008035C3" w:rsidRPr="0040431A">
        <w:rPr>
          <w:szCs w:val="24"/>
        </w:rPr>
        <w:t xml:space="preserve"> </w:t>
      </w:r>
      <w:r w:rsidR="00531B4E" w:rsidRPr="0040431A">
        <w:rPr>
          <w:szCs w:val="24"/>
        </w:rPr>
        <w:t>person appointed to an office</w:t>
      </w:r>
      <w:r w:rsidR="008035C3" w:rsidRPr="0040431A">
        <w:rPr>
          <w:szCs w:val="24"/>
        </w:rPr>
        <w:t xml:space="preserve"> </w:t>
      </w:r>
      <w:r w:rsidR="001236F3" w:rsidRPr="0040431A">
        <w:t xml:space="preserve">listed </w:t>
      </w:r>
      <w:r w:rsidR="00531B4E" w:rsidRPr="0040431A">
        <w:rPr>
          <w:szCs w:val="24"/>
        </w:rPr>
        <w:t>in clause 2.1 of</w:t>
      </w:r>
      <w:r w:rsidR="008035C3" w:rsidRPr="0040431A">
        <w:rPr>
          <w:szCs w:val="24"/>
        </w:rPr>
        <w:t xml:space="preserve"> this Determination </w:t>
      </w:r>
      <w:r w:rsidR="0069220A" w:rsidRPr="0040431A">
        <w:rPr>
          <w:szCs w:val="24"/>
        </w:rPr>
        <w:t xml:space="preserve">is only eligible for the employer’s superannuation contribution </w:t>
      </w:r>
      <w:r w:rsidR="0069220A" w:rsidRPr="0040431A">
        <w:rPr>
          <w:szCs w:val="24"/>
          <w:lang w:val="en-US"/>
        </w:rPr>
        <w:t xml:space="preserve">if their </w:t>
      </w:r>
      <w:r w:rsidR="0069220A" w:rsidRPr="0040431A">
        <w:rPr>
          <w:szCs w:val="24"/>
        </w:rPr>
        <w:t>superannuation</w:t>
      </w:r>
      <w:r w:rsidR="0069220A" w:rsidRPr="0040431A">
        <w:rPr>
          <w:szCs w:val="24"/>
          <w:lang w:val="en-US"/>
        </w:rPr>
        <w:t xml:space="preserve"> entitlements are not provided elsewhere.  </w:t>
      </w:r>
    </w:p>
    <w:p w14:paraId="0DFD1DC4" w14:textId="199465B0" w:rsidR="00F92A75" w:rsidRPr="0040431A" w:rsidRDefault="00F92A75" w:rsidP="00F92A75">
      <w:pPr>
        <w:numPr>
          <w:ilvl w:val="1"/>
          <w:numId w:val="4"/>
        </w:numPr>
        <w:tabs>
          <w:tab w:val="clear" w:pos="720"/>
          <w:tab w:val="num" w:pos="0"/>
        </w:tabs>
        <w:spacing w:before="120" w:after="60"/>
        <w:ind w:left="709" w:hanging="709"/>
      </w:pPr>
      <w:r w:rsidRPr="0040431A">
        <w:rPr>
          <w:szCs w:val="24"/>
        </w:rPr>
        <w:t xml:space="preserve">For a person appointed to an office </w:t>
      </w:r>
      <w:r w:rsidR="001236F3" w:rsidRPr="0040431A">
        <w:t xml:space="preserve">listed </w:t>
      </w:r>
      <w:r w:rsidRPr="0040431A">
        <w:rPr>
          <w:szCs w:val="24"/>
        </w:rPr>
        <w:t>in clause 2.1 of this Determination who</w:t>
      </w:r>
      <w:r w:rsidRPr="0040431A">
        <w:t xml:space="preserve"> is a member of the Commonwealth Superannuation Scheme (CSS) or Public Sector Superannuation (PSS) Scheme: </w:t>
      </w:r>
    </w:p>
    <w:p w14:paraId="426BAC2A" w14:textId="77777777" w:rsidR="00F92A75" w:rsidRPr="0040431A" w:rsidRDefault="00F92A75" w:rsidP="00F92A75">
      <w:pPr>
        <w:numPr>
          <w:ilvl w:val="2"/>
          <w:numId w:val="4"/>
        </w:numPr>
        <w:tabs>
          <w:tab w:val="clear" w:pos="720"/>
        </w:tabs>
        <w:spacing w:before="120" w:after="60"/>
        <w:ind w:left="1134" w:hanging="436"/>
      </w:pPr>
      <w:r w:rsidRPr="0040431A">
        <w:t>the person’s annual rate of remuneration for the purposes of the scheme is the base remuneration as provided in clause 2.1 of this Determination; and</w:t>
      </w:r>
    </w:p>
    <w:p w14:paraId="37B8976F" w14:textId="77777777" w:rsidR="00F92A75" w:rsidRPr="0040431A" w:rsidRDefault="00F92A75" w:rsidP="00F92A75">
      <w:pPr>
        <w:numPr>
          <w:ilvl w:val="2"/>
          <w:numId w:val="4"/>
        </w:numPr>
        <w:tabs>
          <w:tab w:val="clear" w:pos="720"/>
        </w:tabs>
        <w:spacing w:before="120" w:after="60"/>
        <w:ind w:left="1134" w:hanging="436"/>
      </w:pPr>
      <w:proofErr w:type="gramStart"/>
      <w:r w:rsidRPr="0040431A">
        <w:lastRenderedPageBreak/>
        <w:t>the</w:t>
      </w:r>
      <w:proofErr w:type="gramEnd"/>
      <w:r w:rsidRPr="0040431A">
        <w:t xml:space="preserve"> value attributed to the employer’s superannuation contribution is taken to be a notional 16% of the person’s base remuneration.</w:t>
      </w:r>
    </w:p>
    <w:p w14:paraId="17745C83" w14:textId="22B94B7C" w:rsidR="0069220A" w:rsidRDefault="00F92A75" w:rsidP="0069220A">
      <w:pPr>
        <w:keepNext/>
        <w:keepLines/>
        <w:numPr>
          <w:ilvl w:val="1"/>
          <w:numId w:val="4"/>
        </w:numPr>
        <w:tabs>
          <w:tab w:val="clear" w:pos="720"/>
          <w:tab w:val="num" w:pos="0"/>
        </w:tabs>
        <w:spacing w:before="80" w:after="60"/>
        <w:ind w:left="709" w:hanging="709"/>
      </w:pPr>
      <w:r>
        <w:rPr>
          <w:szCs w:val="24"/>
        </w:rPr>
        <w:t>For a</w:t>
      </w:r>
      <w:r w:rsidR="009A24F2">
        <w:rPr>
          <w:szCs w:val="24"/>
        </w:rPr>
        <w:t xml:space="preserve"> person appointed to an office</w:t>
      </w:r>
      <w:r w:rsidR="00195E09">
        <w:rPr>
          <w:szCs w:val="24"/>
        </w:rPr>
        <w:t xml:space="preserve"> listed</w:t>
      </w:r>
      <w:r w:rsidR="009A24F2">
        <w:rPr>
          <w:szCs w:val="24"/>
        </w:rPr>
        <w:t xml:space="preserve"> in clause 2.1 of this Determination</w:t>
      </w:r>
      <w:r w:rsidR="001461C0">
        <w:rPr>
          <w:szCs w:val="24"/>
        </w:rPr>
        <w:t xml:space="preserve"> </w:t>
      </w:r>
      <w:r w:rsidR="0069220A">
        <w:t xml:space="preserve">who is not </w:t>
      </w:r>
      <w:r>
        <w:t xml:space="preserve">currently </w:t>
      </w:r>
      <w:r w:rsidR="0069220A">
        <w:t xml:space="preserve">a member of the CSS or PSS </w:t>
      </w:r>
      <w:r>
        <w:t xml:space="preserve">but </w:t>
      </w:r>
      <w:r w:rsidR="0069220A">
        <w:t xml:space="preserve">was </w:t>
      </w:r>
      <w:r>
        <w:t>a member of the PSS Accumulation Plan (</w:t>
      </w:r>
      <w:proofErr w:type="spellStart"/>
      <w:r>
        <w:t>PSSap</w:t>
      </w:r>
      <w:proofErr w:type="spellEnd"/>
      <w:r>
        <w:t>) until it closed to</w:t>
      </w:r>
      <w:r w:rsidR="0069220A">
        <w:t xml:space="preserve"> the Territory </w:t>
      </w:r>
      <w:r>
        <w:t xml:space="preserve">on </w:t>
      </w:r>
      <w:r w:rsidR="0069220A">
        <w:t xml:space="preserve">30 June 2006, and </w:t>
      </w:r>
      <w:r>
        <w:t xml:space="preserve">has </w:t>
      </w:r>
      <w:r w:rsidR="0069220A">
        <w:t>maintained continuous employment with the Territory</w:t>
      </w:r>
      <w:r>
        <w:rPr>
          <w:rFonts w:eastAsia="Calibri"/>
          <w:szCs w:val="24"/>
        </w:rPr>
        <w:t>:</w:t>
      </w:r>
    </w:p>
    <w:p w14:paraId="660DD54B" w14:textId="7B7225C8" w:rsidR="0069220A" w:rsidRDefault="0069220A" w:rsidP="0069220A">
      <w:pPr>
        <w:numPr>
          <w:ilvl w:val="2"/>
          <w:numId w:val="4"/>
        </w:numPr>
        <w:tabs>
          <w:tab w:val="clear" w:pos="720"/>
        </w:tabs>
        <w:spacing w:after="60"/>
        <w:ind w:left="1134" w:hanging="436"/>
      </w:pPr>
      <w:r>
        <w:t>the value of the employer’s superannuation contribution is</w:t>
      </w:r>
      <w:r w:rsidR="00F92A75">
        <w:t xml:space="preserve"> a notional</w:t>
      </w:r>
      <w:r>
        <w:t xml:space="preserve"> 16% of the </w:t>
      </w:r>
      <w:r w:rsidR="00F92A75">
        <w:t xml:space="preserve">base </w:t>
      </w:r>
      <w:r>
        <w:t xml:space="preserve">remuneration </w:t>
      </w:r>
      <w:r w:rsidR="00F92A75">
        <w:t>as provided in clause 2.1 of this Determination</w:t>
      </w:r>
      <w:r>
        <w:t>; and</w:t>
      </w:r>
    </w:p>
    <w:p w14:paraId="3BBC97EE" w14:textId="260E865E" w:rsidR="0069220A" w:rsidRDefault="0069220A" w:rsidP="0069220A">
      <w:pPr>
        <w:numPr>
          <w:ilvl w:val="2"/>
          <w:numId w:val="4"/>
        </w:numPr>
        <w:tabs>
          <w:tab w:val="clear" w:pos="720"/>
        </w:tabs>
        <w:spacing w:after="60"/>
        <w:ind w:left="1134" w:hanging="436"/>
      </w:pPr>
      <w:proofErr w:type="gramStart"/>
      <w:r>
        <w:t>the</w:t>
      </w:r>
      <w:proofErr w:type="gramEnd"/>
      <w:r>
        <w:t xml:space="preserve"> employer will contribute </w:t>
      </w:r>
      <w:r w:rsidR="00F92A75">
        <w:t xml:space="preserve">that </w:t>
      </w:r>
      <w:r>
        <w:t xml:space="preserve">amount </w:t>
      </w:r>
      <w:r w:rsidR="00F92A75" w:rsidRPr="00274C3E">
        <w:t>to</w:t>
      </w:r>
      <w:r w:rsidR="00F92A75" w:rsidRPr="008035C3">
        <w:t xml:space="preserve"> an agreed superannuation fund nominated by the</w:t>
      </w:r>
      <w:r w:rsidR="00F92A75">
        <w:t xml:space="preserve"> </w:t>
      </w:r>
      <w:r w:rsidR="00F92A75">
        <w:rPr>
          <w:szCs w:val="24"/>
        </w:rPr>
        <w:t>person</w:t>
      </w:r>
      <w:r w:rsidR="00F92A75">
        <w:t xml:space="preserve"> </w:t>
      </w:r>
      <w:r w:rsidR="00122DBF">
        <w:rPr>
          <w:szCs w:val="24"/>
        </w:rPr>
        <w:t>appointed to an office</w:t>
      </w:r>
      <w:r w:rsidR="00195E09">
        <w:rPr>
          <w:szCs w:val="24"/>
        </w:rPr>
        <w:t xml:space="preserve"> listed</w:t>
      </w:r>
      <w:r w:rsidR="00122DBF">
        <w:rPr>
          <w:szCs w:val="24"/>
        </w:rPr>
        <w:t xml:space="preserve"> in clause 2.1 of this Determination</w:t>
      </w:r>
      <w:r>
        <w:t>.</w:t>
      </w:r>
    </w:p>
    <w:p w14:paraId="4D1D5EB3" w14:textId="47D7D352" w:rsidR="00F92A75" w:rsidRDefault="00F92A75" w:rsidP="00F92A75">
      <w:pPr>
        <w:numPr>
          <w:ilvl w:val="1"/>
          <w:numId w:val="4"/>
        </w:numPr>
        <w:tabs>
          <w:tab w:val="clear" w:pos="720"/>
          <w:tab w:val="num" w:pos="0"/>
        </w:tabs>
        <w:spacing w:before="120" w:after="60"/>
        <w:ind w:left="709" w:hanging="709"/>
      </w:pPr>
      <w:r>
        <w:t xml:space="preserve">For a person appointed to an office </w:t>
      </w:r>
      <w:r w:rsidR="00735CE4">
        <w:t xml:space="preserve">listed </w:t>
      </w:r>
      <w:r>
        <w:t xml:space="preserve">in clause 2.1 of this Determination </w:t>
      </w:r>
      <w:r w:rsidRPr="00C03BCF">
        <w:t xml:space="preserve">who is a member of any other superannuation fund, the employer’s superannuation contribution is to be made at a rate </w:t>
      </w:r>
      <w:r w:rsidR="009E65ED">
        <w:t>equivalent to</w:t>
      </w:r>
      <w:r w:rsidRPr="00C03BCF">
        <w:t xml:space="preserve"> the Employer Superannuation Guarantee Charge Percentage as provided by the </w:t>
      </w:r>
      <w:r w:rsidRPr="00C03BCF">
        <w:rPr>
          <w:i/>
        </w:rPr>
        <w:t>Superannuation Guarantee (Administration) Act 1992</w:t>
      </w:r>
      <w:r w:rsidR="0040431A">
        <w:rPr>
          <w:i/>
        </w:rPr>
        <w:t xml:space="preserve"> </w:t>
      </w:r>
      <w:r w:rsidR="0040431A" w:rsidRPr="00A7194D">
        <w:t>(which at the commencement of this Determination is 9.5%)</w:t>
      </w:r>
      <w:r w:rsidRPr="00C03BCF">
        <w:t>.</w:t>
      </w:r>
    </w:p>
    <w:p w14:paraId="7AC6DFAD" w14:textId="338C26CD" w:rsidR="009F6241" w:rsidRPr="00122DBF" w:rsidRDefault="009F6241" w:rsidP="009F6241">
      <w:pPr>
        <w:numPr>
          <w:ilvl w:val="1"/>
          <w:numId w:val="4"/>
        </w:numPr>
        <w:tabs>
          <w:tab w:val="clear" w:pos="720"/>
          <w:tab w:val="num" w:pos="0"/>
        </w:tabs>
        <w:spacing w:before="80" w:after="60"/>
        <w:ind w:left="709" w:hanging="709"/>
      </w:pPr>
      <w:r w:rsidRPr="00122DBF">
        <w:rPr>
          <w:szCs w:val="24"/>
        </w:rPr>
        <w:t xml:space="preserve">A person appointed to an office </w:t>
      </w:r>
      <w:r w:rsidR="00735CE4">
        <w:rPr>
          <w:szCs w:val="24"/>
        </w:rPr>
        <w:t xml:space="preserve">listed </w:t>
      </w:r>
      <w:r w:rsidRPr="00122DBF">
        <w:rPr>
          <w:szCs w:val="24"/>
        </w:rPr>
        <w:t>in clause 2.1 of this Determination</w:t>
      </w:r>
      <w:r w:rsidRPr="00122DBF">
        <w:t xml:space="preserve"> is entitled to the enhanced employer contribution superannuation arrangements that apply to </w:t>
      </w:r>
      <w:r>
        <w:t>an SES member in the</w:t>
      </w:r>
      <w:r w:rsidRPr="00122DBF">
        <w:t xml:space="preserve"> ACT public sector under associated arrangements.</w:t>
      </w:r>
    </w:p>
    <w:p w14:paraId="73B65BBD" w14:textId="6626E2EE" w:rsidR="0040431A" w:rsidRPr="00A7194D" w:rsidRDefault="0040431A" w:rsidP="0040431A">
      <w:pPr>
        <w:numPr>
          <w:ilvl w:val="1"/>
          <w:numId w:val="4"/>
        </w:numPr>
        <w:spacing w:before="120" w:after="60"/>
      </w:pPr>
      <w:r w:rsidRPr="00A7194D">
        <w:t xml:space="preserve">The employer provides an additional employer superannuation contribution. The additional employer superannuation contribution is the same rate provided under </w:t>
      </w:r>
      <w:r w:rsidR="00CB6CD9">
        <w:t>clause</w:t>
      </w:r>
      <w:r w:rsidRPr="00A7194D">
        <w:t xml:space="preserve"> D7 of the ACT Public Sector Administrative and Related Classifications Enterprise Agreement 2018-2021, as follows:</w:t>
      </w:r>
    </w:p>
    <w:p w14:paraId="35EA45B1" w14:textId="77777777" w:rsidR="0040431A" w:rsidRPr="00A7194D" w:rsidRDefault="0040431A" w:rsidP="0040431A">
      <w:pPr>
        <w:tabs>
          <w:tab w:val="left" w:pos="1134"/>
        </w:tabs>
        <w:spacing w:before="120" w:after="60"/>
        <w:ind w:left="709"/>
      </w:pPr>
      <w:r w:rsidRPr="00A7194D">
        <w:t>(a)</w:t>
      </w:r>
      <w:r w:rsidRPr="00A7194D">
        <w:tab/>
        <w:t>From 1 July 2019: 1.50%.</w:t>
      </w:r>
    </w:p>
    <w:p w14:paraId="77805DA8" w14:textId="77777777" w:rsidR="0040431A" w:rsidRPr="00A7194D" w:rsidRDefault="0040431A" w:rsidP="0040431A">
      <w:pPr>
        <w:tabs>
          <w:tab w:val="left" w:pos="1134"/>
        </w:tabs>
        <w:spacing w:before="120" w:after="60"/>
        <w:ind w:left="709"/>
      </w:pPr>
      <w:r w:rsidRPr="00A7194D">
        <w:t>(b)</w:t>
      </w:r>
      <w:r w:rsidRPr="00A7194D">
        <w:tab/>
        <w:t>From 1 July 2020: 2%.</w:t>
      </w:r>
    </w:p>
    <w:p w14:paraId="79C33C7A" w14:textId="7CDCB54D" w:rsidR="00F92A75" w:rsidRDefault="00F92A75" w:rsidP="00F92A75">
      <w:pPr>
        <w:numPr>
          <w:ilvl w:val="1"/>
          <w:numId w:val="4"/>
        </w:numPr>
        <w:tabs>
          <w:tab w:val="clear" w:pos="720"/>
          <w:tab w:val="num" w:pos="0"/>
        </w:tabs>
        <w:spacing w:before="120" w:after="60"/>
        <w:ind w:left="709" w:hanging="709"/>
      </w:pPr>
      <w:r w:rsidRPr="00540F3A">
        <w:rPr>
          <w:color w:val="000000" w:themeColor="text1"/>
          <w:szCs w:val="24"/>
        </w:rPr>
        <w:t xml:space="preserve">A person appointed </w:t>
      </w:r>
      <w:r w:rsidRPr="00122DBF">
        <w:rPr>
          <w:szCs w:val="24"/>
        </w:rPr>
        <w:t xml:space="preserve">to an office </w:t>
      </w:r>
      <w:r w:rsidR="00735CE4">
        <w:rPr>
          <w:szCs w:val="24"/>
        </w:rPr>
        <w:t xml:space="preserve">listed </w:t>
      </w:r>
      <w:r w:rsidRPr="00122DBF">
        <w:rPr>
          <w:szCs w:val="24"/>
        </w:rPr>
        <w:t xml:space="preserve">in clause 2.1 of this Determination </w:t>
      </w:r>
      <w:r w:rsidRPr="00122DBF">
        <w:t>is entitled to the same superannuation entitlements as a</w:t>
      </w:r>
      <w:r>
        <w:t>n</w:t>
      </w:r>
      <w:r w:rsidRPr="00122DBF">
        <w:t xml:space="preserve"> SES member under the </w:t>
      </w:r>
      <w:r w:rsidRPr="00122DBF">
        <w:rPr>
          <w:i/>
        </w:rPr>
        <w:t>Public Sector Management Standards</w:t>
      </w:r>
      <w:r w:rsidRPr="00122DBF">
        <w:t>. This clause takes effect from 1 September 2016.</w:t>
      </w:r>
      <w:r>
        <w:t>The</w:t>
      </w:r>
      <w:r>
        <w:rPr>
          <w:lang w:val="en-US"/>
        </w:rPr>
        <w:t xml:space="preserve"> </w:t>
      </w:r>
      <w:r>
        <w:t xml:space="preserve">value of the employer’s superannuation contribution must not be paid in cash to </w:t>
      </w:r>
      <w:r>
        <w:rPr>
          <w:szCs w:val="24"/>
        </w:rPr>
        <w:t xml:space="preserve">a person appointed to an office </w:t>
      </w:r>
      <w:r w:rsidR="00735CE4">
        <w:rPr>
          <w:szCs w:val="24"/>
        </w:rPr>
        <w:t xml:space="preserve">listed </w:t>
      </w:r>
      <w:r>
        <w:rPr>
          <w:szCs w:val="24"/>
        </w:rPr>
        <w:t>in clause 2.1 of this Determination</w:t>
      </w:r>
      <w:r>
        <w:t>.</w:t>
      </w:r>
    </w:p>
    <w:p w14:paraId="78A4D1FA" w14:textId="77777777" w:rsidR="00377C0D" w:rsidRPr="009C10E9" w:rsidRDefault="00377C0D" w:rsidP="00AA3C18">
      <w:pPr>
        <w:pStyle w:val="Heading3"/>
        <w:keepLines w:val="0"/>
        <w:ind w:left="709" w:hanging="709"/>
        <w:rPr>
          <w:color w:val="000000" w:themeColor="text1"/>
        </w:rPr>
      </w:pPr>
      <w:r w:rsidRPr="00AA3C18">
        <w:rPr>
          <w:rFonts w:cs="Arial"/>
          <w:color w:val="000000" w:themeColor="text1"/>
          <w:szCs w:val="26"/>
        </w:rPr>
        <w:t>Fringe</w:t>
      </w:r>
      <w:r w:rsidRPr="009C10E9">
        <w:rPr>
          <w:color w:val="000000" w:themeColor="text1"/>
        </w:rPr>
        <w:t xml:space="preserve"> benefit tax – vehicle </w:t>
      </w:r>
    </w:p>
    <w:p w14:paraId="4D5353F9" w14:textId="74958F18" w:rsidR="009203C3" w:rsidRPr="00813A81" w:rsidRDefault="009203C3" w:rsidP="009203C3">
      <w:pPr>
        <w:numPr>
          <w:ilvl w:val="1"/>
          <w:numId w:val="46"/>
        </w:numPr>
        <w:spacing w:before="80" w:after="60"/>
        <w:rPr>
          <w:color w:val="000000" w:themeColor="text1"/>
        </w:rPr>
      </w:pPr>
      <w:r w:rsidRPr="009C10E9">
        <w:rPr>
          <w:color w:val="000000" w:themeColor="text1"/>
        </w:rPr>
        <w:t xml:space="preserve">The employer incurs fringe benefits tax liabilities for vehicles provided to their employees.  Fringe benefits tax is determined and calculated under the Fringe Benefits Tax Assessment Act 1986.  For the purposes of this section, </w:t>
      </w:r>
      <w:r w:rsidR="0040431A" w:rsidRPr="00A7194D">
        <w:t>the fringe benefits tax year is 1 April of a year to 31 March of the following year</w:t>
      </w:r>
      <w:r w:rsidR="0040431A">
        <w:t>.</w:t>
      </w:r>
      <w:r w:rsidRPr="003B0856">
        <w:rPr>
          <w:color w:val="FF0000"/>
        </w:rPr>
        <w:t xml:space="preserve">             </w:t>
      </w:r>
    </w:p>
    <w:p w14:paraId="10C964A1" w14:textId="0D25AF73" w:rsidR="009203C3" w:rsidRPr="00813A81" w:rsidRDefault="009203C3" w:rsidP="009203C3">
      <w:pPr>
        <w:numPr>
          <w:ilvl w:val="1"/>
          <w:numId w:val="46"/>
        </w:numPr>
        <w:spacing w:before="80" w:after="60"/>
        <w:rPr>
          <w:color w:val="000000" w:themeColor="text1"/>
        </w:rPr>
      </w:pPr>
      <w:r w:rsidRPr="00813A81">
        <w:rPr>
          <w:color w:val="000000" w:themeColor="text1"/>
        </w:rPr>
        <w:t xml:space="preserve">During the fringe benefits tax year, where the office holder elects to receive an employer-provided vehicle instead of a payment, if the employer’s liability in relation to the office holder’s vehicle provided by the employer for the fringe benefits tax year is less than $7,500, the difference is payable to the office holder as an allowance at the end of the fringe benefits tax year. </w:t>
      </w:r>
    </w:p>
    <w:p w14:paraId="192640EB" w14:textId="77777777" w:rsidR="009203C3" w:rsidRPr="00813A81" w:rsidRDefault="009203C3" w:rsidP="009203C3">
      <w:pPr>
        <w:numPr>
          <w:ilvl w:val="1"/>
          <w:numId w:val="46"/>
        </w:numPr>
        <w:spacing w:before="80" w:after="60"/>
        <w:rPr>
          <w:color w:val="000000" w:themeColor="text1"/>
        </w:rPr>
      </w:pPr>
      <w:r w:rsidRPr="00813A81">
        <w:rPr>
          <w:color w:val="000000" w:themeColor="text1"/>
        </w:rPr>
        <w:lastRenderedPageBreak/>
        <w:t xml:space="preserve">To avoid doubt, if the assessed liability for fringe benefits tax exceeds the $7,500 threshold, the office holder will not be required to pay any component in excess of the $7,500.  </w:t>
      </w:r>
    </w:p>
    <w:p w14:paraId="6B953556" w14:textId="77777777" w:rsidR="009203C3" w:rsidRPr="00813A81" w:rsidRDefault="009203C3" w:rsidP="009203C3">
      <w:pPr>
        <w:numPr>
          <w:ilvl w:val="1"/>
          <w:numId w:val="46"/>
        </w:numPr>
        <w:spacing w:before="80" w:after="60"/>
        <w:rPr>
          <w:color w:val="000000" w:themeColor="text1"/>
        </w:rPr>
      </w:pPr>
      <w:r w:rsidRPr="009C10E9">
        <w:rPr>
          <w:color w:val="000000" w:themeColor="text1"/>
        </w:rPr>
        <w:t xml:space="preserve">During the fringe benefits tax year, where the </w:t>
      </w:r>
      <w:r>
        <w:rPr>
          <w:color w:val="000000" w:themeColor="text1"/>
        </w:rPr>
        <w:t>office holder</w:t>
      </w:r>
      <w:r w:rsidRPr="009C10E9">
        <w:rPr>
          <w:color w:val="000000" w:themeColor="text1"/>
        </w:rPr>
        <w:t xml:space="preserve"> elects to receive a </w:t>
      </w:r>
      <w:r w:rsidRPr="00813A81">
        <w:rPr>
          <w:color w:val="000000" w:themeColor="text1"/>
        </w:rPr>
        <w:t xml:space="preserve">payment instead of an employer provided vehicle, the amount of $7,500 per annum is paid as an allowance to the office holder on a fortnightly basis. </w:t>
      </w:r>
    </w:p>
    <w:p w14:paraId="562C0666" w14:textId="442D35F8" w:rsidR="009203C3" w:rsidRPr="00F07BE6" w:rsidRDefault="009203C3" w:rsidP="009203C3">
      <w:pPr>
        <w:numPr>
          <w:ilvl w:val="1"/>
          <w:numId w:val="46"/>
        </w:numPr>
        <w:spacing w:before="80" w:after="60"/>
        <w:rPr>
          <w:color w:val="000000" w:themeColor="text1"/>
        </w:rPr>
      </w:pPr>
      <w:r w:rsidRPr="00813A81">
        <w:rPr>
          <w:color w:val="000000" w:themeColor="text1"/>
        </w:rPr>
        <w:t xml:space="preserve">The fringe benefits </w:t>
      </w:r>
      <w:r w:rsidRPr="009C10E9">
        <w:rPr>
          <w:color w:val="000000" w:themeColor="text1"/>
        </w:rPr>
        <w:t>tax allo</w:t>
      </w:r>
      <w:r>
        <w:rPr>
          <w:color w:val="000000" w:themeColor="text1"/>
        </w:rPr>
        <w:t>wance of $7,500 under clause 8.4</w:t>
      </w:r>
      <w:r w:rsidRPr="009C10E9">
        <w:rPr>
          <w:color w:val="000000" w:themeColor="text1"/>
        </w:rPr>
        <w:t xml:space="preserve"> is reduced proportionally where the </w:t>
      </w:r>
      <w:r>
        <w:rPr>
          <w:color w:val="000000" w:themeColor="text1"/>
        </w:rPr>
        <w:t>officer holder</w:t>
      </w:r>
      <w:r w:rsidRPr="009C10E9">
        <w:rPr>
          <w:color w:val="000000" w:themeColor="text1"/>
        </w:rPr>
        <w:t xml:space="preserve"> is engaged for less than a full fringe benefits tax year.</w:t>
      </w:r>
    </w:p>
    <w:p w14:paraId="17F334AA" w14:textId="77777777" w:rsidR="0069220A" w:rsidRPr="0040603C" w:rsidRDefault="0069220A" w:rsidP="00031CFC">
      <w:pPr>
        <w:pStyle w:val="Heading3"/>
        <w:keepLines w:val="0"/>
        <w:ind w:left="709" w:hanging="709"/>
        <w:rPr>
          <w:rFonts w:cs="Arial"/>
          <w:szCs w:val="26"/>
        </w:rPr>
      </w:pPr>
      <w:r w:rsidRPr="0040603C">
        <w:rPr>
          <w:rFonts w:cs="Arial"/>
          <w:szCs w:val="26"/>
        </w:rPr>
        <w:t>Relocation allowance</w:t>
      </w:r>
    </w:p>
    <w:p w14:paraId="1258693B" w14:textId="77777777" w:rsidR="00757287" w:rsidRPr="0040431A" w:rsidRDefault="00757287" w:rsidP="00757287">
      <w:pPr>
        <w:keepNext/>
        <w:keepLines/>
        <w:numPr>
          <w:ilvl w:val="1"/>
          <w:numId w:val="4"/>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w:t>
      </w:r>
      <w:r w:rsidRPr="0040431A">
        <w:rPr>
          <w:szCs w:val="24"/>
        </w:rPr>
        <w:t>including Queanbeyan.</w:t>
      </w:r>
    </w:p>
    <w:p w14:paraId="64C9AD23" w14:textId="09D0A50B"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Relocation allowance is provided to assist an individual with the costs to relocate from their home location to the ACT in order to take up </w:t>
      </w:r>
      <w:r w:rsidR="00EF30A1">
        <w:rPr>
          <w:szCs w:val="24"/>
        </w:rPr>
        <w:t>the appointment as a statutory office holder</w:t>
      </w:r>
      <w:r w:rsidRPr="0040431A">
        <w:rPr>
          <w:szCs w:val="24"/>
        </w:rPr>
        <w:t xml:space="preserve">.  </w:t>
      </w:r>
    </w:p>
    <w:p w14:paraId="2803F41A" w14:textId="2D109821"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The </w:t>
      </w:r>
      <w:r w:rsidR="004F66BD" w:rsidRPr="0040431A">
        <w:rPr>
          <w:szCs w:val="24"/>
        </w:rPr>
        <w:t>person appointed to an office</w:t>
      </w:r>
      <w:r w:rsidR="004F75A6" w:rsidRPr="0040431A">
        <w:rPr>
          <w:szCs w:val="24"/>
        </w:rPr>
        <w:t xml:space="preserve"> listed</w:t>
      </w:r>
      <w:r w:rsidR="004F66BD" w:rsidRPr="0040431A">
        <w:rPr>
          <w:szCs w:val="24"/>
        </w:rPr>
        <w:t xml:space="preserve"> in clause 2.1 </w:t>
      </w:r>
      <w:r w:rsidRPr="0040431A">
        <w:rPr>
          <w:szCs w:val="24"/>
        </w:rPr>
        <w:t>may be reimbursed an amount of up to $55,000, for receipted, reasonable costs of the following:</w:t>
      </w:r>
    </w:p>
    <w:p w14:paraId="3AB861D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packing personal effects and furniture belonging to the person and their family;</w:t>
      </w:r>
    </w:p>
    <w:p w14:paraId="4E8F1BA6"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necessary storage of personal effects and furniture;</w:t>
      </w:r>
    </w:p>
    <w:p w14:paraId="63248A44"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removal costs and associated insurance of personal effects and furniture;</w:t>
      </w:r>
    </w:p>
    <w:p w14:paraId="0BD9402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unpacking of personal effects and furniture;</w:t>
      </w:r>
    </w:p>
    <w:p w14:paraId="287FC049"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costs of travel, accommodation and meals between the former location and the ACT;</w:t>
      </w:r>
    </w:p>
    <w:p w14:paraId="4800845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temporary accommodation costs at the former location and in the ACT up to a maximum aggregate period of six months, or, in exceptional circumstances, nine months with the approval of the ACT Remuneration Tribunal (Tribunal);</w:t>
      </w:r>
    </w:p>
    <w:p w14:paraId="56E2C770"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costs of disconnection and reconnection of utilities;</w:t>
      </w:r>
    </w:p>
    <w:p w14:paraId="550A03DB"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cost of stamp duty and legal and professional services associated with the sale of the residence at the former location and/or the purchase of a residence or lease on a block of land in the ACT; </w:t>
      </w:r>
    </w:p>
    <w:p w14:paraId="7C42BF2C" w14:textId="77777777" w:rsidR="00757287" w:rsidRPr="0040431A" w:rsidRDefault="00757287" w:rsidP="00757287">
      <w:pPr>
        <w:numPr>
          <w:ilvl w:val="2"/>
          <w:numId w:val="4"/>
        </w:numPr>
        <w:tabs>
          <w:tab w:val="clear" w:pos="720"/>
        </w:tabs>
        <w:spacing w:after="60"/>
        <w:ind w:left="1134" w:hanging="436"/>
        <w:rPr>
          <w:szCs w:val="24"/>
        </w:rPr>
      </w:pPr>
      <w:proofErr w:type="gramStart"/>
      <w:r w:rsidRPr="0040431A">
        <w:rPr>
          <w:szCs w:val="24"/>
        </w:rPr>
        <w:t>subject</w:t>
      </w:r>
      <w:proofErr w:type="gramEnd"/>
      <w:r w:rsidRPr="0040431A">
        <w:rPr>
          <w:szCs w:val="24"/>
        </w:rPr>
        <w:t xml:space="preserve"> to the specific approval of the Tribunal, any other reasonable expenses necessarily incurred in relocating to the ACT.</w:t>
      </w:r>
    </w:p>
    <w:p w14:paraId="27ACFA4A" w14:textId="77777777"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The Tribunal may decide to reimburse a higher amount of allowance if the Tribunal agrees</w:t>
      </w:r>
      <w:r w:rsidRPr="0040431A">
        <w:rPr>
          <w:rFonts w:eastAsia="Calibri"/>
          <w:szCs w:val="24"/>
        </w:rPr>
        <w:t>—</w:t>
      </w:r>
    </w:p>
    <w:p w14:paraId="320AB3BD"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there are unusual or exceptional circumstances; and</w:t>
      </w:r>
    </w:p>
    <w:p w14:paraId="5F9E1EBE" w14:textId="77777777" w:rsidR="00757287" w:rsidRPr="0040431A" w:rsidRDefault="00757287" w:rsidP="00757287">
      <w:pPr>
        <w:numPr>
          <w:ilvl w:val="2"/>
          <w:numId w:val="4"/>
        </w:numPr>
        <w:tabs>
          <w:tab w:val="clear" w:pos="720"/>
        </w:tabs>
        <w:spacing w:after="60"/>
        <w:ind w:left="1134" w:hanging="436"/>
        <w:rPr>
          <w:szCs w:val="24"/>
        </w:rPr>
      </w:pPr>
      <w:proofErr w:type="gramStart"/>
      <w:r w:rsidRPr="0040431A">
        <w:rPr>
          <w:szCs w:val="24"/>
        </w:rPr>
        <w:t>the</w:t>
      </w:r>
      <w:proofErr w:type="gramEnd"/>
      <w:r w:rsidRPr="0040431A">
        <w:rPr>
          <w:szCs w:val="24"/>
        </w:rPr>
        <w:t xml:space="preserve"> unusual or exceptional circumstances were unforeseen or unable to be dealt with without exceeding $55,000.</w:t>
      </w:r>
    </w:p>
    <w:p w14:paraId="500E4AFF" w14:textId="16E5196B"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If </w:t>
      </w:r>
      <w:r w:rsidR="004F66BD" w:rsidRPr="0040431A">
        <w:rPr>
          <w:szCs w:val="24"/>
        </w:rPr>
        <w:t xml:space="preserve">a person appointed to an office in </w:t>
      </w:r>
      <w:r w:rsidR="004F75A6" w:rsidRPr="0040431A">
        <w:rPr>
          <w:szCs w:val="24"/>
        </w:rPr>
        <w:t xml:space="preserve">listed </w:t>
      </w:r>
      <w:r w:rsidR="004F66BD" w:rsidRPr="0040431A">
        <w:rPr>
          <w:szCs w:val="24"/>
        </w:rPr>
        <w:t>clause 2.1</w:t>
      </w:r>
      <w:r w:rsidRPr="0040431A">
        <w:rPr>
          <w:szCs w:val="24"/>
        </w:rPr>
        <w:t xml:space="preserve"> thinks that unusual and exceptional circumstances exist, they may ask the Tribunal to consider the matter and determine whether the maximum relocation allowance can be exceeded.  A request must be in writing and must include</w:t>
      </w:r>
      <w:r w:rsidRPr="0040431A">
        <w:rPr>
          <w:rFonts w:eastAsia="Calibri"/>
          <w:szCs w:val="24"/>
        </w:rPr>
        <w:t>—</w:t>
      </w:r>
    </w:p>
    <w:p w14:paraId="4F5FE8A9"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details of the unusual or exceptional circumstances; and</w:t>
      </w:r>
    </w:p>
    <w:p w14:paraId="2D6D74EF"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lastRenderedPageBreak/>
        <w:t>details of the relocation; and</w:t>
      </w:r>
    </w:p>
    <w:p w14:paraId="5B2BD0F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expenses incurred by the executive; and</w:t>
      </w:r>
    </w:p>
    <w:p w14:paraId="3AFD3D6C"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expected total relocation expenses of the executive; and</w:t>
      </w:r>
    </w:p>
    <w:p w14:paraId="202A24F7" w14:textId="77777777" w:rsidR="00757287" w:rsidRPr="0040431A" w:rsidRDefault="00757287" w:rsidP="00757287">
      <w:pPr>
        <w:numPr>
          <w:ilvl w:val="2"/>
          <w:numId w:val="4"/>
        </w:numPr>
        <w:tabs>
          <w:tab w:val="clear" w:pos="720"/>
        </w:tabs>
        <w:spacing w:after="60"/>
        <w:ind w:left="1134" w:hanging="436"/>
        <w:rPr>
          <w:szCs w:val="24"/>
        </w:rPr>
      </w:pPr>
      <w:r w:rsidRPr="0040431A">
        <w:rPr>
          <w:szCs w:val="24"/>
        </w:rPr>
        <w:t>the level of assistance the executive considers should be provided; and</w:t>
      </w:r>
    </w:p>
    <w:p w14:paraId="0BD8CB36" w14:textId="77777777" w:rsidR="00757287" w:rsidRPr="0040431A" w:rsidRDefault="00757287" w:rsidP="00757287">
      <w:pPr>
        <w:numPr>
          <w:ilvl w:val="2"/>
          <w:numId w:val="4"/>
        </w:numPr>
        <w:tabs>
          <w:tab w:val="clear" w:pos="720"/>
        </w:tabs>
        <w:spacing w:after="60"/>
        <w:ind w:left="1134" w:hanging="436"/>
        <w:rPr>
          <w:szCs w:val="24"/>
        </w:rPr>
      </w:pPr>
      <w:proofErr w:type="gramStart"/>
      <w:r w:rsidRPr="0040431A">
        <w:rPr>
          <w:szCs w:val="24"/>
        </w:rPr>
        <w:t>any</w:t>
      </w:r>
      <w:proofErr w:type="gramEnd"/>
      <w:r w:rsidRPr="0040431A">
        <w:rPr>
          <w:szCs w:val="24"/>
        </w:rPr>
        <w:t xml:space="preserve"> other relevant information.</w:t>
      </w:r>
    </w:p>
    <w:p w14:paraId="16F881EE" w14:textId="20C9959F" w:rsidR="00757287" w:rsidRPr="0040431A" w:rsidRDefault="00757287" w:rsidP="00757287">
      <w:pPr>
        <w:numPr>
          <w:ilvl w:val="1"/>
          <w:numId w:val="4"/>
        </w:numPr>
        <w:tabs>
          <w:tab w:val="clear" w:pos="720"/>
          <w:tab w:val="num" w:pos="0"/>
        </w:tabs>
        <w:spacing w:before="80" w:after="60"/>
        <w:ind w:left="709" w:hanging="709"/>
        <w:rPr>
          <w:szCs w:val="24"/>
        </w:rPr>
      </w:pPr>
      <w:r w:rsidRPr="0040431A">
        <w:rPr>
          <w:szCs w:val="24"/>
        </w:rPr>
        <w:t xml:space="preserve">If the </w:t>
      </w:r>
      <w:r w:rsidR="004F66BD" w:rsidRPr="0040431A">
        <w:rPr>
          <w:szCs w:val="24"/>
        </w:rPr>
        <w:t xml:space="preserve">person appointed to an office </w:t>
      </w:r>
      <w:r w:rsidR="004F75A6" w:rsidRPr="0040431A">
        <w:rPr>
          <w:szCs w:val="24"/>
        </w:rPr>
        <w:t xml:space="preserve">listed </w:t>
      </w:r>
      <w:r w:rsidR="004F66BD" w:rsidRPr="0040431A">
        <w:rPr>
          <w:szCs w:val="24"/>
        </w:rPr>
        <w:t xml:space="preserve">in clause 2.1 </w:t>
      </w:r>
      <w:r w:rsidRPr="0040431A">
        <w:rPr>
          <w:szCs w:val="24"/>
        </w:rPr>
        <w:t xml:space="preserve">terminates their employment with the </w:t>
      </w:r>
      <w:r w:rsidR="004F66BD" w:rsidRPr="0040431A">
        <w:rPr>
          <w:szCs w:val="24"/>
        </w:rPr>
        <w:t>Territory</w:t>
      </w:r>
      <w:r w:rsidRPr="0040431A">
        <w:rPr>
          <w:szCs w:val="24"/>
        </w:rPr>
        <w:t xml:space="preserve"> within twelve months of the date of their engagement, the </w:t>
      </w:r>
      <w:r w:rsidR="004F66BD" w:rsidRPr="0040431A">
        <w:rPr>
          <w:szCs w:val="24"/>
        </w:rPr>
        <w:t>person</w:t>
      </w:r>
      <w:r w:rsidRPr="0040431A">
        <w:rPr>
          <w:szCs w:val="24"/>
        </w:rPr>
        <w:t xml:space="preserve"> </w:t>
      </w:r>
      <w:r w:rsidR="00FE57AF" w:rsidRPr="0040431A">
        <w:rPr>
          <w:szCs w:val="24"/>
        </w:rPr>
        <w:t>may</w:t>
      </w:r>
      <w:r w:rsidR="004F66BD" w:rsidRPr="0040431A">
        <w:rPr>
          <w:szCs w:val="24"/>
        </w:rPr>
        <w:t xml:space="preserve"> </w:t>
      </w:r>
      <w:r w:rsidRPr="0040431A">
        <w:rPr>
          <w:szCs w:val="24"/>
        </w:rPr>
        <w:t xml:space="preserve"> be required to repay the following amount:</w:t>
      </w:r>
    </w:p>
    <w:p w14:paraId="569D3A7C" w14:textId="21CB4564"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If the </w:t>
      </w:r>
      <w:r w:rsidR="004F66BD" w:rsidRPr="0040431A">
        <w:rPr>
          <w:szCs w:val="24"/>
        </w:rPr>
        <w:t>person</w:t>
      </w:r>
      <w:r w:rsidRPr="0040431A">
        <w:rPr>
          <w:szCs w:val="24"/>
        </w:rPr>
        <w:t xml:space="preserve"> terminates employment within six months from the date of their </w:t>
      </w:r>
      <w:r w:rsidR="004F66BD" w:rsidRPr="0040431A">
        <w:rPr>
          <w:szCs w:val="24"/>
        </w:rPr>
        <w:t>appointment</w:t>
      </w:r>
      <w:r w:rsidRPr="0040431A">
        <w:rPr>
          <w:szCs w:val="24"/>
        </w:rPr>
        <w:t xml:space="preserve">—100% of the amount reimbursed under section </w:t>
      </w:r>
      <w:r w:rsidR="004F75A6" w:rsidRPr="0040431A">
        <w:rPr>
          <w:szCs w:val="24"/>
        </w:rPr>
        <w:t>9</w:t>
      </w:r>
      <w:r w:rsidRPr="0040431A">
        <w:rPr>
          <w:szCs w:val="24"/>
        </w:rPr>
        <w:t xml:space="preserve">.3; </w:t>
      </w:r>
    </w:p>
    <w:p w14:paraId="68D99BA2" w14:textId="29B242FD" w:rsidR="00757287" w:rsidRPr="0040431A" w:rsidRDefault="00757287" w:rsidP="00757287">
      <w:pPr>
        <w:numPr>
          <w:ilvl w:val="2"/>
          <w:numId w:val="4"/>
        </w:numPr>
        <w:tabs>
          <w:tab w:val="clear" w:pos="720"/>
        </w:tabs>
        <w:spacing w:after="60"/>
        <w:ind w:left="1134" w:hanging="436"/>
        <w:rPr>
          <w:szCs w:val="24"/>
        </w:rPr>
      </w:pPr>
      <w:r w:rsidRPr="0040431A">
        <w:rPr>
          <w:szCs w:val="24"/>
        </w:rPr>
        <w:t xml:space="preserve">If the </w:t>
      </w:r>
      <w:r w:rsidR="004F66BD" w:rsidRPr="0040431A">
        <w:rPr>
          <w:szCs w:val="24"/>
        </w:rPr>
        <w:t>person</w:t>
      </w:r>
      <w:r w:rsidRPr="0040431A">
        <w:rPr>
          <w:szCs w:val="24"/>
        </w:rPr>
        <w:t xml:space="preserve"> terminates employment more than six months and less than twelve months from the date of their </w:t>
      </w:r>
      <w:r w:rsidR="004F66BD" w:rsidRPr="0040431A">
        <w:rPr>
          <w:szCs w:val="24"/>
        </w:rPr>
        <w:t>appointment</w:t>
      </w:r>
      <w:r w:rsidRPr="0040431A">
        <w:rPr>
          <w:szCs w:val="24"/>
        </w:rPr>
        <w:t xml:space="preserve">—50% of the amount reimbursed under section </w:t>
      </w:r>
      <w:r w:rsidR="004F75A6" w:rsidRPr="0040431A">
        <w:rPr>
          <w:szCs w:val="24"/>
        </w:rPr>
        <w:t>9</w:t>
      </w:r>
      <w:r w:rsidRPr="0040431A">
        <w:rPr>
          <w:szCs w:val="24"/>
        </w:rPr>
        <w:t>.3.</w:t>
      </w:r>
    </w:p>
    <w:p w14:paraId="7F3487F7" w14:textId="1901CB48" w:rsidR="00757287" w:rsidRPr="00540F3A" w:rsidRDefault="00757287" w:rsidP="00757287">
      <w:pPr>
        <w:spacing w:before="80" w:after="60"/>
        <w:ind w:left="709"/>
        <w:rPr>
          <w:color w:val="000000" w:themeColor="text1"/>
          <w:szCs w:val="24"/>
        </w:rPr>
      </w:pPr>
      <w:r w:rsidRPr="00540F3A">
        <w:rPr>
          <w:color w:val="000000" w:themeColor="text1"/>
          <w:szCs w:val="24"/>
        </w:rPr>
        <w:t>Note: Relocation allowance does not apply to any expenses incurred at the conclusion of employment with the Territory.</w:t>
      </w:r>
    </w:p>
    <w:p w14:paraId="310FBA62" w14:textId="77777777" w:rsidR="00746C96" w:rsidRPr="0040603C" w:rsidRDefault="00746C96" w:rsidP="00746C96">
      <w:pPr>
        <w:pStyle w:val="Heading3"/>
        <w:keepLines w:val="0"/>
        <w:ind w:left="709" w:hanging="709"/>
        <w:rPr>
          <w:rFonts w:cs="Arial"/>
          <w:szCs w:val="26"/>
        </w:rPr>
      </w:pPr>
      <w:r>
        <w:rPr>
          <w:rFonts w:cs="Arial"/>
          <w:szCs w:val="26"/>
        </w:rPr>
        <w:t>Other entitlements</w:t>
      </w:r>
    </w:p>
    <w:p w14:paraId="436E00B1" w14:textId="77777777" w:rsidR="00746C96" w:rsidRPr="00746C96" w:rsidRDefault="00746C96" w:rsidP="00746C96">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6E1D5DE4" w14:textId="77777777" w:rsidR="00746C96" w:rsidRPr="001F472A" w:rsidRDefault="00746C96" w:rsidP="00746C96">
      <w:pPr>
        <w:numPr>
          <w:ilvl w:val="2"/>
          <w:numId w:val="4"/>
        </w:numPr>
        <w:tabs>
          <w:tab w:val="clear" w:pos="720"/>
        </w:tabs>
        <w:spacing w:after="60"/>
        <w:ind w:left="1134" w:hanging="436"/>
      </w:pPr>
      <w:r>
        <w:t>part 3.6 (recognition of prior service on appointment or engagement);</w:t>
      </w:r>
    </w:p>
    <w:p w14:paraId="77A7DAA0" w14:textId="77777777" w:rsidR="00746C96" w:rsidRPr="001F472A" w:rsidRDefault="00746C96" w:rsidP="00746C96">
      <w:pPr>
        <w:numPr>
          <w:ilvl w:val="2"/>
          <w:numId w:val="4"/>
        </w:numPr>
        <w:tabs>
          <w:tab w:val="clear" w:pos="720"/>
        </w:tabs>
        <w:spacing w:after="60"/>
        <w:ind w:left="1134" w:hanging="436"/>
      </w:pPr>
      <w:r>
        <w:t>part 4.1 (continuity of service);</w:t>
      </w:r>
    </w:p>
    <w:p w14:paraId="7D7B346B" w14:textId="77777777" w:rsidR="00746C96" w:rsidRPr="001F472A" w:rsidRDefault="00746C96" w:rsidP="00746C96">
      <w:pPr>
        <w:numPr>
          <w:ilvl w:val="2"/>
          <w:numId w:val="4"/>
        </w:numPr>
        <w:tabs>
          <w:tab w:val="clear" w:pos="720"/>
        </w:tabs>
        <w:spacing w:after="60"/>
        <w:ind w:left="1134" w:hanging="436"/>
      </w:pPr>
      <w:r>
        <w:t>part 5.5 (payment in lieu of entitlements on cessation of employment or death);</w:t>
      </w:r>
    </w:p>
    <w:p w14:paraId="07A7EAF8" w14:textId="1866099F" w:rsidR="00746C96" w:rsidRDefault="00746C96" w:rsidP="00F92A75">
      <w:pPr>
        <w:numPr>
          <w:ilvl w:val="2"/>
          <w:numId w:val="4"/>
        </w:numPr>
        <w:tabs>
          <w:tab w:val="clear" w:pos="720"/>
        </w:tabs>
        <w:spacing w:after="60"/>
        <w:ind w:left="1134" w:hanging="436"/>
      </w:pPr>
      <w:r>
        <w:t>part 9.4 (statutory office-holder financial entitlements); and</w:t>
      </w:r>
    </w:p>
    <w:p w14:paraId="4FEDD8FA" w14:textId="77777777" w:rsidR="00746C96" w:rsidRDefault="00746C96" w:rsidP="00746C96">
      <w:pPr>
        <w:numPr>
          <w:ilvl w:val="2"/>
          <w:numId w:val="4"/>
        </w:numPr>
        <w:tabs>
          <w:tab w:val="clear" w:pos="720"/>
        </w:tabs>
        <w:spacing w:after="60"/>
        <w:ind w:left="1134" w:hanging="436"/>
      </w:pPr>
      <w:proofErr w:type="gramStart"/>
      <w:r>
        <w:t>part</w:t>
      </w:r>
      <w:proofErr w:type="gramEnd"/>
      <w:r>
        <w:t xml:space="preserve"> 9.6 (executive employee and statutory office-holder leave and other entitlements).</w:t>
      </w:r>
    </w:p>
    <w:p w14:paraId="75313317" w14:textId="1945AD9E" w:rsidR="00BD5F55" w:rsidRDefault="00BD5F55" w:rsidP="00BD5F55">
      <w:pPr>
        <w:numPr>
          <w:ilvl w:val="1"/>
          <w:numId w:val="4"/>
        </w:numPr>
        <w:tabs>
          <w:tab w:val="clear" w:pos="720"/>
        </w:tabs>
        <w:spacing w:before="80" w:after="60"/>
        <w:ind w:left="709" w:hanging="709"/>
      </w:pPr>
      <w:r>
        <w:t>Leave entitlements, salary sacrifice arrangements and vacation childcare subsidy are provided to executives under Division 5.6 of the Public Sector Management Standards 2016</w:t>
      </w:r>
      <w:r w:rsidR="00D10381">
        <w:t>, as amended from time to time</w:t>
      </w:r>
      <w:r>
        <w:t>.</w:t>
      </w:r>
    </w:p>
    <w:p w14:paraId="72A9C117" w14:textId="77777777" w:rsidR="0069220A" w:rsidRPr="0040603C" w:rsidRDefault="0069220A" w:rsidP="00031CFC">
      <w:pPr>
        <w:pStyle w:val="Heading3"/>
        <w:keepLines w:val="0"/>
        <w:ind w:left="709" w:hanging="709"/>
        <w:rPr>
          <w:rFonts w:cs="Arial"/>
          <w:szCs w:val="26"/>
        </w:rPr>
      </w:pPr>
      <w:r w:rsidRPr="0040603C">
        <w:rPr>
          <w:rFonts w:cs="Arial"/>
          <w:szCs w:val="26"/>
        </w:rPr>
        <w:t xml:space="preserve">Travelling </w:t>
      </w:r>
      <w:r w:rsidR="004F0900">
        <w:rPr>
          <w:rFonts w:cs="Arial"/>
          <w:szCs w:val="26"/>
        </w:rPr>
        <w:t>arrangements</w:t>
      </w:r>
    </w:p>
    <w:p w14:paraId="75617A20" w14:textId="77777777" w:rsidR="0069220A" w:rsidRPr="00EE36F5" w:rsidRDefault="0069220A" w:rsidP="0069220A">
      <w:pPr>
        <w:numPr>
          <w:ilvl w:val="1"/>
          <w:numId w:val="4"/>
        </w:numPr>
        <w:tabs>
          <w:tab w:val="clear" w:pos="720"/>
          <w:tab w:val="num" w:pos="0"/>
        </w:tabs>
        <w:spacing w:before="80" w:after="60"/>
        <w:ind w:left="709" w:hanging="709"/>
      </w:pPr>
      <w:r w:rsidRPr="00EE36F5">
        <w:t>In this clause:</w:t>
      </w:r>
    </w:p>
    <w:p w14:paraId="3ECADD93" w14:textId="77777777" w:rsidR="005720DA" w:rsidRPr="00470D11" w:rsidRDefault="005720DA" w:rsidP="005720DA">
      <w:pPr>
        <w:pStyle w:val="Heading3"/>
        <w:numPr>
          <w:ilvl w:val="0"/>
          <w:numId w:val="0"/>
        </w:numPr>
        <w:ind w:left="720"/>
      </w:pPr>
      <w:proofErr w:type="gramStart"/>
      <w:r w:rsidRPr="00470D11">
        <w:rPr>
          <w:i/>
        </w:rPr>
        <w:t>home</w:t>
      </w:r>
      <w:proofErr w:type="gramEnd"/>
      <w:r w:rsidRPr="00470D11">
        <w:rPr>
          <w:i/>
        </w:rPr>
        <w:t xml:space="preserve"> base</w:t>
      </w:r>
      <w:r w:rsidRPr="00470D11">
        <w:t xml:space="preserve"> </w:t>
      </w:r>
      <w:r w:rsidRPr="00DD7BAC">
        <w:rPr>
          <w:b w:val="0"/>
        </w:rPr>
        <w:t>means the town or city in which the traveller’s principal place of residence is located.</w:t>
      </w:r>
    </w:p>
    <w:p w14:paraId="379717AF" w14:textId="77777777" w:rsidR="0069220A" w:rsidRDefault="0069220A" w:rsidP="0069220A">
      <w:pPr>
        <w:spacing w:before="8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14:paraId="3A746A5E" w14:textId="77777777" w:rsidR="0069220A" w:rsidRDefault="0069220A" w:rsidP="0069220A">
      <w:pPr>
        <w:spacing w:before="80"/>
        <w:ind w:left="709"/>
        <w:jc w:val="both"/>
      </w:pPr>
      <w:proofErr w:type="gramStart"/>
      <w:r>
        <w:rPr>
          <w:b/>
          <w:i/>
        </w:rPr>
        <w:t>i</w:t>
      </w:r>
      <w:r w:rsidRPr="00EE36F5">
        <w:rPr>
          <w:b/>
          <w:i/>
        </w:rPr>
        <w:t>nternational</w:t>
      </w:r>
      <w:proofErr w:type="gramEnd"/>
      <w:r w:rsidRPr="00EE36F5">
        <w:rPr>
          <w:b/>
          <w:i/>
        </w:rPr>
        <w:t xml:space="preserve"> travel</w:t>
      </w:r>
      <w:r>
        <w:t xml:space="preserve"> means official travel to a destination outside Australia.</w:t>
      </w:r>
    </w:p>
    <w:p w14:paraId="1F21712A" w14:textId="77777777" w:rsidR="0069220A" w:rsidRPr="0040431A" w:rsidRDefault="0069220A" w:rsidP="0069220A">
      <w:pPr>
        <w:spacing w:before="80" w:after="60"/>
        <w:ind w:left="709"/>
        <w:jc w:val="both"/>
      </w:pPr>
      <w:proofErr w:type="gramStart"/>
      <w:r w:rsidRPr="0040431A">
        <w:rPr>
          <w:b/>
          <w:i/>
        </w:rPr>
        <w:t>reasonable</w:t>
      </w:r>
      <w:proofErr w:type="gramEnd"/>
      <w:r w:rsidRPr="0040431A">
        <w:rPr>
          <w:b/>
          <w:i/>
        </w:rPr>
        <w:t xml:space="preserve"> expenses </w:t>
      </w:r>
      <w:r w:rsidRPr="0040431A">
        <w:t>means legitimate work-related expenses incurred while conducting official business efficiently and effectively.</w:t>
      </w:r>
    </w:p>
    <w:p w14:paraId="60FF2A01" w14:textId="35E89817" w:rsidR="00EA644C" w:rsidRPr="0040431A" w:rsidRDefault="00EA644C" w:rsidP="00EA644C">
      <w:pPr>
        <w:spacing w:before="80" w:after="60"/>
        <w:ind w:left="709"/>
        <w:jc w:val="both"/>
      </w:pPr>
      <w:proofErr w:type="gramStart"/>
      <w:r w:rsidRPr="0040431A">
        <w:rPr>
          <w:b/>
          <w:i/>
        </w:rPr>
        <w:t>traveller</w:t>
      </w:r>
      <w:proofErr w:type="gramEnd"/>
      <w:r w:rsidRPr="0040431A">
        <w:rPr>
          <w:b/>
          <w:i/>
        </w:rPr>
        <w:t xml:space="preserve"> </w:t>
      </w:r>
      <w:r w:rsidRPr="0040431A">
        <w:t xml:space="preserve">means a person, appointed </w:t>
      </w:r>
      <w:r w:rsidR="003B0856" w:rsidRPr="0040431A">
        <w:t xml:space="preserve">to an office listed in </w:t>
      </w:r>
      <w:r w:rsidRPr="0040431A">
        <w:t>clause 2.1 of this Determination, who is travelling away from their normal place of work for official purposes.</w:t>
      </w:r>
    </w:p>
    <w:p w14:paraId="255D94AF" w14:textId="77777777" w:rsidR="005720DA" w:rsidRPr="00470D11" w:rsidRDefault="005720DA" w:rsidP="005720DA">
      <w:pPr>
        <w:numPr>
          <w:ilvl w:val="1"/>
          <w:numId w:val="4"/>
        </w:numPr>
        <w:tabs>
          <w:tab w:val="clear" w:pos="720"/>
          <w:tab w:val="num" w:pos="0"/>
        </w:tabs>
        <w:spacing w:before="80" w:after="60"/>
        <w:ind w:left="709" w:hanging="709"/>
        <w:rPr>
          <w:color w:val="000000" w:themeColor="text1"/>
        </w:rPr>
      </w:pPr>
      <w:r w:rsidRPr="00470D11">
        <w:rPr>
          <w:color w:val="000000" w:themeColor="text1"/>
        </w:rPr>
        <w:lastRenderedPageBreak/>
        <w:t>If a traveller is required to travel for official purposes, the employer must pay the cost of the transport and accommodation expenses outlined below. The reasonable amounts set out in the relevant Australian Taxation Office Determination</w:t>
      </w:r>
      <w:r w:rsidRPr="00470D11">
        <w:rPr>
          <w:rStyle w:val="FootnoteReference"/>
          <w:rFonts w:asciiTheme="minorHAnsi" w:hAnsiTheme="minorHAnsi"/>
          <w:color w:val="000000" w:themeColor="text1"/>
        </w:rPr>
        <w:footnoteReference w:id="5"/>
      </w:r>
      <w:r w:rsidRPr="00470D11">
        <w:rPr>
          <w:rFonts w:asciiTheme="minorHAnsi" w:hAnsiTheme="minorHAnsi"/>
          <w:color w:val="000000" w:themeColor="text1"/>
        </w:rPr>
        <w:t xml:space="preserve"> </w:t>
      </w:r>
      <w:r w:rsidRPr="00470D11">
        <w:rPr>
          <w:color w:val="000000" w:themeColor="text1"/>
        </w:rPr>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3E21AB50" w14:textId="77777777" w:rsidR="0069220A" w:rsidRPr="00EA04F4" w:rsidRDefault="001C79EF" w:rsidP="0069220A">
      <w:pPr>
        <w:numPr>
          <w:ilvl w:val="1"/>
          <w:numId w:val="4"/>
        </w:numPr>
        <w:tabs>
          <w:tab w:val="clear" w:pos="720"/>
          <w:tab w:val="num" w:pos="0"/>
        </w:tabs>
        <w:spacing w:before="80" w:after="60"/>
        <w:ind w:left="709" w:hanging="709"/>
      </w:pPr>
      <w:r>
        <w:t>All reasonable expenses incurred by a traveller can be reimbursed. It is the intention of these travel arrangements</w:t>
      </w:r>
      <w:r>
        <w:rPr>
          <w:rFonts w:eastAsia="Calibri"/>
          <w:szCs w:val="24"/>
        </w:rPr>
        <w:t xml:space="preserve"> that no traveller who travels for official purposes should be out of pocket, however they must be reasonable expenses. </w:t>
      </w:r>
    </w:p>
    <w:p w14:paraId="2CB5E831" w14:textId="77777777" w:rsidR="0069220A" w:rsidRPr="0040603C" w:rsidRDefault="0069220A" w:rsidP="00031CFC">
      <w:pPr>
        <w:pStyle w:val="Heading3"/>
        <w:keepLines w:val="0"/>
        <w:ind w:left="709" w:hanging="709"/>
        <w:rPr>
          <w:rFonts w:cs="Arial"/>
          <w:szCs w:val="26"/>
        </w:rPr>
      </w:pPr>
      <w:r w:rsidRPr="0040603C">
        <w:rPr>
          <w:rFonts w:cs="Arial"/>
          <w:szCs w:val="26"/>
        </w:rPr>
        <w:t>Travel</w:t>
      </w:r>
    </w:p>
    <w:p w14:paraId="59996841" w14:textId="77777777" w:rsidR="00BB5E73" w:rsidRDefault="00BB5E73" w:rsidP="0069220A">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6D417840" w14:textId="77777777" w:rsidR="0069220A" w:rsidRDefault="001461C0" w:rsidP="0069220A">
      <w:pPr>
        <w:numPr>
          <w:ilvl w:val="1"/>
          <w:numId w:val="4"/>
        </w:numPr>
        <w:tabs>
          <w:tab w:val="clear" w:pos="720"/>
          <w:tab w:val="num" w:pos="0"/>
        </w:tabs>
        <w:spacing w:before="80" w:after="60"/>
        <w:ind w:left="709" w:hanging="709"/>
      </w:pPr>
      <w:r>
        <w:t>A</w:t>
      </w:r>
      <w:r w:rsidR="00BB5E73">
        <w:t xml:space="preserve"> </w:t>
      </w:r>
      <w:r w:rsidR="0098544D">
        <w:t xml:space="preserve">traveller </w:t>
      </w:r>
      <w:r w:rsidR="0069220A">
        <w:t>may travel by one or more of the following:</w:t>
      </w:r>
    </w:p>
    <w:p w14:paraId="03AF2C02" w14:textId="77777777" w:rsidR="0069220A" w:rsidRDefault="0069220A" w:rsidP="0069220A">
      <w:pPr>
        <w:numPr>
          <w:ilvl w:val="2"/>
          <w:numId w:val="4"/>
        </w:numPr>
        <w:tabs>
          <w:tab w:val="clear" w:pos="720"/>
        </w:tabs>
        <w:spacing w:after="60"/>
        <w:ind w:left="1134" w:hanging="436"/>
      </w:pPr>
      <w:r>
        <w:t xml:space="preserve">commercially provided road or rail transport; </w:t>
      </w:r>
    </w:p>
    <w:p w14:paraId="72380CD5" w14:textId="77777777" w:rsidR="0069220A" w:rsidRDefault="0069220A" w:rsidP="0069220A">
      <w:pPr>
        <w:numPr>
          <w:ilvl w:val="2"/>
          <w:numId w:val="4"/>
        </w:numPr>
        <w:tabs>
          <w:tab w:val="clear" w:pos="720"/>
        </w:tabs>
        <w:spacing w:after="60"/>
        <w:ind w:left="1134" w:hanging="436"/>
      </w:pPr>
      <w:r>
        <w:t>commercially provided flights;</w:t>
      </w:r>
    </w:p>
    <w:p w14:paraId="6B514BDA" w14:textId="77777777" w:rsidR="0069220A" w:rsidRDefault="0069220A" w:rsidP="0069220A">
      <w:pPr>
        <w:numPr>
          <w:ilvl w:val="2"/>
          <w:numId w:val="4"/>
        </w:numPr>
        <w:tabs>
          <w:tab w:val="clear" w:pos="720"/>
        </w:tabs>
        <w:spacing w:after="60"/>
        <w:ind w:left="1134" w:hanging="436"/>
      </w:pPr>
      <w:proofErr w:type="gramStart"/>
      <w:r>
        <w:t>private</w:t>
      </w:r>
      <w:proofErr w:type="gramEnd"/>
      <w:r>
        <w:t xml:space="preserve"> motor vehicle.</w:t>
      </w:r>
    </w:p>
    <w:p w14:paraId="28D7C96E" w14:textId="77777777" w:rsidR="0069220A" w:rsidRDefault="0069220A" w:rsidP="0069220A">
      <w:pPr>
        <w:numPr>
          <w:ilvl w:val="1"/>
          <w:numId w:val="4"/>
        </w:numPr>
        <w:tabs>
          <w:tab w:val="clear" w:pos="720"/>
          <w:tab w:val="num" w:pos="0"/>
        </w:tabs>
        <w:spacing w:before="80" w:after="60"/>
        <w:ind w:left="709" w:hanging="709"/>
      </w:pPr>
      <w:r>
        <w:t>Commercially provided travel should be selected on the basis of</w:t>
      </w:r>
      <w:r w:rsidRPr="00E433F0">
        <w:rPr>
          <w:rFonts w:eastAsia="Calibri"/>
          <w:szCs w:val="24"/>
        </w:rPr>
        <w:t>—</w:t>
      </w:r>
    </w:p>
    <w:p w14:paraId="795755B4" w14:textId="77777777" w:rsidR="0069220A" w:rsidRDefault="0069220A" w:rsidP="0069220A">
      <w:pPr>
        <w:numPr>
          <w:ilvl w:val="2"/>
          <w:numId w:val="4"/>
        </w:numPr>
        <w:tabs>
          <w:tab w:val="clear" w:pos="720"/>
        </w:tabs>
        <w:spacing w:after="60"/>
        <w:ind w:left="1134" w:hanging="436"/>
      </w:pPr>
      <w:r>
        <w:t xml:space="preserve">what is most convenient to the </w:t>
      </w:r>
      <w:r w:rsidR="00BB5E73">
        <w:rPr>
          <w:szCs w:val="24"/>
        </w:rPr>
        <w:t>person</w:t>
      </w:r>
      <w:r>
        <w:t>; and</w:t>
      </w:r>
    </w:p>
    <w:p w14:paraId="267FC4F1" w14:textId="77777777" w:rsidR="0069220A" w:rsidRDefault="0069220A" w:rsidP="0069220A">
      <w:pPr>
        <w:numPr>
          <w:ilvl w:val="2"/>
          <w:numId w:val="4"/>
        </w:numPr>
        <w:tabs>
          <w:tab w:val="clear" w:pos="720"/>
        </w:tabs>
        <w:spacing w:after="60"/>
        <w:ind w:left="1134" w:hanging="436"/>
      </w:pPr>
      <w:proofErr w:type="gramStart"/>
      <w:r>
        <w:t>seeking</w:t>
      </w:r>
      <w:proofErr w:type="gramEnd"/>
      <w:r>
        <w:t xml:space="preserve"> the most reasonable costs.</w:t>
      </w:r>
    </w:p>
    <w:p w14:paraId="0EB3106B" w14:textId="77777777" w:rsidR="0069220A" w:rsidRDefault="001461C0" w:rsidP="0069220A">
      <w:pPr>
        <w:numPr>
          <w:ilvl w:val="1"/>
          <w:numId w:val="4"/>
        </w:numPr>
        <w:tabs>
          <w:tab w:val="clear" w:pos="720"/>
          <w:tab w:val="num" w:pos="0"/>
        </w:tabs>
        <w:spacing w:before="80" w:after="60"/>
        <w:ind w:left="709" w:hanging="709"/>
      </w:pPr>
      <w:r>
        <w:t xml:space="preserve">If </w:t>
      </w:r>
      <w:r w:rsidR="00FA5F23">
        <w:rPr>
          <w:szCs w:val="24"/>
        </w:rPr>
        <w:t>a</w:t>
      </w:r>
      <w:r w:rsidR="00FA5F23">
        <w:t xml:space="preserve"> </w:t>
      </w:r>
      <w:r w:rsidR="0098544D">
        <w:t xml:space="preserve">traveller </w:t>
      </w:r>
      <w:r w:rsidR="0069220A">
        <w:t>travels on commercially provided road or rail transport the employer will pay the fares for that travel.</w:t>
      </w:r>
    </w:p>
    <w:p w14:paraId="06899B90" w14:textId="675D8958" w:rsidR="00BF7D35" w:rsidRPr="001012E5" w:rsidRDefault="00BF7D35" w:rsidP="00BF7D35">
      <w:pPr>
        <w:numPr>
          <w:ilvl w:val="1"/>
          <w:numId w:val="4"/>
        </w:numPr>
        <w:tabs>
          <w:tab w:val="clear" w:pos="720"/>
          <w:tab w:val="num" w:pos="0"/>
        </w:tabs>
        <w:spacing w:before="80" w:after="60"/>
        <w:ind w:left="709" w:hanging="709"/>
      </w:pPr>
      <w:r w:rsidRPr="001012E5">
        <w:t xml:space="preserve">A </w:t>
      </w:r>
      <w:r w:rsidR="0098544D" w:rsidRPr="001012E5">
        <w:t>traveller</w:t>
      </w:r>
      <w:r w:rsidRPr="001012E5">
        <w:t xml:space="preserve"> </w:t>
      </w:r>
      <w:r w:rsidR="00BC44F7">
        <w:t>must</w:t>
      </w:r>
      <w:r w:rsidR="00BC44F7" w:rsidRPr="001012E5">
        <w:t xml:space="preserve"> </w:t>
      </w:r>
      <w:r w:rsidRPr="001012E5">
        <w:t>use the Territory’s travel manager, which has been procured through a competitive process, as a preferred provider of travel and related services. The travel manager has been instructed to book all travel at the lowest logical fare.</w:t>
      </w:r>
    </w:p>
    <w:p w14:paraId="682189C0" w14:textId="77777777" w:rsidR="0069220A" w:rsidRDefault="0069220A" w:rsidP="0069220A">
      <w:pPr>
        <w:keepNext/>
        <w:keepLines/>
        <w:numPr>
          <w:ilvl w:val="1"/>
          <w:numId w:val="4"/>
        </w:numPr>
        <w:tabs>
          <w:tab w:val="clear" w:pos="720"/>
          <w:tab w:val="num" w:pos="0"/>
        </w:tabs>
        <w:spacing w:before="80" w:after="60"/>
        <w:ind w:left="709" w:hanging="709"/>
      </w:pPr>
      <w:r>
        <w:t xml:space="preserve">If </w:t>
      </w:r>
      <w:r w:rsidR="00FA5F23">
        <w:rPr>
          <w:szCs w:val="24"/>
        </w:rPr>
        <w:t xml:space="preserve">a </w:t>
      </w:r>
      <w:r w:rsidR="0098544D">
        <w:t>traveller</w:t>
      </w:r>
      <w:r w:rsidR="00BB5E73">
        <w:t xml:space="preserve"> </w:t>
      </w:r>
      <w:r>
        <w:t>travels on commercially provided flights</w:t>
      </w:r>
      <w:r w:rsidR="00BF7D35">
        <w:t>,</w:t>
      </w:r>
      <w:r>
        <w:t xml:space="preserve"> the employer will pay the fares to the following standard:</w:t>
      </w:r>
    </w:p>
    <w:p w14:paraId="69AE6B8E" w14:textId="77777777"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—economy class;</w:t>
      </w:r>
    </w:p>
    <w:p w14:paraId="63611A80" w14:textId="77777777"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—business class;</w:t>
      </w:r>
    </w:p>
    <w:p w14:paraId="1F427A44" w14:textId="77777777" w:rsidR="0069220A" w:rsidRDefault="0069220A" w:rsidP="0069220A">
      <w:pPr>
        <w:keepNext/>
        <w:keepLines/>
        <w:numPr>
          <w:ilvl w:val="2"/>
          <w:numId w:val="4"/>
        </w:numPr>
        <w:tabs>
          <w:tab w:val="clear" w:pos="720"/>
        </w:tabs>
        <w:spacing w:after="60"/>
        <w:ind w:left="1134" w:hanging="436"/>
      </w:pPr>
      <w:proofErr w:type="gramStart"/>
      <w:r w:rsidRPr="00E433F0">
        <w:rPr>
          <w:rFonts w:eastAsia="Calibri"/>
          <w:szCs w:val="24"/>
        </w:rPr>
        <w:t>for</w:t>
      </w:r>
      <w:proofErr w:type="gramEnd"/>
      <w:r w:rsidRPr="00E433F0">
        <w:rPr>
          <w:rFonts w:eastAsia="Calibri"/>
          <w:szCs w:val="24"/>
        </w:rPr>
        <w:t xml:space="preserve"> international flights—business class.</w:t>
      </w:r>
    </w:p>
    <w:p w14:paraId="54594D68" w14:textId="598FE8E6" w:rsidR="0069220A" w:rsidRDefault="0069220A" w:rsidP="0069220A">
      <w:pPr>
        <w:numPr>
          <w:ilvl w:val="1"/>
          <w:numId w:val="4"/>
        </w:numPr>
        <w:tabs>
          <w:tab w:val="clear" w:pos="720"/>
          <w:tab w:val="num" w:pos="0"/>
        </w:tabs>
        <w:spacing w:before="80" w:after="60"/>
        <w:ind w:left="709" w:hanging="709"/>
      </w:pPr>
      <w:r>
        <w:t>If</w:t>
      </w:r>
      <w:r w:rsidR="00FA5F23">
        <w:t xml:space="preserve"> a </w:t>
      </w:r>
      <w:r w:rsidR="0098544D">
        <w:t>traveller</w:t>
      </w:r>
      <w:r w:rsidR="00BF7D35">
        <w:t xml:space="preserve"> </w:t>
      </w:r>
      <w:r>
        <w:t xml:space="preserve">has approval to travel by private motor vehicle, the employer will pay the owner of the vehicle an allowance calculated in accordance with the Motor Vehicle Allowance set out in the </w:t>
      </w:r>
      <w:r w:rsidRPr="005638C6">
        <w:rPr>
          <w:i/>
        </w:rPr>
        <w:t xml:space="preserve">ACT Public Service Administrative and Related </w:t>
      </w:r>
      <w:r w:rsidRPr="0040431A">
        <w:rPr>
          <w:i/>
        </w:rPr>
        <w:t>Classifications Enterprise Agreement 20</w:t>
      </w:r>
      <w:r w:rsidR="004F75A6" w:rsidRPr="0040431A">
        <w:rPr>
          <w:i/>
        </w:rPr>
        <w:t>18</w:t>
      </w:r>
      <w:r w:rsidRPr="0040431A">
        <w:rPr>
          <w:i/>
        </w:rPr>
        <w:t>-20</w:t>
      </w:r>
      <w:r w:rsidR="004F75A6" w:rsidRPr="0040431A">
        <w:rPr>
          <w:i/>
        </w:rPr>
        <w:t>21</w:t>
      </w:r>
      <w:r w:rsidR="00BF7D35" w:rsidRPr="0040431A">
        <w:t>, or its</w:t>
      </w:r>
      <w:r w:rsidR="00D75FE9" w:rsidRPr="0040431A">
        <w:t xml:space="preserve"> replacement</w:t>
      </w:r>
      <w:r w:rsidRPr="0040431A">
        <w:t>.</w:t>
      </w:r>
    </w:p>
    <w:p w14:paraId="00FB6C4C" w14:textId="77777777" w:rsidR="0069220A" w:rsidRPr="0040603C" w:rsidRDefault="0069220A" w:rsidP="00031CFC">
      <w:pPr>
        <w:pStyle w:val="Heading3"/>
        <w:keepLines w:val="0"/>
        <w:ind w:left="709" w:hanging="709"/>
        <w:rPr>
          <w:rFonts w:cs="Arial"/>
          <w:szCs w:val="26"/>
        </w:rPr>
      </w:pPr>
      <w:r w:rsidRPr="0040603C">
        <w:rPr>
          <w:rFonts w:cs="Arial"/>
          <w:szCs w:val="26"/>
        </w:rPr>
        <w:t>Accommodation</w:t>
      </w:r>
    </w:p>
    <w:p w14:paraId="48764719" w14:textId="77777777" w:rsidR="0069220A" w:rsidRDefault="004F0900" w:rsidP="0069220A">
      <w:pPr>
        <w:numPr>
          <w:ilvl w:val="1"/>
          <w:numId w:val="4"/>
        </w:numPr>
        <w:tabs>
          <w:tab w:val="clear" w:pos="720"/>
          <w:tab w:val="num" w:pos="0"/>
        </w:tabs>
        <w:spacing w:before="80" w:after="60"/>
        <w:ind w:left="709" w:hanging="709"/>
      </w:pPr>
      <w:r>
        <w:t xml:space="preserve">It is standard practice that where </w:t>
      </w:r>
      <w:r w:rsidR="000556CB">
        <w:t xml:space="preserve">an </w:t>
      </w:r>
      <w:r w:rsidR="0098544D">
        <w:t>executive traveller</w:t>
      </w:r>
      <w:r w:rsidR="000556CB">
        <w:t xml:space="preserve"> </w:t>
      </w:r>
      <w:r w:rsidR="0069220A">
        <w:t>must stay overnight while on official travel, the employer will pay for commercial accommodation to the following standard:</w:t>
      </w:r>
    </w:p>
    <w:p w14:paraId="7C92595B" w14:textId="77777777" w:rsidR="0069220A" w:rsidRDefault="0069220A" w:rsidP="0069220A">
      <w:pPr>
        <w:numPr>
          <w:ilvl w:val="2"/>
          <w:numId w:val="4"/>
        </w:numPr>
        <w:tabs>
          <w:tab w:val="clear" w:pos="720"/>
        </w:tabs>
        <w:spacing w:after="60"/>
        <w:ind w:left="1134" w:hanging="436"/>
      </w:pPr>
      <w:r>
        <w:lastRenderedPageBreak/>
        <w:t>for domestic accommodation</w:t>
      </w:r>
      <w:r w:rsidRPr="00E433F0">
        <w:rPr>
          <w:rFonts w:eastAsia="Calibri"/>
          <w:szCs w:val="24"/>
        </w:rPr>
        <w:t>—4.5 stars;</w:t>
      </w:r>
    </w:p>
    <w:p w14:paraId="157AE41C" w14:textId="77777777" w:rsidR="0069220A" w:rsidRPr="00E503D2" w:rsidRDefault="0069220A" w:rsidP="0069220A">
      <w:pPr>
        <w:numPr>
          <w:ilvl w:val="2"/>
          <w:numId w:val="4"/>
        </w:numPr>
        <w:tabs>
          <w:tab w:val="clear" w:pos="720"/>
        </w:tabs>
        <w:spacing w:after="60"/>
        <w:ind w:left="1134" w:hanging="436"/>
      </w:pPr>
      <w:proofErr w:type="gramStart"/>
      <w:r>
        <w:t>for</w:t>
      </w:r>
      <w:proofErr w:type="gramEnd"/>
      <w:r>
        <w:t xml:space="preserve"> international accom</w:t>
      </w:r>
      <w:r w:rsidR="00102DCE">
        <w:t>mo</w:t>
      </w:r>
      <w:r>
        <w:t>dation</w:t>
      </w:r>
      <w:r w:rsidRPr="00E433F0">
        <w:rPr>
          <w:rFonts w:eastAsia="Calibri"/>
          <w:szCs w:val="24"/>
        </w:rPr>
        <w:t>—4.5 stars.</w:t>
      </w:r>
    </w:p>
    <w:p w14:paraId="268DB6F4" w14:textId="77777777" w:rsidR="0069220A" w:rsidRDefault="001461C0" w:rsidP="0069220A">
      <w:pPr>
        <w:numPr>
          <w:ilvl w:val="1"/>
          <w:numId w:val="4"/>
        </w:numPr>
        <w:tabs>
          <w:tab w:val="clear" w:pos="720"/>
          <w:tab w:val="num" w:pos="0"/>
        </w:tabs>
        <w:spacing w:before="80" w:after="60"/>
        <w:ind w:left="709" w:hanging="709"/>
      </w:pPr>
      <w:r>
        <w:t>The employer will pay for</w:t>
      </w:r>
      <w:r w:rsidR="0069220A">
        <w:t xml:space="preserve"> </w:t>
      </w:r>
      <w:r w:rsidR="00FA5F23">
        <w:t xml:space="preserve">a </w:t>
      </w:r>
      <w:r w:rsidR="0098544D">
        <w:t>traveller</w:t>
      </w:r>
      <w:r w:rsidR="0082575E">
        <w:t xml:space="preserve"> </w:t>
      </w:r>
      <w:r w:rsidR="0069220A">
        <w:t xml:space="preserve">to stay in commercial accommodation above </w:t>
      </w:r>
      <w:r w:rsidR="002F76C6">
        <w:t xml:space="preserve">the </w:t>
      </w:r>
      <w:r w:rsidR="00CE4B09">
        <w:t xml:space="preserve">4.5 star standard and the </w:t>
      </w:r>
      <w:r w:rsidR="002F76C6">
        <w:t xml:space="preserve">amounts set out in the relevant Australian Taxation Office </w:t>
      </w:r>
      <w:r w:rsidR="002F76C6" w:rsidRPr="00F90A96">
        <w:t>Determinations</w:t>
      </w:r>
      <w:r w:rsidR="002F76C6">
        <w:t>,</w:t>
      </w:r>
      <w:r w:rsidR="002F76C6" w:rsidRPr="00E433F0">
        <w:rPr>
          <w:rFonts w:eastAsia="Calibri"/>
          <w:szCs w:val="24"/>
        </w:rPr>
        <w:t xml:space="preserve"> </w:t>
      </w:r>
      <w:r w:rsidR="0069220A">
        <w:t>if</w:t>
      </w:r>
      <w:r w:rsidR="0069220A" w:rsidRPr="00E433F0">
        <w:rPr>
          <w:rFonts w:eastAsia="Calibri"/>
          <w:szCs w:val="24"/>
        </w:rPr>
        <w:t>—</w:t>
      </w:r>
    </w:p>
    <w:p w14:paraId="25B06BA2" w14:textId="77777777" w:rsidR="0069220A" w:rsidRDefault="0069220A" w:rsidP="0069220A">
      <w:pPr>
        <w:numPr>
          <w:ilvl w:val="2"/>
          <w:numId w:val="4"/>
        </w:numPr>
        <w:tabs>
          <w:tab w:val="clear" w:pos="720"/>
        </w:tabs>
        <w:spacing w:after="60"/>
        <w:ind w:left="1134" w:hanging="436"/>
      </w:pPr>
      <w:r>
        <w:t>the cost is reasonable; and</w:t>
      </w:r>
    </w:p>
    <w:p w14:paraId="7C1DFA24" w14:textId="77777777" w:rsidR="0069220A" w:rsidRDefault="0069220A" w:rsidP="0069220A">
      <w:pPr>
        <w:numPr>
          <w:ilvl w:val="2"/>
          <w:numId w:val="4"/>
        </w:numPr>
        <w:tabs>
          <w:tab w:val="clear" w:pos="720"/>
        </w:tabs>
        <w:spacing w:after="60"/>
        <w:ind w:left="1134" w:hanging="436"/>
      </w:pPr>
      <w:proofErr w:type="gramStart"/>
      <w:r>
        <w:t>to</w:t>
      </w:r>
      <w:proofErr w:type="gramEnd"/>
      <w:r>
        <w:t xml:space="preserve"> do so would better enable business objectives to be met.</w:t>
      </w:r>
    </w:p>
    <w:p w14:paraId="2512448B" w14:textId="77777777"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14:paraId="48DC5FF0" w14:textId="77777777" w:rsidR="0069220A" w:rsidRDefault="0069220A" w:rsidP="0082575E">
      <w:pPr>
        <w:pStyle w:val="ColorfulShading-Accent31"/>
        <w:keepNext/>
        <w:numPr>
          <w:ilvl w:val="0"/>
          <w:numId w:val="18"/>
        </w:numPr>
        <w:autoSpaceDE w:val="0"/>
        <w:autoSpaceDN w:val="0"/>
        <w:adjustRightInd w:val="0"/>
        <w:spacing w:after="60"/>
        <w:rPr>
          <w:sz w:val="20"/>
          <w:lang w:val="en-US"/>
        </w:rPr>
      </w:pPr>
      <w:r>
        <w:rPr>
          <w:sz w:val="20"/>
          <w:lang w:val="en-US"/>
        </w:rPr>
        <w:t xml:space="preserve">to allow </w:t>
      </w:r>
      <w:r w:rsidR="0082575E" w:rsidRPr="0082575E">
        <w:rPr>
          <w:sz w:val="20"/>
          <w:lang w:val="en-US"/>
        </w:rPr>
        <w:t xml:space="preserve">a </w:t>
      </w:r>
      <w:proofErr w:type="spellStart"/>
      <w:r w:rsidR="0098544D">
        <w:rPr>
          <w:sz w:val="20"/>
          <w:lang w:val="en-US"/>
        </w:rPr>
        <w:t>traveller</w:t>
      </w:r>
      <w:proofErr w:type="spellEnd"/>
      <w:r w:rsidR="0082575E" w:rsidRPr="0082575E">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r w:rsidR="001461C0">
        <w:rPr>
          <w:sz w:val="20"/>
          <w:lang w:val="en-US"/>
        </w:rPr>
        <w:t>;</w:t>
      </w:r>
    </w:p>
    <w:p w14:paraId="4959530D" w14:textId="77777777" w:rsidR="0069220A" w:rsidRDefault="001461C0" w:rsidP="0082575E">
      <w:pPr>
        <w:pStyle w:val="ColorfulShading-Accent31"/>
        <w:keepNext/>
        <w:numPr>
          <w:ilvl w:val="0"/>
          <w:numId w:val="18"/>
        </w:numPr>
        <w:autoSpaceDE w:val="0"/>
        <w:autoSpaceDN w:val="0"/>
        <w:adjustRightInd w:val="0"/>
        <w:spacing w:before="80" w:after="60"/>
        <w:rPr>
          <w:sz w:val="20"/>
          <w:lang w:val="en-US"/>
        </w:rPr>
      </w:pPr>
      <w:proofErr w:type="gramStart"/>
      <w:r>
        <w:rPr>
          <w:sz w:val="20"/>
          <w:lang w:val="en-US"/>
        </w:rPr>
        <w:t>to</w:t>
      </w:r>
      <w:proofErr w:type="gramEnd"/>
      <w:r>
        <w:rPr>
          <w:sz w:val="20"/>
          <w:lang w:val="en-US"/>
        </w:rPr>
        <w:t xml:space="preserve"> allow </w:t>
      </w:r>
      <w:r w:rsidR="0082575E" w:rsidRPr="0082575E">
        <w:rPr>
          <w:sz w:val="20"/>
          <w:lang w:val="en-US"/>
        </w:rPr>
        <w:t xml:space="preserve">a </w:t>
      </w:r>
      <w:proofErr w:type="spellStart"/>
      <w:r w:rsidR="0098544D">
        <w:rPr>
          <w:sz w:val="20"/>
          <w:lang w:val="en-US"/>
        </w:rPr>
        <w:t>traveller</w:t>
      </w:r>
      <w:proofErr w:type="spellEnd"/>
      <w:r w:rsidR="00BF7D35" w:rsidRPr="0082575E">
        <w:rPr>
          <w:sz w:val="20"/>
          <w:lang w:val="en-US"/>
        </w:rPr>
        <w:t xml:space="preserve"> </w:t>
      </w:r>
      <w:r w:rsidR="0069220A" w:rsidRPr="00534427">
        <w:rPr>
          <w:sz w:val="20"/>
          <w:lang w:val="en-US"/>
        </w:rPr>
        <w:t xml:space="preserve">who is traveling with </w:t>
      </w:r>
      <w:r w:rsidR="00BF7D35">
        <w:rPr>
          <w:sz w:val="20"/>
          <w:lang w:val="en-US"/>
        </w:rPr>
        <w:t xml:space="preserve">the Speaker or </w:t>
      </w:r>
      <w:r w:rsidR="0069220A" w:rsidRPr="00534427">
        <w:rPr>
          <w:sz w:val="20"/>
          <w:lang w:val="en-US"/>
        </w:rPr>
        <w:t xml:space="preserve">a Minister to stay in the same commercial accommodation as that </w:t>
      </w:r>
      <w:r w:rsidR="00BF7D35">
        <w:rPr>
          <w:sz w:val="20"/>
          <w:lang w:val="en-US"/>
        </w:rPr>
        <w:t>Speaker/</w:t>
      </w:r>
      <w:r w:rsidR="0069220A" w:rsidRPr="00534427">
        <w:rPr>
          <w:sz w:val="20"/>
          <w:lang w:val="en-US"/>
        </w:rPr>
        <w:t>Minister if they are entitled to a higher standard of accommodation</w:t>
      </w:r>
      <w:r w:rsidR="0069220A">
        <w:rPr>
          <w:sz w:val="20"/>
          <w:lang w:val="en-US"/>
        </w:rPr>
        <w:t>.</w:t>
      </w:r>
    </w:p>
    <w:p w14:paraId="02D403E6" w14:textId="77777777" w:rsidR="0069220A" w:rsidRPr="0040603C" w:rsidRDefault="0069220A" w:rsidP="00031CFC">
      <w:pPr>
        <w:pStyle w:val="Heading3"/>
        <w:keepLines w:val="0"/>
        <w:ind w:left="709" w:hanging="709"/>
        <w:rPr>
          <w:rFonts w:cs="Arial"/>
          <w:szCs w:val="26"/>
        </w:rPr>
      </w:pPr>
      <w:r w:rsidRPr="0040603C">
        <w:rPr>
          <w:rFonts w:cs="Arial"/>
          <w:szCs w:val="26"/>
        </w:rPr>
        <w:t>Meals</w:t>
      </w:r>
    </w:p>
    <w:p w14:paraId="1AA650CB" w14:textId="5BB3705D" w:rsidR="0069220A" w:rsidRDefault="0069220A" w:rsidP="0082575E">
      <w:pPr>
        <w:numPr>
          <w:ilvl w:val="1"/>
          <w:numId w:val="4"/>
        </w:numPr>
        <w:spacing w:before="80" w:after="60"/>
      </w:pPr>
      <w:r>
        <w:t xml:space="preserve">If </w:t>
      </w:r>
      <w:r w:rsidR="00BF7D35">
        <w:t xml:space="preserve">a </w:t>
      </w:r>
      <w:r w:rsidR="0098544D">
        <w:rPr>
          <w:szCs w:val="24"/>
        </w:rPr>
        <w:t>traveller</w:t>
      </w:r>
      <w:r w:rsidR="00BF7D35">
        <w:t xml:space="preserve"> </w:t>
      </w:r>
      <w:r>
        <w:t xml:space="preserve">is absent from </w:t>
      </w:r>
      <w:r w:rsidR="005720DA">
        <w:t xml:space="preserve">their home base </w:t>
      </w:r>
      <w:r>
        <w:t>for more than ten hours while on official travel</w:t>
      </w:r>
      <w:r w:rsidR="006B5738">
        <w:t xml:space="preserve">, </w:t>
      </w:r>
      <w:r>
        <w:t>the employer will reimburse actual, reasonable expenses for meals</w:t>
      </w:r>
      <w:r w:rsidR="00B83610">
        <w:t xml:space="preserve"> up to the amounts set out in the relevant Australian Taxation Office Determinations</w:t>
      </w:r>
      <w:r>
        <w:t>.</w:t>
      </w:r>
    </w:p>
    <w:p w14:paraId="7976451A" w14:textId="77777777" w:rsidR="0069220A" w:rsidRPr="0040603C" w:rsidRDefault="0069220A" w:rsidP="00031CFC">
      <w:pPr>
        <w:pStyle w:val="Heading3"/>
        <w:keepLines w:val="0"/>
        <w:ind w:left="709" w:hanging="709"/>
        <w:rPr>
          <w:rFonts w:cs="Arial"/>
          <w:szCs w:val="26"/>
        </w:rPr>
      </w:pPr>
      <w:r w:rsidRPr="0040603C">
        <w:rPr>
          <w:rFonts w:cs="Arial"/>
          <w:szCs w:val="26"/>
        </w:rPr>
        <w:t>Incidental expenses</w:t>
      </w:r>
    </w:p>
    <w:p w14:paraId="4945E09E" w14:textId="77777777" w:rsidR="0069220A" w:rsidRDefault="00582CFF" w:rsidP="0069220A">
      <w:pPr>
        <w:numPr>
          <w:ilvl w:val="1"/>
          <w:numId w:val="4"/>
        </w:numPr>
        <w:tabs>
          <w:tab w:val="clear" w:pos="720"/>
          <w:tab w:val="num" w:pos="0"/>
        </w:tabs>
        <w:spacing w:before="80" w:after="60"/>
        <w:ind w:left="709" w:hanging="709"/>
      </w:pPr>
      <w:r>
        <w:t>T</w:t>
      </w:r>
      <w:r w:rsidR="0069220A">
        <w:t xml:space="preserve">he employer will reimburse </w:t>
      </w:r>
      <w:r w:rsidR="00BF7D35">
        <w:t xml:space="preserve">all </w:t>
      </w:r>
      <w:r w:rsidR="0069220A">
        <w:t>reasonable</w:t>
      </w:r>
      <w:r w:rsidR="00BF7D35">
        <w:t xml:space="preserve"> and legitimate</w:t>
      </w:r>
      <w:r w:rsidR="0069220A">
        <w:t xml:space="preserve"> expenses directly related to official travel</w:t>
      </w:r>
      <w:r w:rsidR="00C6525C">
        <w:t xml:space="preserve"> </w:t>
      </w:r>
      <w:r w:rsidR="00CE4B09">
        <w:t>up to the amounts set out in the relevant Australian Taxation Office Determinations</w:t>
      </w:r>
      <w:r w:rsidR="0069220A">
        <w:t>, including</w:t>
      </w:r>
      <w:r w:rsidR="0069220A" w:rsidRPr="00E433F0">
        <w:rPr>
          <w:rFonts w:eastAsia="Calibri"/>
          <w:szCs w:val="24"/>
        </w:rPr>
        <w:t>—</w:t>
      </w:r>
    </w:p>
    <w:p w14:paraId="18C6F613" w14:textId="77777777" w:rsidR="0069220A" w:rsidRDefault="00475AF5" w:rsidP="0069220A">
      <w:pPr>
        <w:numPr>
          <w:ilvl w:val="2"/>
          <w:numId w:val="4"/>
        </w:numPr>
        <w:tabs>
          <w:tab w:val="clear" w:pos="720"/>
        </w:tabs>
        <w:spacing w:after="60"/>
        <w:ind w:left="1134" w:hanging="436"/>
      </w:pPr>
      <w:r>
        <w:t>t</w:t>
      </w:r>
      <w:r w:rsidR="0069220A">
        <w:t>axi</w:t>
      </w:r>
      <w:r>
        <w:t>,</w:t>
      </w:r>
      <w:r w:rsidR="00CA0760">
        <w:t xml:space="preserve"> </w:t>
      </w:r>
      <w:r w:rsidR="00355BD4">
        <w:t xml:space="preserve">ridesharing </w:t>
      </w:r>
      <w:r w:rsidR="00CA0760">
        <w:t xml:space="preserve">service (such as </w:t>
      </w:r>
      <w:proofErr w:type="spellStart"/>
      <w:r w:rsidR="00CA0760">
        <w:t>uber</w:t>
      </w:r>
      <w:proofErr w:type="spellEnd"/>
      <w:r w:rsidR="00CA0760">
        <w:t>)</w:t>
      </w:r>
      <w:r w:rsidR="0069220A">
        <w:t xml:space="preserve"> or bus fares to or from an airport; and</w:t>
      </w:r>
    </w:p>
    <w:p w14:paraId="23DB073A" w14:textId="77777777" w:rsidR="0069220A" w:rsidRDefault="00475AF5" w:rsidP="0069220A">
      <w:pPr>
        <w:numPr>
          <w:ilvl w:val="2"/>
          <w:numId w:val="4"/>
        </w:numPr>
        <w:tabs>
          <w:tab w:val="clear" w:pos="720"/>
        </w:tabs>
        <w:spacing w:after="60"/>
        <w:ind w:left="1134" w:hanging="436"/>
      </w:pPr>
      <w:r>
        <w:t>t</w:t>
      </w:r>
      <w:r w:rsidR="0069220A">
        <w:t>axi</w:t>
      </w:r>
      <w:r>
        <w:t>,</w:t>
      </w:r>
      <w:r w:rsidR="00355BD4">
        <w:t xml:space="preserve"> ridesharing </w:t>
      </w:r>
      <w:r w:rsidR="00CA0760">
        <w:t xml:space="preserve">service (such as </w:t>
      </w:r>
      <w:proofErr w:type="spellStart"/>
      <w:r w:rsidR="00CA0760">
        <w:t>uber</w:t>
      </w:r>
      <w:proofErr w:type="spellEnd"/>
      <w:r w:rsidR="00CA0760">
        <w:t xml:space="preserve">) </w:t>
      </w:r>
      <w:r w:rsidR="0069220A">
        <w:t xml:space="preserve">and public transport costs at a temporary location; and </w:t>
      </w:r>
    </w:p>
    <w:p w14:paraId="24B10B1F" w14:textId="77777777" w:rsidR="0069220A" w:rsidRDefault="0069220A" w:rsidP="0069220A">
      <w:pPr>
        <w:numPr>
          <w:ilvl w:val="2"/>
          <w:numId w:val="4"/>
        </w:numPr>
        <w:tabs>
          <w:tab w:val="clear" w:pos="720"/>
        </w:tabs>
        <w:spacing w:after="60"/>
        <w:ind w:left="1134" w:hanging="436"/>
      </w:pPr>
      <w:proofErr w:type="gramStart"/>
      <w:r>
        <w:t>airport</w:t>
      </w:r>
      <w:proofErr w:type="gramEnd"/>
      <w:r>
        <w:t xml:space="preserve"> taxes or charges.</w:t>
      </w:r>
    </w:p>
    <w:p w14:paraId="37046FF1" w14:textId="77777777"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14:paraId="4047358F" w14:textId="7A176076" w:rsidR="00BC44F7" w:rsidRPr="00380585" w:rsidRDefault="00BC44F7" w:rsidP="00AA3C18">
      <w:pPr>
        <w:numPr>
          <w:ilvl w:val="1"/>
          <w:numId w:val="4"/>
        </w:numPr>
        <w:tabs>
          <w:tab w:val="clear" w:pos="720"/>
          <w:tab w:val="num" w:pos="0"/>
        </w:tabs>
        <w:spacing w:before="80" w:after="60"/>
        <w:ind w:left="709" w:hanging="709"/>
        <w:rPr>
          <w:szCs w:val="24"/>
        </w:rPr>
      </w:pPr>
      <w:r w:rsidRPr="00380585">
        <w:rPr>
          <w:szCs w:val="24"/>
        </w:rPr>
        <w:t>Frequent flyer points canno</w:t>
      </w:r>
      <w:r w:rsidR="005720DA">
        <w:rPr>
          <w:szCs w:val="24"/>
        </w:rPr>
        <w:t>t</w:t>
      </w:r>
      <w:r w:rsidRPr="00380585">
        <w:rPr>
          <w:szCs w:val="24"/>
        </w:rPr>
        <w:t xml:space="preserve"> be accrued or used by a traveller as a result of travel and accommodation paid for by the employer for official travel.  </w:t>
      </w:r>
    </w:p>
    <w:p w14:paraId="353CB72F" w14:textId="77777777" w:rsidR="002070EE" w:rsidRPr="0040603C" w:rsidRDefault="00EA644C" w:rsidP="002070EE">
      <w:pPr>
        <w:pStyle w:val="Heading3"/>
        <w:keepLines w:val="0"/>
        <w:ind w:left="709" w:hanging="709"/>
        <w:rPr>
          <w:rFonts w:cs="Arial"/>
          <w:szCs w:val="26"/>
        </w:rPr>
      </w:pPr>
      <w:r>
        <w:rPr>
          <w:rFonts w:cs="Arial"/>
          <w:szCs w:val="26"/>
        </w:rPr>
        <w:t>Incidental travel in conjunction with official travel</w:t>
      </w:r>
    </w:p>
    <w:p w14:paraId="754C65C1" w14:textId="41B1D1FB" w:rsidR="002070EE" w:rsidRDefault="00EA644C" w:rsidP="002070EE">
      <w:pPr>
        <w:numPr>
          <w:ilvl w:val="1"/>
          <w:numId w:val="4"/>
        </w:numPr>
        <w:spacing w:before="80" w:after="60"/>
      </w:pPr>
      <w:r>
        <w:t xml:space="preserve">Authorised travellers wishing to take personal leave during, or at the conclusion of official travel should obtain the appropriate </w:t>
      </w:r>
      <w:r w:rsidR="00CB6CD9">
        <w:t xml:space="preserve">prior </w:t>
      </w:r>
      <w:r>
        <w:t>approval consistent with the agreed travel arrangements.</w:t>
      </w:r>
    </w:p>
    <w:p w14:paraId="0EE89B98" w14:textId="77777777" w:rsidR="002070EE" w:rsidRDefault="00EA644C" w:rsidP="002070EE">
      <w:pPr>
        <w:numPr>
          <w:ilvl w:val="1"/>
          <w:numId w:val="4"/>
        </w:numPr>
        <w:spacing w:before="80" w:after="60"/>
      </w:pPr>
      <w:r>
        <w:t>Travellers may combine incidental person</w:t>
      </w:r>
      <w:r w:rsidR="00CA0760">
        <w:t>al</w:t>
      </w:r>
      <w:r>
        <w:t xml:space="preserve"> travel with official travel, provided there is no additional cost to the Territory. Expenses incurred during leave are at the traveller’s own cost.</w:t>
      </w:r>
      <w:r w:rsidR="00CA0760">
        <w:t xml:space="preserve"> If the period of such incidental travel is greater than 40% of the perio</w:t>
      </w:r>
      <w:r w:rsidR="004E4757">
        <w:t>d of official travel, a pro rata</w:t>
      </w:r>
      <w:r w:rsidR="00CA0760">
        <w:t xml:space="preserve"> contribution must be made to the overall cost of the travel.</w:t>
      </w:r>
    </w:p>
    <w:p w14:paraId="0CA5E113" w14:textId="56474730" w:rsidR="00EA644C" w:rsidRDefault="00EA644C" w:rsidP="002070EE">
      <w:pPr>
        <w:numPr>
          <w:ilvl w:val="1"/>
          <w:numId w:val="4"/>
        </w:numPr>
        <w:spacing w:before="80" w:after="60"/>
      </w:pPr>
      <w:r>
        <w:t>If insurance has been obtained for official travel</w:t>
      </w:r>
      <w:r w:rsidR="00CB6CD9">
        <w:t xml:space="preserve"> at official expense, such insurance must</w:t>
      </w:r>
      <w:r>
        <w:t xml:space="preserve"> not cover the traveller for the duration of the person</w:t>
      </w:r>
      <w:r w:rsidR="004E4757">
        <w:t>al</w:t>
      </w:r>
      <w:r>
        <w:t xml:space="preserve"> leave.</w:t>
      </w:r>
    </w:p>
    <w:p w14:paraId="52B85AFC" w14:textId="77777777" w:rsidR="00EA644C" w:rsidRPr="0040603C" w:rsidRDefault="00EA644C" w:rsidP="00EA644C">
      <w:pPr>
        <w:pStyle w:val="Heading3"/>
        <w:keepLines w:val="0"/>
        <w:ind w:left="709" w:hanging="709"/>
        <w:rPr>
          <w:rFonts w:cs="Arial"/>
          <w:szCs w:val="26"/>
        </w:rPr>
      </w:pPr>
      <w:r>
        <w:rPr>
          <w:rFonts w:cs="Arial"/>
          <w:szCs w:val="26"/>
        </w:rPr>
        <w:lastRenderedPageBreak/>
        <w:t>Travel insurance</w:t>
      </w:r>
    </w:p>
    <w:p w14:paraId="05876186" w14:textId="77777777" w:rsidR="00EA644C" w:rsidRDefault="00EA644C" w:rsidP="00EA644C">
      <w:pPr>
        <w:numPr>
          <w:ilvl w:val="1"/>
          <w:numId w:val="4"/>
        </w:numPr>
        <w:spacing w:before="80" w:after="60"/>
      </w:pPr>
      <w:r>
        <w:t>Travel insurance decision</w:t>
      </w:r>
      <w:r w:rsidR="00355BD4">
        <w:t>s</w:t>
      </w:r>
      <w:r>
        <w:t xml:space="preserve"> should be based on risk management principles and include factors such as the nature and destination of the trip.</w:t>
      </w:r>
    </w:p>
    <w:p w14:paraId="35B4FB57" w14:textId="77777777" w:rsidR="00EA644C" w:rsidRDefault="00EA644C" w:rsidP="00EA644C">
      <w:pPr>
        <w:numPr>
          <w:ilvl w:val="1"/>
          <w:numId w:val="4"/>
        </w:numPr>
        <w:spacing w:before="80" w:after="60"/>
      </w:pPr>
      <w:r>
        <w:t>International travel will normally require travel insurance.</w:t>
      </w:r>
    </w:p>
    <w:p w14:paraId="7B1B1224" w14:textId="77777777" w:rsidR="00EA644C" w:rsidRDefault="00EA644C" w:rsidP="00EA644C">
      <w:pPr>
        <w:numPr>
          <w:ilvl w:val="1"/>
          <w:numId w:val="4"/>
        </w:numPr>
        <w:spacing w:before="80" w:after="60"/>
      </w:pPr>
      <w:r>
        <w:t>If necessary, the cost of travel insurance will be met as a reasonable work related expense by the Territory.</w:t>
      </w:r>
    </w:p>
    <w:p w14:paraId="5893F19A" w14:textId="77777777" w:rsidR="00EA644C" w:rsidRDefault="00EA644C" w:rsidP="00EA644C">
      <w:pPr>
        <w:numPr>
          <w:ilvl w:val="1"/>
          <w:numId w:val="4"/>
        </w:numPr>
        <w:spacing w:before="80" w:after="60"/>
      </w:pPr>
      <w:r>
        <w:t>All legitimate and reasonable work related claims will be covered by the Territory.</w:t>
      </w:r>
    </w:p>
    <w:p w14:paraId="3EA88AF8" w14:textId="77777777" w:rsidR="0069220A" w:rsidRPr="0040603C" w:rsidRDefault="0069220A" w:rsidP="00031CFC">
      <w:pPr>
        <w:pStyle w:val="Heading3"/>
        <w:keepLines w:val="0"/>
        <w:ind w:left="709" w:hanging="709"/>
        <w:rPr>
          <w:rFonts w:cs="Arial"/>
          <w:szCs w:val="26"/>
        </w:rPr>
      </w:pPr>
      <w:r w:rsidRPr="0040603C">
        <w:rPr>
          <w:rFonts w:cs="Arial"/>
          <w:szCs w:val="26"/>
        </w:rPr>
        <w:t>Definitions</w:t>
      </w:r>
    </w:p>
    <w:p w14:paraId="62E826C1" w14:textId="77777777"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14:paraId="7F23B212" w14:textId="77777777" w:rsidR="0069220A" w:rsidRPr="00E433F0" w:rsidRDefault="0069220A" w:rsidP="0069220A">
      <w:pPr>
        <w:spacing w:before="80"/>
        <w:ind w:left="709"/>
        <w:jc w:val="both"/>
      </w:pPr>
      <w:proofErr w:type="gramStart"/>
      <w:r w:rsidRPr="00E433F0">
        <w:rPr>
          <w:b/>
          <w:bCs/>
          <w:i/>
          <w:iCs/>
        </w:rPr>
        <w:t>agreed</w:t>
      </w:r>
      <w:proofErr w:type="gramEnd"/>
      <w:r w:rsidRPr="00E433F0">
        <w:rPr>
          <w:b/>
          <w:bCs/>
          <w:i/>
          <w:iCs/>
        </w:rPr>
        <w:t xml:space="preserve"> superannuation fund</w:t>
      </w:r>
      <w:r w:rsidRPr="00E433F0">
        <w:t xml:space="preserve"> means a fund complying with the requirements of:</w:t>
      </w:r>
    </w:p>
    <w:p w14:paraId="17735554" w14:textId="77777777" w:rsidR="0069220A" w:rsidRPr="00E433F0" w:rsidRDefault="0069220A" w:rsidP="0069220A">
      <w:pPr>
        <w:pStyle w:val="ColorfulShading-Accent31"/>
        <w:numPr>
          <w:ilvl w:val="0"/>
          <w:numId w:val="17"/>
        </w:numPr>
        <w:spacing w:after="60"/>
        <w:jc w:val="both"/>
      </w:pPr>
      <w:r w:rsidRPr="00E433F0">
        <w:t xml:space="preserve">the </w:t>
      </w:r>
      <w:r w:rsidRPr="00E433F0">
        <w:rPr>
          <w:i/>
        </w:rPr>
        <w:t>Income Tax Assessment Act 1936</w:t>
      </w:r>
      <w:r w:rsidRPr="00E433F0">
        <w:t xml:space="preserve"> (</w:t>
      </w:r>
      <w:proofErr w:type="spellStart"/>
      <w:r w:rsidRPr="00E433F0">
        <w:t>Cth</w:t>
      </w:r>
      <w:proofErr w:type="spellEnd"/>
      <w:r w:rsidRPr="00E433F0">
        <w:t>); and</w:t>
      </w:r>
    </w:p>
    <w:p w14:paraId="3E9D2380" w14:textId="77777777" w:rsidR="0069220A" w:rsidRPr="00E433F0" w:rsidRDefault="0069220A" w:rsidP="0069220A">
      <w:pPr>
        <w:pStyle w:val="ColorfulShading-Accent31"/>
        <w:numPr>
          <w:ilvl w:val="0"/>
          <w:numId w:val="17"/>
        </w:numPr>
        <w:spacing w:before="80"/>
        <w:jc w:val="both"/>
      </w:pPr>
      <w:proofErr w:type="gramStart"/>
      <w:r w:rsidRPr="00E433F0">
        <w:t>the</w:t>
      </w:r>
      <w:proofErr w:type="gramEnd"/>
      <w:r w:rsidRPr="00E433F0">
        <w:t xml:space="preserve"> </w:t>
      </w:r>
      <w:r w:rsidRPr="00E433F0">
        <w:rPr>
          <w:i/>
        </w:rPr>
        <w:t>Superannuation Industry (Supervision) Act 1993</w:t>
      </w:r>
      <w:r w:rsidRPr="00E433F0">
        <w:t xml:space="preserve"> (</w:t>
      </w:r>
      <w:proofErr w:type="spellStart"/>
      <w:r w:rsidRPr="00E433F0">
        <w:t>Cth</w:t>
      </w:r>
      <w:proofErr w:type="spellEnd"/>
      <w:r w:rsidRPr="00E433F0">
        <w:t>).</w:t>
      </w:r>
    </w:p>
    <w:p w14:paraId="2D67B0E1" w14:textId="77777777" w:rsidR="0069220A" w:rsidRDefault="0069220A" w:rsidP="0069220A">
      <w:pPr>
        <w:spacing w:before="80"/>
        <w:ind w:left="709"/>
        <w:jc w:val="both"/>
      </w:pPr>
      <w:r>
        <w:rPr>
          <w:b/>
          <w:i/>
        </w:rPr>
        <w:t xml:space="preserve">CSS </w:t>
      </w:r>
      <w:r>
        <w:t xml:space="preserve">means the </w:t>
      </w:r>
      <w:r w:rsidRPr="0075183B">
        <w:t>Comm</w:t>
      </w:r>
      <w:r>
        <w:t>onwealth Superannuation Scheme.</w:t>
      </w:r>
    </w:p>
    <w:p w14:paraId="17E8E248" w14:textId="77777777" w:rsidR="005720DA" w:rsidRDefault="005720DA" w:rsidP="005720DA">
      <w:pPr>
        <w:spacing w:before="80"/>
        <w:ind w:left="709"/>
        <w:jc w:val="both"/>
      </w:pPr>
      <w:proofErr w:type="gramStart"/>
      <w:r>
        <w:rPr>
          <w:b/>
          <w:i/>
        </w:rPr>
        <w:t>d</w:t>
      </w:r>
      <w:r w:rsidRPr="00EE36F5">
        <w:rPr>
          <w:b/>
          <w:i/>
        </w:rPr>
        <w:t>omestic</w:t>
      </w:r>
      <w:proofErr w:type="gramEnd"/>
      <w:r w:rsidRPr="00EE36F5">
        <w:rPr>
          <w:b/>
          <w:i/>
        </w:rPr>
        <w:t xml:space="preserve"> travel</w:t>
      </w:r>
      <w:r>
        <w:t xml:space="preserve"> means official travel to a destination within Australia.</w:t>
      </w:r>
    </w:p>
    <w:p w14:paraId="7DF9773C" w14:textId="77777777" w:rsidR="0069220A" w:rsidRPr="00E433F0" w:rsidRDefault="0069220A" w:rsidP="0069220A">
      <w:pPr>
        <w:spacing w:before="80"/>
        <w:ind w:left="709"/>
        <w:jc w:val="both"/>
      </w:pPr>
      <w:proofErr w:type="gramStart"/>
      <w:r w:rsidRPr="00E433F0">
        <w:rPr>
          <w:b/>
          <w:bCs/>
          <w:i/>
        </w:rPr>
        <w:t>employer</w:t>
      </w:r>
      <w:proofErr w:type="gramEnd"/>
      <w:r w:rsidRPr="00E433F0">
        <w:t xml:space="preserve"> means the Australian Capital Territory and includes any person authorised to act on behalf of the Australian Capital Territory.</w:t>
      </w:r>
    </w:p>
    <w:p w14:paraId="66602E48" w14:textId="77777777" w:rsidR="0069220A" w:rsidRPr="00E433F0" w:rsidRDefault="0069220A" w:rsidP="0069220A">
      <w:pPr>
        <w:spacing w:before="80"/>
        <w:ind w:left="709"/>
        <w:jc w:val="both"/>
      </w:pPr>
      <w:proofErr w:type="gramStart"/>
      <w:r w:rsidRPr="00E433F0">
        <w:rPr>
          <w:b/>
          <w:bCs/>
          <w:i/>
          <w:iCs/>
        </w:rPr>
        <w:t>fringe</w:t>
      </w:r>
      <w:proofErr w:type="gramEnd"/>
      <w:r w:rsidRPr="00E433F0">
        <w:rPr>
          <w:b/>
          <w:bCs/>
          <w:i/>
        </w:rPr>
        <w:t xml:space="preserve"> benefits tax</w:t>
      </w:r>
      <w:r w:rsidRPr="00E433F0">
        <w:t xml:space="preserve"> means the tax assessed under the </w:t>
      </w:r>
      <w:r w:rsidRPr="00E433F0">
        <w:rPr>
          <w:i/>
        </w:rPr>
        <w:t>Fringe Benefits Tax Assessment Act 1986</w:t>
      </w:r>
      <w:r w:rsidRPr="00E433F0">
        <w:t>.</w:t>
      </w:r>
    </w:p>
    <w:p w14:paraId="4413FAD2" w14:textId="77777777" w:rsidR="005720DA" w:rsidRPr="00470D11" w:rsidRDefault="005720DA" w:rsidP="005720DA">
      <w:pPr>
        <w:spacing w:before="80"/>
        <w:ind w:left="709"/>
        <w:jc w:val="both"/>
        <w:rPr>
          <w:color w:val="000000" w:themeColor="text1"/>
        </w:rPr>
      </w:pPr>
      <w:proofErr w:type="gramStart"/>
      <w:r w:rsidRPr="00470D11">
        <w:rPr>
          <w:b/>
          <w:i/>
          <w:color w:val="000000" w:themeColor="text1"/>
        </w:rPr>
        <w:t>home</w:t>
      </w:r>
      <w:proofErr w:type="gramEnd"/>
      <w:r w:rsidRPr="00470D11">
        <w:rPr>
          <w:b/>
          <w:i/>
          <w:color w:val="000000" w:themeColor="text1"/>
        </w:rPr>
        <w:t xml:space="preserve"> base</w:t>
      </w:r>
      <w:r w:rsidRPr="00470D11">
        <w:rPr>
          <w:color w:val="000000" w:themeColor="text1"/>
        </w:rPr>
        <w:t xml:space="preserve"> means the town or city in which the traveller’s principal place of residence is located.</w:t>
      </w:r>
    </w:p>
    <w:p w14:paraId="12DC792B" w14:textId="77777777" w:rsidR="0069220A" w:rsidRDefault="0069220A" w:rsidP="0069220A">
      <w:pPr>
        <w:spacing w:before="80"/>
        <w:ind w:left="709"/>
        <w:jc w:val="both"/>
      </w:pPr>
      <w:r>
        <w:rPr>
          <w:b/>
          <w:i/>
        </w:rPr>
        <w:t xml:space="preserve">PSS </w:t>
      </w:r>
      <w:r>
        <w:t xml:space="preserve">means the </w:t>
      </w:r>
      <w:r w:rsidRPr="0075183B">
        <w:t>Publi</w:t>
      </w:r>
      <w:r>
        <w:t>c Sector Superannuation Scheme.</w:t>
      </w:r>
    </w:p>
    <w:p w14:paraId="4A4D987E" w14:textId="77777777" w:rsidR="005720DA" w:rsidRDefault="005720DA" w:rsidP="005720DA">
      <w:pPr>
        <w:spacing w:before="80"/>
        <w:ind w:left="709"/>
        <w:jc w:val="both"/>
      </w:pPr>
      <w:proofErr w:type="spellStart"/>
      <w:r>
        <w:rPr>
          <w:b/>
          <w:i/>
        </w:rPr>
        <w:t>PSSap</w:t>
      </w:r>
      <w:proofErr w:type="spellEnd"/>
      <w:r>
        <w:rPr>
          <w:b/>
          <w:i/>
        </w:rPr>
        <w:t xml:space="preserve"> </w:t>
      </w:r>
      <w:r>
        <w:t>means the PSS Accumulation Plan.</w:t>
      </w:r>
    </w:p>
    <w:p w14:paraId="25F58B9B" w14:textId="4A031D61" w:rsidR="00607349" w:rsidRPr="00540F3A" w:rsidRDefault="00607349" w:rsidP="00607349">
      <w:pPr>
        <w:spacing w:before="80" w:after="60"/>
        <w:ind w:left="709"/>
        <w:rPr>
          <w:color w:val="000000" w:themeColor="text1"/>
        </w:rPr>
      </w:pPr>
      <w:r>
        <w:rPr>
          <w:b/>
          <w:i/>
        </w:rPr>
        <w:t>Senior Executive Service (SES) Member</w:t>
      </w:r>
      <w:r w:rsidRPr="00E433F0">
        <w:t xml:space="preserve"> </w:t>
      </w:r>
      <w:r w:rsidR="003B1335">
        <w:t>means</w:t>
      </w:r>
      <w:r w:rsidR="003B1335" w:rsidRPr="00E433F0">
        <w:t xml:space="preserve"> </w:t>
      </w:r>
      <w:r>
        <w:t xml:space="preserve">a member of the service in the senior executive service under the </w:t>
      </w:r>
      <w:r w:rsidRPr="00607349">
        <w:rPr>
          <w:i/>
        </w:rPr>
        <w:t>Public Sector Management Act 1994</w:t>
      </w:r>
      <w:r>
        <w:t>.</w:t>
      </w:r>
      <w:r w:rsidR="00145B8A">
        <w:t xml:space="preserve"> A person, </w:t>
      </w:r>
      <w:r w:rsidR="00145B8A" w:rsidRPr="0040431A">
        <w:t>appointed to an office</w:t>
      </w:r>
      <w:r w:rsidR="0086483E" w:rsidRPr="0040431A">
        <w:t xml:space="preserve"> listed</w:t>
      </w:r>
      <w:r w:rsidR="00145B8A" w:rsidRPr="0040431A">
        <w:t xml:space="preserve"> in clause </w:t>
      </w:r>
      <w:r w:rsidR="00145B8A">
        <w:t xml:space="preserve">2.1 of this Determination, has a number of the same entitlements as </w:t>
      </w:r>
      <w:r w:rsidR="00145B8A" w:rsidRPr="00540F3A">
        <w:rPr>
          <w:color w:val="000000" w:themeColor="text1"/>
        </w:rPr>
        <w:t>a</w:t>
      </w:r>
      <w:r w:rsidR="00FA5F23" w:rsidRPr="00540F3A">
        <w:rPr>
          <w:color w:val="000000" w:themeColor="text1"/>
        </w:rPr>
        <w:t>n</w:t>
      </w:r>
      <w:r w:rsidR="00145B8A" w:rsidRPr="00540F3A">
        <w:rPr>
          <w:color w:val="000000" w:themeColor="text1"/>
        </w:rPr>
        <w:t xml:space="preserve"> SES Member.</w:t>
      </w:r>
    </w:p>
    <w:p w14:paraId="57F989EE" w14:textId="77777777" w:rsidR="00316F20" w:rsidRPr="00540F3A" w:rsidRDefault="00316F20" w:rsidP="00316F20">
      <w:pPr>
        <w:pStyle w:val="Heading3"/>
        <w:keepLines w:val="0"/>
        <w:ind w:left="709" w:hanging="709"/>
        <w:rPr>
          <w:rFonts w:cs="Arial"/>
          <w:color w:val="000000" w:themeColor="text1"/>
          <w:szCs w:val="26"/>
        </w:rPr>
      </w:pPr>
      <w:r w:rsidRPr="00540F3A">
        <w:rPr>
          <w:rFonts w:cs="Arial"/>
          <w:color w:val="000000" w:themeColor="text1"/>
          <w:szCs w:val="26"/>
        </w:rPr>
        <w:t>Revocation of previous Determination</w:t>
      </w:r>
    </w:p>
    <w:p w14:paraId="1B2D5A63" w14:textId="60AB2010" w:rsidR="00316F20" w:rsidRPr="0040431A" w:rsidRDefault="00316F20" w:rsidP="00316F20">
      <w:pPr>
        <w:numPr>
          <w:ilvl w:val="1"/>
          <w:numId w:val="4"/>
        </w:numPr>
        <w:tabs>
          <w:tab w:val="clear" w:pos="720"/>
        </w:tabs>
        <w:spacing w:before="80" w:after="60"/>
        <w:ind w:left="709" w:hanging="709"/>
      </w:pPr>
      <w:r w:rsidRPr="00467BA6">
        <w:rPr>
          <w:color w:val="000000" w:themeColor="text1"/>
        </w:rPr>
        <w:t xml:space="preserve">Determination </w:t>
      </w:r>
      <w:r w:rsidR="00440A32" w:rsidRPr="00467BA6">
        <w:rPr>
          <w:color w:val="000000" w:themeColor="text1"/>
        </w:rPr>
        <w:t>3 of 2020</w:t>
      </w:r>
      <w:r w:rsidRPr="00467BA6">
        <w:rPr>
          <w:color w:val="000000" w:themeColor="text1"/>
        </w:rPr>
        <w:t xml:space="preserve"> is revoked</w:t>
      </w:r>
      <w:r w:rsidRPr="0040431A">
        <w:rPr>
          <w:b/>
        </w:rPr>
        <w:t>.</w:t>
      </w:r>
    </w:p>
    <w:p w14:paraId="35F14329" w14:textId="77777777" w:rsidR="00163FC8" w:rsidRPr="00540F3A" w:rsidRDefault="00163FC8" w:rsidP="00163FC8">
      <w:pPr>
        <w:rPr>
          <w:color w:val="000000" w:themeColor="text1"/>
        </w:rPr>
      </w:pPr>
    </w:p>
    <w:bookmarkEnd w:id="0"/>
    <w:p w14:paraId="097A1081" w14:textId="77777777" w:rsidR="00A62067" w:rsidRDefault="00944A2C">
      <w:r>
        <w:br w:type="page"/>
      </w:r>
    </w:p>
    <w:tbl>
      <w:tblPr>
        <w:tblW w:w="0" w:type="auto"/>
        <w:tblLook w:val="04A0" w:firstRow="1" w:lastRow="0" w:firstColumn="1" w:lastColumn="0" w:noHBand="0" w:noVBand="1"/>
      </w:tblPr>
      <w:tblGrid>
        <w:gridCol w:w="4529"/>
        <w:gridCol w:w="4488"/>
      </w:tblGrid>
      <w:tr w:rsidR="00B7173F" w:rsidRPr="006A51E8" w14:paraId="713334C7" w14:textId="77777777" w:rsidTr="00CE5659">
        <w:tc>
          <w:tcPr>
            <w:tcW w:w="4529" w:type="dxa"/>
          </w:tcPr>
          <w:p w14:paraId="68FA9C98" w14:textId="77777777" w:rsidR="00B7173F" w:rsidRPr="000F41B0" w:rsidRDefault="00B7173F" w:rsidP="00CE5659">
            <w:pPr>
              <w:tabs>
                <w:tab w:val="left" w:pos="4253"/>
                <w:tab w:val="left" w:leader="dot" w:pos="8222"/>
              </w:tabs>
              <w:rPr>
                <w:szCs w:val="24"/>
              </w:rPr>
            </w:pPr>
          </w:p>
          <w:p w14:paraId="71565DB0" w14:textId="77777777" w:rsidR="00B7173F" w:rsidRPr="000F41B0" w:rsidRDefault="00B7173F" w:rsidP="00CE5659">
            <w:pPr>
              <w:tabs>
                <w:tab w:val="left" w:pos="4253"/>
                <w:tab w:val="left" w:pos="7230"/>
                <w:tab w:val="left" w:leader="dot" w:pos="8222"/>
              </w:tabs>
              <w:rPr>
                <w:szCs w:val="24"/>
              </w:rPr>
            </w:pPr>
            <w:r>
              <w:rPr>
                <w:szCs w:val="24"/>
              </w:rPr>
              <w:t>Ms Sandra Lambert AM</w:t>
            </w:r>
            <w:r w:rsidRPr="000F41B0">
              <w:rPr>
                <w:szCs w:val="24"/>
              </w:rPr>
              <w:tab/>
            </w:r>
          </w:p>
          <w:p w14:paraId="19552D6A" w14:textId="77777777" w:rsidR="00B7173F" w:rsidRPr="000F41B0" w:rsidRDefault="00B7173F" w:rsidP="00CE5659">
            <w:pPr>
              <w:tabs>
                <w:tab w:val="left" w:pos="7230"/>
              </w:tabs>
              <w:rPr>
                <w:szCs w:val="24"/>
              </w:rPr>
            </w:pPr>
            <w:r w:rsidRPr="000F41B0">
              <w:rPr>
                <w:szCs w:val="24"/>
              </w:rPr>
              <w:t>Chair</w:t>
            </w:r>
          </w:p>
          <w:p w14:paraId="73BBF460" w14:textId="77777777" w:rsidR="00B7173F" w:rsidRDefault="00B7173F" w:rsidP="00CE5659">
            <w:pPr>
              <w:tabs>
                <w:tab w:val="left" w:pos="4253"/>
                <w:tab w:val="left" w:leader="dot" w:pos="8222"/>
              </w:tabs>
              <w:rPr>
                <w:szCs w:val="24"/>
              </w:rPr>
            </w:pPr>
          </w:p>
          <w:p w14:paraId="0C9B01E9" w14:textId="77777777" w:rsidR="00B7173F" w:rsidRPr="000F41B0" w:rsidRDefault="00B7173F" w:rsidP="00CE5659">
            <w:pPr>
              <w:tabs>
                <w:tab w:val="left" w:pos="4253"/>
                <w:tab w:val="left" w:leader="dot" w:pos="8222"/>
              </w:tabs>
              <w:spacing w:after="120"/>
              <w:rPr>
                <w:szCs w:val="24"/>
              </w:rPr>
            </w:pPr>
          </w:p>
        </w:tc>
        <w:tc>
          <w:tcPr>
            <w:tcW w:w="4488" w:type="dxa"/>
          </w:tcPr>
          <w:p w14:paraId="31A50503" w14:textId="77777777" w:rsidR="00B7173F" w:rsidRDefault="00B7173F" w:rsidP="00CE5659">
            <w:pPr>
              <w:tabs>
                <w:tab w:val="left" w:pos="3059"/>
                <w:tab w:val="left" w:pos="7230"/>
              </w:tabs>
            </w:pPr>
          </w:p>
          <w:p w14:paraId="22BE14DD" w14:textId="77777777" w:rsidR="00B7173F" w:rsidRPr="006A51E8" w:rsidRDefault="00B7173F" w:rsidP="00CE5659">
            <w:pPr>
              <w:tabs>
                <w:tab w:val="left" w:pos="3059"/>
                <w:tab w:val="left" w:pos="7230"/>
              </w:tabs>
              <w:spacing w:before="120"/>
            </w:pPr>
            <w:r>
              <w:t xml:space="preserve"> </w:t>
            </w:r>
            <w:r>
              <w:br/>
              <w:t xml:space="preserve"> </w:t>
            </w:r>
            <w:r w:rsidRPr="00A9481F">
              <w:t>...............................</w:t>
            </w:r>
            <w:r>
              <w:t>.................</w:t>
            </w:r>
          </w:p>
        </w:tc>
      </w:tr>
      <w:tr w:rsidR="00B7173F" w:rsidRPr="006A51E8" w14:paraId="66B1C991" w14:textId="77777777" w:rsidTr="00CE5659">
        <w:tc>
          <w:tcPr>
            <w:tcW w:w="4529" w:type="dxa"/>
          </w:tcPr>
          <w:p w14:paraId="547CB5F8" w14:textId="77777777" w:rsidR="00B7173F" w:rsidRPr="000F41B0" w:rsidRDefault="00B7173F" w:rsidP="00CE5659">
            <w:pPr>
              <w:tabs>
                <w:tab w:val="left" w:pos="4253"/>
                <w:tab w:val="left" w:leader="dot" w:pos="8222"/>
              </w:tabs>
              <w:rPr>
                <w:szCs w:val="24"/>
              </w:rPr>
            </w:pPr>
            <w:r>
              <w:rPr>
                <w:szCs w:val="24"/>
              </w:rPr>
              <w:t>Dr James Popple</w:t>
            </w:r>
            <w:r w:rsidRPr="000F41B0">
              <w:rPr>
                <w:szCs w:val="24"/>
              </w:rPr>
              <w:tab/>
            </w:r>
          </w:p>
          <w:p w14:paraId="4F5DD8B7" w14:textId="77777777" w:rsidR="00B7173F" w:rsidRPr="000F41B0" w:rsidRDefault="00B7173F" w:rsidP="00CE5659">
            <w:pPr>
              <w:tabs>
                <w:tab w:val="left" w:pos="4253"/>
                <w:tab w:val="left" w:leader="dot" w:pos="8222"/>
              </w:tabs>
              <w:rPr>
                <w:szCs w:val="24"/>
              </w:rPr>
            </w:pPr>
            <w:r w:rsidRPr="000F41B0">
              <w:rPr>
                <w:szCs w:val="24"/>
              </w:rPr>
              <w:t>Member</w:t>
            </w:r>
          </w:p>
        </w:tc>
        <w:tc>
          <w:tcPr>
            <w:tcW w:w="4488" w:type="dxa"/>
          </w:tcPr>
          <w:p w14:paraId="5E4FB45A" w14:textId="77777777" w:rsidR="00B7173F" w:rsidRDefault="00B7173F" w:rsidP="00CE5659">
            <w:pPr>
              <w:tabs>
                <w:tab w:val="left" w:pos="3059"/>
                <w:tab w:val="left" w:pos="7230"/>
              </w:tabs>
            </w:pPr>
            <w:r w:rsidRPr="006A51E8">
              <w:t xml:space="preserve"> </w:t>
            </w:r>
          </w:p>
          <w:p w14:paraId="32C6D2AA" w14:textId="77777777" w:rsidR="00B7173F" w:rsidRDefault="00B7173F" w:rsidP="00CE5659">
            <w:pPr>
              <w:tabs>
                <w:tab w:val="left" w:pos="3059"/>
                <w:tab w:val="left" w:pos="7230"/>
              </w:tabs>
            </w:pPr>
          </w:p>
          <w:p w14:paraId="108C81CD" w14:textId="77777777" w:rsidR="00B7173F" w:rsidRDefault="00B7173F" w:rsidP="00CE5659">
            <w:pPr>
              <w:tabs>
                <w:tab w:val="left" w:pos="3059"/>
                <w:tab w:val="left" w:pos="7230"/>
              </w:tabs>
            </w:pPr>
            <w:r>
              <w:t xml:space="preserve">  </w:t>
            </w:r>
            <w:r w:rsidRPr="00A9481F">
              <w:t>..............................</w:t>
            </w:r>
            <w:r>
              <w:t>.................</w:t>
            </w:r>
          </w:p>
          <w:p w14:paraId="795C583B" w14:textId="77777777" w:rsidR="00B7173F" w:rsidRDefault="00B7173F" w:rsidP="00CE5659">
            <w:pPr>
              <w:tabs>
                <w:tab w:val="left" w:pos="3059"/>
                <w:tab w:val="left" w:pos="7230"/>
              </w:tabs>
            </w:pPr>
          </w:p>
        </w:tc>
      </w:tr>
      <w:tr w:rsidR="00B7173F" w:rsidRPr="006A51E8" w14:paraId="498B3115" w14:textId="77777777" w:rsidTr="00CE5659">
        <w:tc>
          <w:tcPr>
            <w:tcW w:w="4529" w:type="dxa"/>
          </w:tcPr>
          <w:p w14:paraId="4D8E9C83" w14:textId="77777777" w:rsidR="00B7173F" w:rsidRPr="000F41B0" w:rsidRDefault="00B7173F" w:rsidP="00CE5659">
            <w:pPr>
              <w:tabs>
                <w:tab w:val="left" w:pos="4253"/>
                <w:tab w:val="left" w:pos="7230"/>
                <w:tab w:val="left" w:leader="dot" w:pos="8222"/>
              </w:tabs>
              <w:rPr>
                <w:szCs w:val="24"/>
              </w:rPr>
            </w:pPr>
          </w:p>
          <w:p w14:paraId="73172973" w14:textId="77777777" w:rsidR="00B7173F" w:rsidRDefault="00B7173F" w:rsidP="00CE5659">
            <w:pPr>
              <w:tabs>
                <w:tab w:val="left" w:pos="4253"/>
                <w:tab w:val="left" w:pos="7230"/>
                <w:tab w:val="left" w:leader="dot" w:pos="8222"/>
              </w:tabs>
              <w:rPr>
                <w:szCs w:val="24"/>
              </w:rPr>
            </w:pPr>
          </w:p>
          <w:p w14:paraId="5A9E1524" w14:textId="77777777" w:rsidR="00B7173F" w:rsidRPr="000F41B0" w:rsidRDefault="00B7173F" w:rsidP="00CE5659">
            <w:pPr>
              <w:tabs>
                <w:tab w:val="left" w:pos="4253"/>
                <w:tab w:val="left" w:leader="dot" w:pos="8222"/>
              </w:tabs>
              <w:rPr>
                <w:szCs w:val="24"/>
              </w:rPr>
            </w:pPr>
            <w:r>
              <w:rPr>
                <w:szCs w:val="24"/>
              </w:rPr>
              <w:t>Mr Dale Boucher PSM</w:t>
            </w:r>
            <w:r w:rsidRPr="000F41B0">
              <w:rPr>
                <w:szCs w:val="24"/>
              </w:rPr>
              <w:tab/>
            </w:r>
          </w:p>
          <w:p w14:paraId="7D9DE35C" w14:textId="77777777" w:rsidR="00B7173F" w:rsidRPr="000F41B0" w:rsidRDefault="00B7173F" w:rsidP="00CE5659">
            <w:pPr>
              <w:tabs>
                <w:tab w:val="left" w:pos="4253"/>
                <w:tab w:val="left" w:leader="dot" w:pos="8222"/>
              </w:tabs>
              <w:rPr>
                <w:szCs w:val="24"/>
              </w:rPr>
            </w:pPr>
            <w:r w:rsidRPr="000F41B0">
              <w:rPr>
                <w:szCs w:val="24"/>
              </w:rPr>
              <w:t xml:space="preserve">Member </w:t>
            </w:r>
          </w:p>
        </w:tc>
        <w:tc>
          <w:tcPr>
            <w:tcW w:w="4488" w:type="dxa"/>
          </w:tcPr>
          <w:p w14:paraId="2D284618" w14:textId="77777777" w:rsidR="00B7173F" w:rsidRDefault="00B7173F" w:rsidP="00CE5659">
            <w:pPr>
              <w:tabs>
                <w:tab w:val="left" w:pos="4026"/>
                <w:tab w:val="left" w:pos="7230"/>
              </w:tabs>
            </w:pPr>
          </w:p>
          <w:p w14:paraId="7D15E25A" w14:textId="77777777" w:rsidR="00B7173F" w:rsidRDefault="00B7173F" w:rsidP="00CE5659">
            <w:pPr>
              <w:tabs>
                <w:tab w:val="left" w:pos="4026"/>
                <w:tab w:val="left" w:pos="7230"/>
              </w:tabs>
            </w:pPr>
          </w:p>
          <w:p w14:paraId="4B999C84" w14:textId="77777777" w:rsidR="00B7173F" w:rsidRDefault="00B7173F" w:rsidP="00CE5659">
            <w:pPr>
              <w:tabs>
                <w:tab w:val="left" w:pos="4026"/>
                <w:tab w:val="left" w:pos="7230"/>
              </w:tabs>
            </w:pPr>
          </w:p>
          <w:p w14:paraId="5F165DAD" w14:textId="77777777" w:rsidR="00B7173F" w:rsidRDefault="00B7173F" w:rsidP="00CE5659">
            <w:pPr>
              <w:tabs>
                <w:tab w:val="left" w:pos="3059"/>
                <w:tab w:val="left" w:pos="7230"/>
              </w:tabs>
            </w:pPr>
            <w:r>
              <w:t xml:space="preserve">  </w:t>
            </w:r>
            <w:r w:rsidRPr="00A9481F">
              <w:t>...............................</w:t>
            </w:r>
            <w:r>
              <w:t>................</w:t>
            </w:r>
          </w:p>
          <w:p w14:paraId="78149AFF" w14:textId="77777777" w:rsidR="00B7173F" w:rsidRPr="006A51E8" w:rsidRDefault="00B7173F" w:rsidP="00CE5659">
            <w:pPr>
              <w:tabs>
                <w:tab w:val="left" w:pos="3059"/>
                <w:tab w:val="left" w:pos="7230"/>
              </w:tabs>
            </w:pPr>
          </w:p>
        </w:tc>
      </w:tr>
    </w:tbl>
    <w:p w14:paraId="7BE6C3A0" w14:textId="77777777" w:rsidR="00B7173F" w:rsidRDefault="00B7173F" w:rsidP="00B7173F">
      <w:pPr>
        <w:tabs>
          <w:tab w:val="left" w:pos="4320"/>
        </w:tabs>
        <w:jc w:val="right"/>
      </w:pPr>
      <w:r>
        <w:t>August 2021</w:t>
      </w:r>
    </w:p>
    <w:p w14:paraId="0B8784B4" w14:textId="77777777" w:rsidR="00B7173F" w:rsidRPr="00467BA6" w:rsidRDefault="00B7173F" w:rsidP="003E745D">
      <w:pPr>
        <w:tabs>
          <w:tab w:val="left" w:pos="4320"/>
        </w:tabs>
        <w:jc w:val="right"/>
        <w:rPr>
          <w:color w:val="000000" w:themeColor="text1"/>
        </w:rPr>
      </w:pPr>
    </w:p>
    <w:p w14:paraId="14A251FB" w14:textId="05D761BD" w:rsidR="00944A2C" w:rsidRPr="0040431A" w:rsidRDefault="00944A2C"/>
    <w:p w14:paraId="32CD562B" w14:textId="77777777" w:rsidR="003D0831" w:rsidRPr="0040431A" w:rsidRDefault="003D0831"/>
    <w:sectPr w:rsidR="003D0831" w:rsidRPr="0040431A" w:rsidSect="00DD73BE">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484DC" w14:textId="77777777" w:rsidR="003C2BD3" w:rsidRDefault="003C2BD3">
      <w:r>
        <w:separator/>
      </w:r>
    </w:p>
  </w:endnote>
  <w:endnote w:type="continuationSeparator" w:id="0">
    <w:p w14:paraId="382AA60C" w14:textId="77777777" w:rsidR="003C2BD3" w:rsidRDefault="003C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56619" w14:textId="77777777" w:rsidR="000A0399" w:rsidRDefault="000A03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42292" w14:textId="77777777" w:rsidR="00EE3961" w:rsidRPr="00C420E9" w:rsidRDefault="00EE3961">
    <w:pPr>
      <w:pStyle w:val="Footer"/>
      <w:jc w:val="right"/>
      <w:rPr>
        <w:rFonts w:ascii="Calibri" w:hAnsi="Calibri"/>
      </w:rPr>
    </w:pPr>
    <w:r w:rsidRPr="00C420E9">
      <w:rPr>
        <w:rFonts w:ascii="Calibri" w:hAnsi="Calibri"/>
      </w:rPr>
      <w:fldChar w:fldCharType="begin"/>
    </w:r>
    <w:r w:rsidRPr="00C420E9">
      <w:rPr>
        <w:rFonts w:ascii="Calibri" w:hAnsi="Calibri"/>
      </w:rPr>
      <w:instrText xml:space="preserve"> PAGE   \* MERGEFORMAT </w:instrText>
    </w:r>
    <w:r w:rsidRPr="00C420E9">
      <w:rPr>
        <w:rFonts w:ascii="Calibri" w:hAnsi="Calibri"/>
      </w:rPr>
      <w:fldChar w:fldCharType="separate"/>
    </w:r>
    <w:r w:rsidR="004748CC">
      <w:rPr>
        <w:rFonts w:ascii="Calibri" w:hAnsi="Calibri"/>
        <w:noProof/>
      </w:rPr>
      <w:t>3</w:t>
    </w:r>
    <w:r w:rsidRPr="00C420E9">
      <w:rPr>
        <w:rFonts w:ascii="Calibri" w:hAnsi="Calibri"/>
        <w:noProof/>
      </w:rPr>
      <w:fldChar w:fldCharType="end"/>
    </w:r>
  </w:p>
  <w:p w14:paraId="54CEF88E" w14:textId="77777777" w:rsidR="00EE3961" w:rsidRDefault="00EE3961" w:rsidP="00DC6C6D">
    <w:pPr>
      <w:pStyle w:val="Footer"/>
      <w:spacing w:before="0" w:after="0" w:line="24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07191" w14:textId="77777777" w:rsidR="000A0399" w:rsidRDefault="000A039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0FB9D" w14:textId="77777777" w:rsidR="00EE3961" w:rsidRDefault="00EE3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EE3961" w:rsidRDefault="00EE396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E0177" w14:textId="77777777" w:rsidR="005B466F" w:rsidRPr="000B67A3" w:rsidRDefault="005B466F"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4748CC">
      <w:rPr>
        <w:rFonts w:ascii="Calibri" w:hAnsi="Calibri"/>
        <w:noProof/>
      </w:rPr>
      <w:t>12</w:t>
    </w:r>
    <w:r w:rsidRPr="000B67A3">
      <w:rPr>
        <w:rFonts w:ascii="Calibri" w:hAnsi="Calibri"/>
        <w:noProof/>
      </w:rPr>
      <w:fldChar w:fldCharType="end"/>
    </w:r>
  </w:p>
  <w:p w14:paraId="514CB8A5" w14:textId="77777777" w:rsidR="00EE3961" w:rsidRDefault="00EE3961">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4F2ED" w14:textId="77777777" w:rsidR="00EE3961" w:rsidRDefault="00EE39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354CE" w14:textId="77777777" w:rsidR="003C2BD3" w:rsidRDefault="003C2BD3">
      <w:r>
        <w:separator/>
      </w:r>
    </w:p>
  </w:footnote>
  <w:footnote w:type="continuationSeparator" w:id="0">
    <w:p w14:paraId="61726472" w14:textId="77777777" w:rsidR="003C2BD3" w:rsidRDefault="003C2BD3">
      <w:r>
        <w:continuationSeparator/>
      </w:r>
    </w:p>
  </w:footnote>
  <w:footnote w:id="1">
    <w:p w14:paraId="109E6D44" w14:textId="77777777" w:rsidR="001C56AB" w:rsidRPr="001C56AB" w:rsidRDefault="001C56AB" w:rsidP="001C56AB">
      <w:pPr>
        <w:pStyle w:val="FootnoteText"/>
        <w:jc w:val="left"/>
        <w:rPr>
          <w:rFonts w:cs="Calibri"/>
          <w:sz w:val="18"/>
          <w:szCs w:val="18"/>
        </w:rPr>
      </w:pPr>
      <w:r w:rsidRPr="001C56AB">
        <w:rPr>
          <w:rStyle w:val="FootnoteReference"/>
          <w:rFonts w:ascii="Calibri" w:hAnsi="Calibri" w:cs="Calibri"/>
          <w:sz w:val="18"/>
          <w:szCs w:val="18"/>
        </w:rPr>
        <w:footnoteRef/>
      </w:r>
      <w:r w:rsidRPr="001C56AB">
        <w:rPr>
          <w:rFonts w:cs="Calibri"/>
          <w:sz w:val="18"/>
          <w:szCs w:val="18"/>
        </w:rPr>
        <w:t xml:space="preserve"> ACT Budget 2020-21, Chapter 1, Overview, Table 1.2.1 Economic Parameters, 2020-21 Budget, baseline forecasts, percentage change, p.11</w:t>
      </w:r>
    </w:p>
  </w:footnote>
  <w:footnote w:id="2">
    <w:p w14:paraId="28D27DB5" w14:textId="77777777" w:rsidR="001C56AB" w:rsidRPr="001C56AB" w:rsidRDefault="001C56AB" w:rsidP="001C56AB">
      <w:pPr>
        <w:pStyle w:val="FootnoteText"/>
        <w:jc w:val="left"/>
        <w:rPr>
          <w:rFonts w:cs="Calibri"/>
          <w:sz w:val="18"/>
          <w:szCs w:val="18"/>
        </w:rPr>
      </w:pPr>
      <w:r w:rsidRPr="001C56AB">
        <w:rPr>
          <w:rStyle w:val="FootnoteReference"/>
          <w:rFonts w:ascii="Calibri" w:hAnsi="Calibri" w:cs="Calibri"/>
          <w:sz w:val="18"/>
          <w:szCs w:val="18"/>
        </w:rPr>
        <w:footnoteRef/>
      </w:r>
      <w:r w:rsidRPr="001C56AB">
        <w:rPr>
          <w:rFonts w:cs="Calibri"/>
          <w:sz w:val="18"/>
          <w:szCs w:val="18"/>
        </w:rPr>
        <w:t xml:space="preserve"> Australian Bureau of Statistics, Consumer Price Index (July 2021), </w:t>
      </w:r>
      <w:hyperlink r:id="rId1" w:history="1">
        <w:r w:rsidRPr="001C56AB">
          <w:rPr>
            <w:rStyle w:val="Hyperlink"/>
            <w:rFonts w:cs="Calibri"/>
            <w:sz w:val="18"/>
            <w:szCs w:val="18"/>
          </w:rPr>
          <w:t>https://www.abs.gov.au/statistics/economy/price-indexes-and-inflation/consumer-price-index-australia/jun-2021</w:t>
        </w:r>
      </w:hyperlink>
      <w:r w:rsidRPr="001C56AB">
        <w:rPr>
          <w:rFonts w:cs="Calibri"/>
          <w:sz w:val="18"/>
          <w:szCs w:val="18"/>
        </w:rPr>
        <w:t xml:space="preserve"> </w:t>
      </w:r>
    </w:p>
  </w:footnote>
  <w:footnote w:id="3">
    <w:p w14:paraId="2E2D3E7B" w14:textId="77777777" w:rsidR="001C56AB" w:rsidRPr="001C56AB" w:rsidRDefault="001C56AB" w:rsidP="001C56AB">
      <w:pPr>
        <w:pStyle w:val="FootnoteText"/>
        <w:jc w:val="left"/>
        <w:rPr>
          <w:sz w:val="18"/>
          <w:szCs w:val="18"/>
        </w:rPr>
      </w:pPr>
      <w:r w:rsidRPr="001C56AB">
        <w:rPr>
          <w:rStyle w:val="FootnoteReference"/>
          <w:rFonts w:ascii="Calibri" w:hAnsi="Calibri" w:cs="Calibri"/>
          <w:sz w:val="18"/>
          <w:szCs w:val="18"/>
        </w:rPr>
        <w:footnoteRef/>
      </w:r>
      <w:r w:rsidRPr="001C56AB">
        <w:rPr>
          <w:rFonts w:cs="Calibri"/>
          <w:sz w:val="18"/>
          <w:szCs w:val="18"/>
        </w:rPr>
        <w:t xml:space="preserve"> The trimmed mean is designed to remove large, one-off price impacts. Australian Bureau of Statistics Media Release: CPI rose 0.8% in the June 2021 quarter (28 July 2021), </w:t>
      </w:r>
      <w:hyperlink r:id="rId2" w:history="1">
        <w:r w:rsidRPr="001C56AB">
          <w:rPr>
            <w:rStyle w:val="Hyperlink"/>
            <w:rFonts w:cs="Calibri"/>
            <w:sz w:val="18"/>
            <w:szCs w:val="18"/>
          </w:rPr>
          <w:t>https://www.abs.gov.au/media-centre/media-releases/cpi-rose-08-june-2021-quarter</w:t>
        </w:r>
      </w:hyperlink>
      <w:r w:rsidRPr="001C56AB">
        <w:rPr>
          <w:sz w:val="18"/>
          <w:szCs w:val="18"/>
        </w:rPr>
        <w:t xml:space="preserve"> </w:t>
      </w:r>
    </w:p>
  </w:footnote>
  <w:footnote w:id="4">
    <w:p w14:paraId="18C2B13A" w14:textId="77777777" w:rsidR="001C56AB" w:rsidRPr="001C56AB" w:rsidRDefault="001C56AB" w:rsidP="001C56AB">
      <w:pPr>
        <w:pStyle w:val="FootnoteText"/>
        <w:jc w:val="left"/>
        <w:rPr>
          <w:rFonts w:cs="Calibri"/>
          <w:sz w:val="20"/>
          <w:szCs w:val="20"/>
        </w:rPr>
      </w:pPr>
      <w:r w:rsidRPr="001C56AB">
        <w:rPr>
          <w:rStyle w:val="FootnoteReference"/>
          <w:rFonts w:ascii="Calibri" w:hAnsi="Calibri" w:cs="Calibri"/>
          <w:sz w:val="18"/>
          <w:szCs w:val="18"/>
        </w:rPr>
        <w:footnoteRef/>
      </w:r>
      <w:r w:rsidRPr="001C56AB">
        <w:rPr>
          <w:rFonts w:cs="Calibri"/>
          <w:sz w:val="18"/>
          <w:szCs w:val="18"/>
        </w:rPr>
        <w:t xml:space="preserve"> The Fair Work Commission announced a 2.5% increase to the national minimum wage and all award wages, see Annual Wage Review 2021, </w:t>
      </w:r>
      <w:hyperlink r:id="rId3" w:history="1">
        <w:r w:rsidRPr="001C56AB">
          <w:rPr>
            <w:rStyle w:val="Hyperlink"/>
            <w:rFonts w:cs="Calibri"/>
            <w:sz w:val="18"/>
            <w:szCs w:val="18"/>
          </w:rPr>
          <w:t>https://www.fairwork.gov.au/about-us/news-and-media-releases/website-news/annual-wage-review-2021</w:t>
        </w:r>
      </w:hyperlink>
    </w:p>
  </w:footnote>
  <w:footnote w:id="5">
    <w:p w14:paraId="121DD65E" w14:textId="01CE4459" w:rsidR="005720DA" w:rsidRPr="00C32396" w:rsidRDefault="005720DA" w:rsidP="00C32396">
      <w:r w:rsidRPr="0040431A">
        <w:rPr>
          <w:rStyle w:val="FootnoteReference"/>
          <w:sz w:val="16"/>
          <w:szCs w:val="16"/>
        </w:rPr>
        <w:footnoteRef/>
      </w:r>
      <w:r w:rsidRPr="0040431A">
        <w:rPr>
          <w:sz w:val="16"/>
          <w:szCs w:val="16"/>
        </w:rPr>
        <w:t xml:space="preserve"> </w:t>
      </w:r>
      <w:hyperlink r:id="rId4" w:history="1">
        <w:r w:rsidR="00624501" w:rsidRPr="00371AF8">
          <w:rPr>
            <w:rStyle w:val="Hyperlink"/>
            <w:sz w:val="16"/>
            <w:szCs w:val="16"/>
            <w:lang w:val="en-GB"/>
          </w:rPr>
          <w:t>Australian Taxation Office – Taxation Determination 2021/6 Income tax: what are the reasonable travel and overtime meal allowance expense amounts for the 2021-22 income year?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D006B" w14:textId="77777777" w:rsidR="000A0399" w:rsidRDefault="000A03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8FDF2" w14:textId="4DB60D20" w:rsidR="000A0399" w:rsidRDefault="000A03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EE4B" w14:textId="77777777" w:rsidR="000A0399" w:rsidRDefault="000A039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CB3DC" w14:textId="77777777" w:rsidR="00EE3961" w:rsidRDefault="00EE396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CE010" w14:textId="77777777" w:rsidR="00EE3961" w:rsidRDefault="00EE396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042CA" w14:textId="77777777" w:rsidR="00EE3961" w:rsidRDefault="00EE39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73F29"/>
    <w:multiLevelType w:val="hybridMultilevel"/>
    <w:tmpl w:val="6E985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3" w15:restartNumberingAfterBreak="0">
    <w:nsid w:val="02F50E72"/>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5951B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2F317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90F302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4669A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10"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DCD2B76"/>
    <w:multiLevelType w:val="hybridMultilevel"/>
    <w:tmpl w:val="62467D72"/>
    <w:lvl w:ilvl="0" w:tplc="052A8F1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B47D1C"/>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20464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24208A5"/>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9"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1" w15:restartNumberingAfterBreak="0">
    <w:nsid w:val="3E311C49"/>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5"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C8366A7"/>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D763F8"/>
    <w:multiLevelType w:val="hybridMultilevel"/>
    <w:tmpl w:val="D9E01B20"/>
    <w:lvl w:ilvl="0" w:tplc="CD6C5110">
      <w:start w:val="1"/>
      <w:numFmt w:val="bullet"/>
      <w:lvlText w:val=""/>
      <w:lvlJc w:val="left"/>
      <w:pPr>
        <w:ind w:left="720" w:hanging="360"/>
      </w:pPr>
      <w:rPr>
        <w:rFonts w:ascii="Symbol" w:hAnsi="Symbol" w:hint="default"/>
      </w:rPr>
    </w:lvl>
    <w:lvl w:ilvl="1" w:tplc="2D92AD48" w:tentative="1">
      <w:start w:val="1"/>
      <w:numFmt w:val="bullet"/>
      <w:lvlText w:val="o"/>
      <w:lvlJc w:val="left"/>
      <w:pPr>
        <w:ind w:left="1440" w:hanging="360"/>
      </w:pPr>
      <w:rPr>
        <w:rFonts w:ascii="Courier New" w:hAnsi="Courier New" w:cs="Courier New" w:hint="default"/>
      </w:rPr>
    </w:lvl>
    <w:lvl w:ilvl="2" w:tplc="12360CD4" w:tentative="1">
      <w:start w:val="1"/>
      <w:numFmt w:val="bullet"/>
      <w:lvlText w:val=""/>
      <w:lvlJc w:val="left"/>
      <w:pPr>
        <w:ind w:left="2160" w:hanging="360"/>
      </w:pPr>
      <w:rPr>
        <w:rFonts w:ascii="Wingdings" w:hAnsi="Wingdings" w:hint="default"/>
      </w:rPr>
    </w:lvl>
    <w:lvl w:ilvl="3" w:tplc="8054A280" w:tentative="1">
      <w:start w:val="1"/>
      <w:numFmt w:val="bullet"/>
      <w:lvlText w:val=""/>
      <w:lvlJc w:val="left"/>
      <w:pPr>
        <w:ind w:left="2880" w:hanging="360"/>
      </w:pPr>
      <w:rPr>
        <w:rFonts w:ascii="Symbol" w:hAnsi="Symbol" w:hint="default"/>
      </w:rPr>
    </w:lvl>
    <w:lvl w:ilvl="4" w:tplc="AC581DBA" w:tentative="1">
      <w:start w:val="1"/>
      <w:numFmt w:val="bullet"/>
      <w:lvlText w:val="o"/>
      <w:lvlJc w:val="left"/>
      <w:pPr>
        <w:ind w:left="3600" w:hanging="360"/>
      </w:pPr>
      <w:rPr>
        <w:rFonts w:ascii="Courier New" w:hAnsi="Courier New" w:cs="Courier New" w:hint="default"/>
      </w:rPr>
    </w:lvl>
    <w:lvl w:ilvl="5" w:tplc="B8B819E6" w:tentative="1">
      <w:start w:val="1"/>
      <w:numFmt w:val="bullet"/>
      <w:lvlText w:val=""/>
      <w:lvlJc w:val="left"/>
      <w:pPr>
        <w:ind w:left="4320" w:hanging="360"/>
      </w:pPr>
      <w:rPr>
        <w:rFonts w:ascii="Wingdings" w:hAnsi="Wingdings" w:hint="default"/>
      </w:rPr>
    </w:lvl>
    <w:lvl w:ilvl="6" w:tplc="D98EB1AC" w:tentative="1">
      <w:start w:val="1"/>
      <w:numFmt w:val="bullet"/>
      <w:lvlText w:val=""/>
      <w:lvlJc w:val="left"/>
      <w:pPr>
        <w:ind w:left="5040" w:hanging="360"/>
      </w:pPr>
      <w:rPr>
        <w:rFonts w:ascii="Symbol" w:hAnsi="Symbol" w:hint="default"/>
      </w:rPr>
    </w:lvl>
    <w:lvl w:ilvl="7" w:tplc="A650FDE8" w:tentative="1">
      <w:start w:val="1"/>
      <w:numFmt w:val="bullet"/>
      <w:lvlText w:val="o"/>
      <w:lvlJc w:val="left"/>
      <w:pPr>
        <w:ind w:left="5760" w:hanging="360"/>
      </w:pPr>
      <w:rPr>
        <w:rFonts w:ascii="Courier New" w:hAnsi="Courier New" w:cs="Courier New" w:hint="default"/>
      </w:rPr>
    </w:lvl>
    <w:lvl w:ilvl="8" w:tplc="40D8F4A4" w:tentative="1">
      <w:start w:val="1"/>
      <w:numFmt w:val="bullet"/>
      <w:lvlText w:val=""/>
      <w:lvlJc w:val="left"/>
      <w:pPr>
        <w:ind w:left="6480" w:hanging="360"/>
      </w:pPr>
      <w:rPr>
        <w:rFonts w:ascii="Wingdings" w:hAnsi="Wingdings" w:hint="default"/>
      </w:rPr>
    </w:lvl>
  </w:abstractNum>
  <w:abstractNum w:abstractNumId="29" w15:restartNumberingAfterBreak="0">
    <w:nsid w:val="6D371E4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36F397D"/>
    <w:multiLevelType w:val="hybridMultilevel"/>
    <w:tmpl w:val="736E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C924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8397574"/>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E6513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B38599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B512BD8"/>
    <w:multiLevelType w:val="hybridMultilevel"/>
    <w:tmpl w:val="945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38" w15:restartNumberingAfterBreak="0">
    <w:nsid w:val="7D557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F7618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8"/>
  </w:num>
  <w:num w:numId="3">
    <w:abstractNumId w:val="2"/>
  </w:num>
  <w:num w:numId="4">
    <w:abstractNumId w:val="39"/>
  </w:num>
  <w:num w:numId="5">
    <w:abstractNumId w:val="25"/>
  </w:num>
  <w:num w:numId="6">
    <w:abstractNumId w:val="30"/>
  </w:num>
  <w:num w:numId="7">
    <w:abstractNumId w:val="20"/>
  </w:num>
  <w:num w:numId="8">
    <w:abstractNumId w:val="36"/>
  </w:num>
  <w:num w:numId="9">
    <w:abstractNumId w:val="39"/>
  </w:num>
  <w:num w:numId="10">
    <w:abstractNumId w:val="39"/>
  </w:num>
  <w:num w:numId="11">
    <w:abstractNumId w:val="37"/>
  </w:num>
  <w:num w:numId="12">
    <w:abstractNumId w:val="27"/>
  </w:num>
  <w:num w:numId="13">
    <w:abstractNumId w:val="28"/>
  </w:num>
  <w:num w:numId="14">
    <w:abstractNumId w:val="22"/>
  </w:num>
  <w:num w:numId="15">
    <w:abstractNumId w:val="40"/>
  </w:num>
  <w:num w:numId="16">
    <w:abstractNumId w:val="24"/>
  </w:num>
  <w:num w:numId="17">
    <w:abstractNumId w:val="10"/>
  </w:num>
  <w:num w:numId="18">
    <w:abstractNumId w:val="17"/>
  </w:num>
  <w:num w:numId="19">
    <w:abstractNumId w:val="0"/>
  </w:num>
  <w:num w:numId="20">
    <w:abstractNumId w:val="19"/>
  </w:num>
  <w:num w:numId="21">
    <w:abstractNumId w:val="31"/>
  </w:num>
  <w:num w:numId="22">
    <w:abstractNumId w:val="38"/>
  </w:num>
  <w:num w:numId="23">
    <w:abstractNumId w:val="15"/>
  </w:num>
  <w:num w:numId="24">
    <w:abstractNumId w:val="4"/>
  </w:num>
  <w:num w:numId="25">
    <w:abstractNumId w:val="16"/>
  </w:num>
  <w:num w:numId="26">
    <w:abstractNumId w:val="34"/>
  </w:num>
  <w:num w:numId="27">
    <w:abstractNumId w:val="35"/>
  </w:num>
  <w:num w:numId="28">
    <w:abstractNumId w:val="29"/>
  </w:num>
  <w:num w:numId="29">
    <w:abstractNumId w:val="3"/>
  </w:num>
  <w:num w:numId="30">
    <w:abstractNumId w:val="12"/>
  </w:num>
  <w:num w:numId="31">
    <w:abstractNumId w:val="7"/>
  </w:num>
  <w:num w:numId="32">
    <w:abstractNumId w:val="21"/>
  </w:num>
  <w:num w:numId="33">
    <w:abstractNumId w:val="6"/>
  </w:num>
  <w:num w:numId="34">
    <w:abstractNumId w:val="32"/>
  </w:num>
  <w:num w:numId="35">
    <w:abstractNumId w:val="33"/>
  </w:num>
  <w:num w:numId="36">
    <w:abstractNumId w:val="41"/>
  </w:num>
  <w:num w:numId="37">
    <w:abstractNumId w:val="8"/>
  </w:num>
  <w:num w:numId="38">
    <w:abstractNumId w:val="26"/>
  </w:num>
  <w:num w:numId="39">
    <w:abstractNumId w:val="11"/>
  </w:num>
  <w:num w:numId="40">
    <w:abstractNumId w:val="1"/>
  </w:num>
  <w:num w:numId="41">
    <w:abstractNumId w:val="39"/>
  </w:num>
  <w:num w:numId="42">
    <w:abstractNumId w:val="23"/>
  </w:num>
  <w:num w:numId="43">
    <w:abstractNumId w:val="39"/>
  </w:num>
  <w:num w:numId="44">
    <w:abstractNumId w:val="13"/>
  </w:num>
  <w:num w:numId="45">
    <w:abstractNumId w:val="5"/>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5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2D"/>
    <w:rsid w:val="00007899"/>
    <w:rsid w:val="000112E5"/>
    <w:rsid w:val="000235E0"/>
    <w:rsid w:val="00031CFC"/>
    <w:rsid w:val="0004555F"/>
    <w:rsid w:val="0005314A"/>
    <w:rsid w:val="000556CB"/>
    <w:rsid w:val="00056206"/>
    <w:rsid w:val="00056F1E"/>
    <w:rsid w:val="00061EFC"/>
    <w:rsid w:val="000656D9"/>
    <w:rsid w:val="00070D49"/>
    <w:rsid w:val="000739D1"/>
    <w:rsid w:val="00073FA6"/>
    <w:rsid w:val="0008057D"/>
    <w:rsid w:val="00090A4E"/>
    <w:rsid w:val="000945B5"/>
    <w:rsid w:val="00094C9A"/>
    <w:rsid w:val="00097FB9"/>
    <w:rsid w:val="000A0399"/>
    <w:rsid w:val="000B0E53"/>
    <w:rsid w:val="000B67A3"/>
    <w:rsid w:val="000B7D21"/>
    <w:rsid w:val="000C0FBA"/>
    <w:rsid w:val="000D063D"/>
    <w:rsid w:val="000D2E7C"/>
    <w:rsid w:val="000E19B1"/>
    <w:rsid w:val="000F5176"/>
    <w:rsid w:val="000F5D3A"/>
    <w:rsid w:val="000F74E9"/>
    <w:rsid w:val="001012E5"/>
    <w:rsid w:val="00102DCE"/>
    <w:rsid w:val="001049CD"/>
    <w:rsid w:val="00104D2C"/>
    <w:rsid w:val="0010519E"/>
    <w:rsid w:val="0010590D"/>
    <w:rsid w:val="001061FA"/>
    <w:rsid w:val="00107976"/>
    <w:rsid w:val="0011446D"/>
    <w:rsid w:val="00115BFE"/>
    <w:rsid w:val="0012152F"/>
    <w:rsid w:val="00122DBF"/>
    <w:rsid w:val="001236F3"/>
    <w:rsid w:val="00127666"/>
    <w:rsid w:val="0013477F"/>
    <w:rsid w:val="00134E9D"/>
    <w:rsid w:val="0013640A"/>
    <w:rsid w:val="001370FA"/>
    <w:rsid w:val="0014047F"/>
    <w:rsid w:val="00145B8A"/>
    <w:rsid w:val="001461C0"/>
    <w:rsid w:val="001463EB"/>
    <w:rsid w:val="00151F0C"/>
    <w:rsid w:val="0015430B"/>
    <w:rsid w:val="00163FC8"/>
    <w:rsid w:val="0016506F"/>
    <w:rsid w:val="00170CB2"/>
    <w:rsid w:val="001745F0"/>
    <w:rsid w:val="0018099A"/>
    <w:rsid w:val="00182E98"/>
    <w:rsid w:val="00192151"/>
    <w:rsid w:val="00195E09"/>
    <w:rsid w:val="00195F46"/>
    <w:rsid w:val="001A7100"/>
    <w:rsid w:val="001B0BA5"/>
    <w:rsid w:val="001B4DE2"/>
    <w:rsid w:val="001B685B"/>
    <w:rsid w:val="001C56AB"/>
    <w:rsid w:val="001C79EF"/>
    <w:rsid w:val="001D03AE"/>
    <w:rsid w:val="001D1882"/>
    <w:rsid w:val="001D4A27"/>
    <w:rsid w:val="001E5FEF"/>
    <w:rsid w:val="001E60A6"/>
    <w:rsid w:val="00204A61"/>
    <w:rsid w:val="002070EE"/>
    <w:rsid w:val="00210349"/>
    <w:rsid w:val="0021099D"/>
    <w:rsid w:val="00217DF1"/>
    <w:rsid w:val="00220C1E"/>
    <w:rsid w:val="002413FF"/>
    <w:rsid w:val="0024270A"/>
    <w:rsid w:val="00252CF8"/>
    <w:rsid w:val="0025372B"/>
    <w:rsid w:val="00253D0C"/>
    <w:rsid w:val="00260189"/>
    <w:rsid w:val="002667F1"/>
    <w:rsid w:val="0026798E"/>
    <w:rsid w:val="002740B6"/>
    <w:rsid w:val="00274C3E"/>
    <w:rsid w:val="002A134C"/>
    <w:rsid w:val="002A4ADA"/>
    <w:rsid w:val="002B391E"/>
    <w:rsid w:val="002B43F3"/>
    <w:rsid w:val="002B4D3C"/>
    <w:rsid w:val="002B4F37"/>
    <w:rsid w:val="002C0635"/>
    <w:rsid w:val="002C0A51"/>
    <w:rsid w:val="002C2272"/>
    <w:rsid w:val="002C2521"/>
    <w:rsid w:val="002C2963"/>
    <w:rsid w:val="002C3B13"/>
    <w:rsid w:val="002C5A60"/>
    <w:rsid w:val="002C785E"/>
    <w:rsid w:val="002D40AF"/>
    <w:rsid w:val="002D6B74"/>
    <w:rsid w:val="002E23E7"/>
    <w:rsid w:val="002E3F01"/>
    <w:rsid w:val="002F76C6"/>
    <w:rsid w:val="003019CD"/>
    <w:rsid w:val="003114FB"/>
    <w:rsid w:val="00316F20"/>
    <w:rsid w:val="00324CE1"/>
    <w:rsid w:val="0033335A"/>
    <w:rsid w:val="00335D5A"/>
    <w:rsid w:val="00335FA1"/>
    <w:rsid w:val="00336564"/>
    <w:rsid w:val="00344B5B"/>
    <w:rsid w:val="00347A7E"/>
    <w:rsid w:val="00351C1B"/>
    <w:rsid w:val="00355BD4"/>
    <w:rsid w:val="0036438B"/>
    <w:rsid w:val="003661F9"/>
    <w:rsid w:val="003715E6"/>
    <w:rsid w:val="00372DD3"/>
    <w:rsid w:val="00373E37"/>
    <w:rsid w:val="00377C0D"/>
    <w:rsid w:val="00381CF4"/>
    <w:rsid w:val="00382C46"/>
    <w:rsid w:val="00383A02"/>
    <w:rsid w:val="00391051"/>
    <w:rsid w:val="003B0300"/>
    <w:rsid w:val="003B0856"/>
    <w:rsid w:val="003B1335"/>
    <w:rsid w:val="003B1A08"/>
    <w:rsid w:val="003C2BD3"/>
    <w:rsid w:val="003D0831"/>
    <w:rsid w:val="003D2774"/>
    <w:rsid w:val="003D2D25"/>
    <w:rsid w:val="003D4E8A"/>
    <w:rsid w:val="003D59CB"/>
    <w:rsid w:val="003E1BB3"/>
    <w:rsid w:val="003E745D"/>
    <w:rsid w:val="003E79F7"/>
    <w:rsid w:val="003F4842"/>
    <w:rsid w:val="003F5154"/>
    <w:rsid w:val="003F6933"/>
    <w:rsid w:val="003F7A76"/>
    <w:rsid w:val="004004FA"/>
    <w:rsid w:val="00403DB9"/>
    <w:rsid w:val="0040431A"/>
    <w:rsid w:val="004213D9"/>
    <w:rsid w:val="0043370C"/>
    <w:rsid w:val="00435B2B"/>
    <w:rsid w:val="00437715"/>
    <w:rsid w:val="00440A32"/>
    <w:rsid w:val="00441444"/>
    <w:rsid w:val="00444138"/>
    <w:rsid w:val="004455DD"/>
    <w:rsid w:val="0045748E"/>
    <w:rsid w:val="00467BA6"/>
    <w:rsid w:val="00470F0C"/>
    <w:rsid w:val="004748CC"/>
    <w:rsid w:val="00475AF5"/>
    <w:rsid w:val="00484224"/>
    <w:rsid w:val="004857B8"/>
    <w:rsid w:val="004A2467"/>
    <w:rsid w:val="004A61D9"/>
    <w:rsid w:val="004B2675"/>
    <w:rsid w:val="004B34E3"/>
    <w:rsid w:val="004B4A80"/>
    <w:rsid w:val="004B66BB"/>
    <w:rsid w:val="004B688C"/>
    <w:rsid w:val="004B71C5"/>
    <w:rsid w:val="004C2A9A"/>
    <w:rsid w:val="004C42DA"/>
    <w:rsid w:val="004C4847"/>
    <w:rsid w:val="004C6CA8"/>
    <w:rsid w:val="004C6DE2"/>
    <w:rsid w:val="004D35A7"/>
    <w:rsid w:val="004D44E5"/>
    <w:rsid w:val="004D7FD9"/>
    <w:rsid w:val="004E4757"/>
    <w:rsid w:val="004F0900"/>
    <w:rsid w:val="004F66BD"/>
    <w:rsid w:val="004F6AA2"/>
    <w:rsid w:val="004F75A6"/>
    <w:rsid w:val="004F77CB"/>
    <w:rsid w:val="00500C2D"/>
    <w:rsid w:val="00501D7C"/>
    <w:rsid w:val="00510BDD"/>
    <w:rsid w:val="00512EA2"/>
    <w:rsid w:val="00513C42"/>
    <w:rsid w:val="005152BC"/>
    <w:rsid w:val="00516063"/>
    <w:rsid w:val="0051729C"/>
    <w:rsid w:val="005210C7"/>
    <w:rsid w:val="00521DCD"/>
    <w:rsid w:val="005305C6"/>
    <w:rsid w:val="00531274"/>
    <w:rsid w:val="00531B4E"/>
    <w:rsid w:val="00531C63"/>
    <w:rsid w:val="005372BD"/>
    <w:rsid w:val="00540F3A"/>
    <w:rsid w:val="005422D0"/>
    <w:rsid w:val="005515EE"/>
    <w:rsid w:val="00557E3B"/>
    <w:rsid w:val="005708C7"/>
    <w:rsid w:val="005720DA"/>
    <w:rsid w:val="00572AB6"/>
    <w:rsid w:val="00575656"/>
    <w:rsid w:val="00582CFF"/>
    <w:rsid w:val="0059383C"/>
    <w:rsid w:val="005A1AA7"/>
    <w:rsid w:val="005B466F"/>
    <w:rsid w:val="005B596D"/>
    <w:rsid w:val="005C08FE"/>
    <w:rsid w:val="005C692E"/>
    <w:rsid w:val="005D23A4"/>
    <w:rsid w:val="005E66E2"/>
    <w:rsid w:val="005E7A3E"/>
    <w:rsid w:val="005F2627"/>
    <w:rsid w:val="005F35AD"/>
    <w:rsid w:val="005F3BF1"/>
    <w:rsid w:val="00604F0B"/>
    <w:rsid w:val="00605519"/>
    <w:rsid w:val="00607349"/>
    <w:rsid w:val="00616924"/>
    <w:rsid w:val="0061777D"/>
    <w:rsid w:val="00621F10"/>
    <w:rsid w:val="00624501"/>
    <w:rsid w:val="00630FB5"/>
    <w:rsid w:val="006460C5"/>
    <w:rsid w:val="00647F0A"/>
    <w:rsid w:val="006637AB"/>
    <w:rsid w:val="00667D31"/>
    <w:rsid w:val="0067357E"/>
    <w:rsid w:val="00674580"/>
    <w:rsid w:val="00674A79"/>
    <w:rsid w:val="00674BD0"/>
    <w:rsid w:val="00675113"/>
    <w:rsid w:val="00677B60"/>
    <w:rsid w:val="0069037C"/>
    <w:rsid w:val="006921C0"/>
    <w:rsid w:val="0069220A"/>
    <w:rsid w:val="00692462"/>
    <w:rsid w:val="00697229"/>
    <w:rsid w:val="006A0464"/>
    <w:rsid w:val="006A4555"/>
    <w:rsid w:val="006A5149"/>
    <w:rsid w:val="006B1254"/>
    <w:rsid w:val="006B1541"/>
    <w:rsid w:val="006B231A"/>
    <w:rsid w:val="006B2E82"/>
    <w:rsid w:val="006B5738"/>
    <w:rsid w:val="006C74E2"/>
    <w:rsid w:val="006C7757"/>
    <w:rsid w:val="006D1DB1"/>
    <w:rsid w:val="006D2040"/>
    <w:rsid w:val="006D20A2"/>
    <w:rsid w:val="006D6312"/>
    <w:rsid w:val="006D79D3"/>
    <w:rsid w:val="006E1141"/>
    <w:rsid w:val="006E4F44"/>
    <w:rsid w:val="006E53A9"/>
    <w:rsid w:val="006E6165"/>
    <w:rsid w:val="006F1565"/>
    <w:rsid w:val="00700E75"/>
    <w:rsid w:val="00714C87"/>
    <w:rsid w:val="0071674A"/>
    <w:rsid w:val="00730C82"/>
    <w:rsid w:val="00732D04"/>
    <w:rsid w:val="007351B8"/>
    <w:rsid w:val="00735CE4"/>
    <w:rsid w:val="00746C96"/>
    <w:rsid w:val="007534BC"/>
    <w:rsid w:val="00757287"/>
    <w:rsid w:val="007612FA"/>
    <w:rsid w:val="00764A8D"/>
    <w:rsid w:val="007653BC"/>
    <w:rsid w:val="00774F91"/>
    <w:rsid w:val="0078119F"/>
    <w:rsid w:val="007853A6"/>
    <w:rsid w:val="00791C85"/>
    <w:rsid w:val="00793F8D"/>
    <w:rsid w:val="007A0CEA"/>
    <w:rsid w:val="007A3978"/>
    <w:rsid w:val="007A44ED"/>
    <w:rsid w:val="007B2F07"/>
    <w:rsid w:val="007B3033"/>
    <w:rsid w:val="007B444B"/>
    <w:rsid w:val="007B5A4D"/>
    <w:rsid w:val="007B7D04"/>
    <w:rsid w:val="007C050D"/>
    <w:rsid w:val="007D0169"/>
    <w:rsid w:val="007D57D5"/>
    <w:rsid w:val="007E11E5"/>
    <w:rsid w:val="007E3378"/>
    <w:rsid w:val="007E424C"/>
    <w:rsid w:val="007E4C05"/>
    <w:rsid w:val="007E6AB7"/>
    <w:rsid w:val="00802958"/>
    <w:rsid w:val="00802ACA"/>
    <w:rsid w:val="008035C3"/>
    <w:rsid w:val="0080694B"/>
    <w:rsid w:val="00811707"/>
    <w:rsid w:val="00813A81"/>
    <w:rsid w:val="0081580E"/>
    <w:rsid w:val="00816B0C"/>
    <w:rsid w:val="00816BA9"/>
    <w:rsid w:val="008236B1"/>
    <w:rsid w:val="0082575E"/>
    <w:rsid w:val="008316A3"/>
    <w:rsid w:val="00840B00"/>
    <w:rsid w:val="00842AA2"/>
    <w:rsid w:val="00861DF6"/>
    <w:rsid w:val="0086483E"/>
    <w:rsid w:val="00865598"/>
    <w:rsid w:val="00867A92"/>
    <w:rsid w:val="00870068"/>
    <w:rsid w:val="00877EB0"/>
    <w:rsid w:val="00882C73"/>
    <w:rsid w:val="00883CEC"/>
    <w:rsid w:val="00884608"/>
    <w:rsid w:val="00891859"/>
    <w:rsid w:val="0089656C"/>
    <w:rsid w:val="0089720F"/>
    <w:rsid w:val="008A43CC"/>
    <w:rsid w:val="008B36C4"/>
    <w:rsid w:val="008B5E76"/>
    <w:rsid w:val="008B6DDC"/>
    <w:rsid w:val="008C43AB"/>
    <w:rsid w:val="008C5BE2"/>
    <w:rsid w:val="008D0A3D"/>
    <w:rsid w:val="008D2952"/>
    <w:rsid w:val="008D5909"/>
    <w:rsid w:val="009031DC"/>
    <w:rsid w:val="009074E1"/>
    <w:rsid w:val="0091032A"/>
    <w:rsid w:val="009118FF"/>
    <w:rsid w:val="00912FF7"/>
    <w:rsid w:val="0092035A"/>
    <w:rsid w:val="009203C3"/>
    <w:rsid w:val="00926988"/>
    <w:rsid w:val="00934A13"/>
    <w:rsid w:val="00935862"/>
    <w:rsid w:val="00943B30"/>
    <w:rsid w:val="00944A2C"/>
    <w:rsid w:val="009468BC"/>
    <w:rsid w:val="00946CD2"/>
    <w:rsid w:val="009472F5"/>
    <w:rsid w:val="00960FDB"/>
    <w:rsid w:val="00962FCD"/>
    <w:rsid w:val="00964233"/>
    <w:rsid w:val="009651FF"/>
    <w:rsid w:val="00965615"/>
    <w:rsid w:val="00970733"/>
    <w:rsid w:val="009844CE"/>
    <w:rsid w:val="0098544D"/>
    <w:rsid w:val="009859F7"/>
    <w:rsid w:val="00991FB8"/>
    <w:rsid w:val="00992018"/>
    <w:rsid w:val="009A108C"/>
    <w:rsid w:val="009A24F2"/>
    <w:rsid w:val="009A4B5B"/>
    <w:rsid w:val="009D1A1F"/>
    <w:rsid w:val="009D5748"/>
    <w:rsid w:val="009E34DA"/>
    <w:rsid w:val="009E4C67"/>
    <w:rsid w:val="009E65ED"/>
    <w:rsid w:val="009E735F"/>
    <w:rsid w:val="009F6241"/>
    <w:rsid w:val="00A01575"/>
    <w:rsid w:val="00A10D88"/>
    <w:rsid w:val="00A35E49"/>
    <w:rsid w:val="00A403CA"/>
    <w:rsid w:val="00A4108A"/>
    <w:rsid w:val="00A508E6"/>
    <w:rsid w:val="00A62067"/>
    <w:rsid w:val="00A7057A"/>
    <w:rsid w:val="00A72561"/>
    <w:rsid w:val="00A750B6"/>
    <w:rsid w:val="00A760A2"/>
    <w:rsid w:val="00A77538"/>
    <w:rsid w:val="00A878FB"/>
    <w:rsid w:val="00A90AB7"/>
    <w:rsid w:val="00A9679B"/>
    <w:rsid w:val="00AA3C18"/>
    <w:rsid w:val="00AA5597"/>
    <w:rsid w:val="00AB02E2"/>
    <w:rsid w:val="00AC1C71"/>
    <w:rsid w:val="00AC729A"/>
    <w:rsid w:val="00AD45E6"/>
    <w:rsid w:val="00AD5324"/>
    <w:rsid w:val="00AE2CF2"/>
    <w:rsid w:val="00AE689E"/>
    <w:rsid w:val="00AE77C3"/>
    <w:rsid w:val="00B258EE"/>
    <w:rsid w:val="00B36F10"/>
    <w:rsid w:val="00B373AF"/>
    <w:rsid w:val="00B3771A"/>
    <w:rsid w:val="00B40DE4"/>
    <w:rsid w:val="00B41011"/>
    <w:rsid w:val="00B42918"/>
    <w:rsid w:val="00B50DAA"/>
    <w:rsid w:val="00B51C15"/>
    <w:rsid w:val="00B543C2"/>
    <w:rsid w:val="00B602B7"/>
    <w:rsid w:val="00B61E76"/>
    <w:rsid w:val="00B634A3"/>
    <w:rsid w:val="00B7173F"/>
    <w:rsid w:val="00B7359A"/>
    <w:rsid w:val="00B748D0"/>
    <w:rsid w:val="00B76438"/>
    <w:rsid w:val="00B7661C"/>
    <w:rsid w:val="00B83610"/>
    <w:rsid w:val="00B90A5E"/>
    <w:rsid w:val="00B90F0B"/>
    <w:rsid w:val="00B94E3B"/>
    <w:rsid w:val="00B960E0"/>
    <w:rsid w:val="00B96194"/>
    <w:rsid w:val="00B97BF2"/>
    <w:rsid w:val="00BA23CF"/>
    <w:rsid w:val="00BA3A88"/>
    <w:rsid w:val="00BA5DCE"/>
    <w:rsid w:val="00BA7F15"/>
    <w:rsid w:val="00BB3562"/>
    <w:rsid w:val="00BB5E73"/>
    <w:rsid w:val="00BB7044"/>
    <w:rsid w:val="00BC0E5B"/>
    <w:rsid w:val="00BC2ABD"/>
    <w:rsid w:val="00BC3333"/>
    <w:rsid w:val="00BC44F7"/>
    <w:rsid w:val="00BD5F55"/>
    <w:rsid w:val="00BE3052"/>
    <w:rsid w:val="00BE4B52"/>
    <w:rsid w:val="00BF7D35"/>
    <w:rsid w:val="00C03DBD"/>
    <w:rsid w:val="00C05120"/>
    <w:rsid w:val="00C078FD"/>
    <w:rsid w:val="00C10C16"/>
    <w:rsid w:val="00C15BC0"/>
    <w:rsid w:val="00C22742"/>
    <w:rsid w:val="00C22C53"/>
    <w:rsid w:val="00C23982"/>
    <w:rsid w:val="00C2538E"/>
    <w:rsid w:val="00C32396"/>
    <w:rsid w:val="00C40059"/>
    <w:rsid w:val="00C420E9"/>
    <w:rsid w:val="00C51E83"/>
    <w:rsid w:val="00C51F45"/>
    <w:rsid w:val="00C523C3"/>
    <w:rsid w:val="00C5322A"/>
    <w:rsid w:val="00C561B4"/>
    <w:rsid w:val="00C6114B"/>
    <w:rsid w:val="00C616D7"/>
    <w:rsid w:val="00C6525C"/>
    <w:rsid w:val="00C74542"/>
    <w:rsid w:val="00C76A53"/>
    <w:rsid w:val="00C8026E"/>
    <w:rsid w:val="00C810A6"/>
    <w:rsid w:val="00C82054"/>
    <w:rsid w:val="00C90DE3"/>
    <w:rsid w:val="00C91627"/>
    <w:rsid w:val="00C95977"/>
    <w:rsid w:val="00CA01A6"/>
    <w:rsid w:val="00CA0760"/>
    <w:rsid w:val="00CA0D6A"/>
    <w:rsid w:val="00CA0E47"/>
    <w:rsid w:val="00CA682D"/>
    <w:rsid w:val="00CB1C7E"/>
    <w:rsid w:val="00CB3A78"/>
    <w:rsid w:val="00CB6CD9"/>
    <w:rsid w:val="00CB7D64"/>
    <w:rsid w:val="00CB7ED3"/>
    <w:rsid w:val="00CC57FE"/>
    <w:rsid w:val="00CD1EAD"/>
    <w:rsid w:val="00CE4B09"/>
    <w:rsid w:val="00CF2E46"/>
    <w:rsid w:val="00D003B9"/>
    <w:rsid w:val="00D018AF"/>
    <w:rsid w:val="00D04F1B"/>
    <w:rsid w:val="00D057F8"/>
    <w:rsid w:val="00D10381"/>
    <w:rsid w:val="00D118CE"/>
    <w:rsid w:val="00D202D4"/>
    <w:rsid w:val="00D24A6F"/>
    <w:rsid w:val="00D34A6C"/>
    <w:rsid w:val="00D364F2"/>
    <w:rsid w:val="00D452F4"/>
    <w:rsid w:val="00D47FC9"/>
    <w:rsid w:val="00D5308B"/>
    <w:rsid w:val="00D562D2"/>
    <w:rsid w:val="00D6128B"/>
    <w:rsid w:val="00D6184E"/>
    <w:rsid w:val="00D66012"/>
    <w:rsid w:val="00D75FE9"/>
    <w:rsid w:val="00D833FF"/>
    <w:rsid w:val="00D850CE"/>
    <w:rsid w:val="00D924C3"/>
    <w:rsid w:val="00D93135"/>
    <w:rsid w:val="00DA3D0F"/>
    <w:rsid w:val="00DA46E9"/>
    <w:rsid w:val="00DA5979"/>
    <w:rsid w:val="00DB1F22"/>
    <w:rsid w:val="00DC011D"/>
    <w:rsid w:val="00DC337A"/>
    <w:rsid w:val="00DC35CF"/>
    <w:rsid w:val="00DC5108"/>
    <w:rsid w:val="00DC689A"/>
    <w:rsid w:val="00DC6C6D"/>
    <w:rsid w:val="00DD3FB5"/>
    <w:rsid w:val="00DD633A"/>
    <w:rsid w:val="00DD73BE"/>
    <w:rsid w:val="00DE39AD"/>
    <w:rsid w:val="00DE6EB1"/>
    <w:rsid w:val="00DF0D48"/>
    <w:rsid w:val="00DF10B8"/>
    <w:rsid w:val="00DF140E"/>
    <w:rsid w:val="00DF3859"/>
    <w:rsid w:val="00DF40FC"/>
    <w:rsid w:val="00DF4AC6"/>
    <w:rsid w:val="00E010F5"/>
    <w:rsid w:val="00E01547"/>
    <w:rsid w:val="00E14F84"/>
    <w:rsid w:val="00E16907"/>
    <w:rsid w:val="00E30896"/>
    <w:rsid w:val="00E32058"/>
    <w:rsid w:val="00E33098"/>
    <w:rsid w:val="00E356CE"/>
    <w:rsid w:val="00E35B41"/>
    <w:rsid w:val="00E43087"/>
    <w:rsid w:val="00E46B09"/>
    <w:rsid w:val="00E546CC"/>
    <w:rsid w:val="00E54F8A"/>
    <w:rsid w:val="00E61D6D"/>
    <w:rsid w:val="00E66FEB"/>
    <w:rsid w:val="00E671C9"/>
    <w:rsid w:val="00E71B34"/>
    <w:rsid w:val="00E743A0"/>
    <w:rsid w:val="00E7697C"/>
    <w:rsid w:val="00E8076E"/>
    <w:rsid w:val="00E846BF"/>
    <w:rsid w:val="00EA1A9E"/>
    <w:rsid w:val="00EA644C"/>
    <w:rsid w:val="00EA6F3D"/>
    <w:rsid w:val="00EE2454"/>
    <w:rsid w:val="00EE3961"/>
    <w:rsid w:val="00EF040C"/>
    <w:rsid w:val="00EF30A1"/>
    <w:rsid w:val="00F046EB"/>
    <w:rsid w:val="00F215BD"/>
    <w:rsid w:val="00F23FF5"/>
    <w:rsid w:val="00F30A6E"/>
    <w:rsid w:val="00F31978"/>
    <w:rsid w:val="00F35025"/>
    <w:rsid w:val="00F412B1"/>
    <w:rsid w:val="00F4504C"/>
    <w:rsid w:val="00F54DBA"/>
    <w:rsid w:val="00F5535C"/>
    <w:rsid w:val="00F55699"/>
    <w:rsid w:val="00F572EC"/>
    <w:rsid w:val="00F61B62"/>
    <w:rsid w:val="00F62FC9"/>
    <w:rsid w:val="00F64856"/>
    <w:rsid w:val="00F67DFE"/>
    <w:rsid w:val="00F74FF0"/>
    <w:rsid w:val="00F84806"/>
    <w:rsid w:val="00F875AC"/>
    <w:rsid w:val="00F90A96"/>
    <w:rsid w:val="00F92A75"/>
    <w:rsid w:val="00FA00E5"/>
    <w:rsid w:val="00FA2187"/>
    <w:rsid w:val="00FA3A75"/>
    <w:rsid w:val="00FA5F23"/>
    <w:rsid w:val="00FA6A71"/>
    <w:rsid w:val="00FB1085"/>
    <w:rsid w:val="00FB11C4"/>
    <w:rsid w:val="00FB4530"/>
    <w:rsid w:val="00FB7E3C"/>
    <w:rsid w:val="00FC1A46"/>
    <w:rsid w:val="00FC1AD2"/>
    <w:rsid w:val="00FC20AD"/>
    <w:rsid w:val="00FC56F1"/>
    <w:rsid w:val="00FC5C65"/>
    <w:rsid w:val="00FC72EA"/>
    <w:rsid w:val="00FD287B"/>
    <w:rsid w:val="00FD5D18"/>
    <w:rsid w:val="00FE11B6"/>
    <w:rsid w:val="00FE53DF"/>
    <w:rsid w:val="00FE57AF"/>
    <w:rsid w:val="00FE674B"/>
    <w:rsid w:val="00FF0669"/>
    <w:rsid w:val="00FF2BE3"/>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8"/>
    <o:shapelayout v:ext="edit">
      <o:idmap v:ext="edit" data="1"/>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256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airwork.gov.au/about-us/news-and-media-releases/website-news/annual-wage-review-2021" TargetMode="External"/><Relationship Id="rId2" Type="http://schemas.openxmlformats.org/officeDocument/2006/relationships/hyperlink" Target="https://www.abs.gov.au/media-centre/media-releases/cpi-rose-08-june-2021-quarter" TargetMode="External"/><Relationship Id="rId1" Type="http://schemas.openxmlformats.org/officeDocument/2006/relationships/hyperlink" Target="https://www.abs.gov.au/statistics/economy/price-indexes-and-inflation/consumer-price-index-australia/jun-2021" TargetMode="External"/><Relationship Id="rId4" Type="http://schemas.openxmlformats.org/officeDocument/2006/relationships/hyperlink" Target="https://www.ato.gov.au/law/view/document?DocID=TXD/TD20216/NAT/ATO/00001&amp;PiT=999912312359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346F7D77-BCBF-4C62-8352-2E348782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3590</Words>
  <Characters>19179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22724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Andrew4</cp:lastModifiedBy>
  <cp:revision>7</cp:revision>
  <cp:lastPrinted>2018-03-18T23:32:00Z</cp:lastPrinted>
  <dcterms:created xsi:type="dcterms:W3CDTF">2021-08-06T05:50:00Z</dcterms:created>
  <dcterms:modified xsi:type="dcterms:W3CDTF">2021-08-09T13:06:00Z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