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66BDD3B3" w:rsidR="009E4C67" w:rsidRDefault="009E4C67" w:rsidP="009E4C67">
      <w:pPr>
        <w:pStyle w:val="Heading1"/>
        <w:keepLines/>
        <w:pageBreakBefore w:val="0"/>
        <w:pBdr>
          <w:bottom w:val="none" w:sz="0" w:space="0" w:color="auto"/>
        </w:pBdr>
        <w:spacing w:before="240"/>
      </w:pPr>
      <w:r w:rsidRPr="00F215BD">
        <w:t xml:space="preserve">Determination </w:t>
      </w:r>
      <w:r w:rsidR="0036660B">
        <w:t>7</w:t>
      </w:r>
      <w:r w:rsidR="007E424C" w:rsidRPr="007A0CEA">
        <w:t xml:space="preserve"> </w:t>
      </w:r>
      <w:r w:rsidR="00DC6C6D" w:rsidRPr="007A0CEA">
        <w:t xml:space="preserve">of </w:t>
      </w:r>
      <w:r w:rsidR="007E424C" w:rsidRPr="007A0CEA">
        <w:t>201</w:t>
      </w:r>
      <w:r w:rsidR="007E424C">
        <w:t xml:space="preserve">8  </w:t>
      </w:r>
      <w:r w:rsidR="00074BFB">
        <w:t xml:space="preserve"> </w:t>
      </w:r>
    </w:p>
    <w:p w14:paraId="0263C472" w14:textId="57FB81BE" w:rsidR="00DC6C6D" w:rsidRPr="00DC6C6D" w:rsidRDefault="0036660B" w:rsidP="00DC6C6D">
      <w:pPr>
        <w:pStyle w:val="Heading1"/>
        <w:keepLines/>
        <w:pageBreakBefore w:val="0"/>
        <w:pBdr>
          <w:bottom w:val="none" w:sz="0" w:space="0" w:color="auto"/>
        </w:pBdr>
        <w:spacing w:before="240"/>
      </w:pPr>
      <w:r>
        <w:t xml:space="preserve">Principal Registrar and Chief Executive Officer, </w:t>
      </w:r>
      <w:r w:rsidR="00EC6900">
        <w:br/>
      </w:r>
      <w:r>
        <w:t xml:space="preserve">ACT Courts and </w:t>
      </w:r>
      <w:r w:rsidR="00EC6900">
        <w:t>Tribunal</w:t>
      </w:r>
    </w:p>
    <w:p w14:paraId="4873F6F8" w14:textId="77777777" w:rsidR="00D66012" w:rsidRPr="003B1A08" w:rsidRDefault="00D66012" w:rsidP="00D66012">
      <w:proofErr w:type="gramStart"/>
      <w:r w:rsidRPr="003B1A08">
        <w:t>made</w:t>
      </w:r>
      <w:proofErr w:type="gramEnd"/>
      <w:r w:rsidRPr="003B1A08">
        <w:t xml:space="preserve"> under the </w:t>
      </w:r>
    </w:p>
    <w:p w14:paraId="23D672B9" w14:textId="77777777" w:rsidR="00D66012" w:rsidRPr="00DB411F" w:rsidRDefault="00D66012" w:rsidP="00D66012">
      <w:pPr>
        <w:rPr>
          <w:rFonts w:cs="Arial"/>
          <w:b/>
        </w:rPr>
      </w:pPr>
      <w:r w:rsidRPr="00DB411F">
        <w:rPr>
          <w:rFonts w:cs="Arial"/>
          <w:b/>
        </w:rPr>
        <w:t xml:space="preserve">Remuneration Tribunal Act </w:t>
      </w:r>
      <w:r w:rsidRPr="00EC6900">
        <w:rPr>
          <w:rFonts w:cs="Arial"/>
          <w:b/>
        </w:rPr>
        <w:t>1995, section 10 (Inquiries</w:t>
      </w:r>
      <w:r w:rsidRPr="00DB411F">
        <w:rPr>
          <w:rFonts w:cs="Arial"/>
          <w:b/>
        </w:rPr>
        <w:t xml:space="preserve"> about holders of certain positions)</w:t>
      </w:r>
    </w:p>
    <w:p w14:paraId="74FBD987" w14:textId="6A85677D"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14F37F0A" w14:textId="77777777" w:rsidR="004116C7" w:rsidRDefault="00F30A6E" w:rsidP="004116C7">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xml:space="preserve">, allowances and other entitlements for certain full-time public offices.  </w:t>
      </w:r>
    </w:p>
    <w:p w14:paraId="04D6F52C" w14:textId="7E0341B4" w:rsidR="004116C7" w:rsidRDefault="004116C7" w:rsidP="004116C7">
      <w:pPr>
        <w:spacing w:before="120" w:after="60"/>
      </w:pPr>
      <w:r>
        <w:t xml:space="preserve">On 28 March 2018, the Chief Minister requested that the Tribunal determine the remuneration, allowances and other entitlements to be granted to the position of </w:t>
      </w:r>
      <w:r>
        <w:br/>
        <w:t>Principal Registrar and Chief Executive O</w:t>
      </w:r>
      <w:r w:rsidR="00532922">
        <w:t>fficer, ACT Courts and Tribunal</w:t>
      </w:r>
      <w:r>
        <w:t>.</w:t>
      </w:r>
    </w:p>
    <w:p w14:paraId="0BAF66A4" w14:textId="5C5D5D73" w:rsidR="00F30A6E" w:rsidRPr="00087436" w:rsidRDefault="00674A79" w:rsidP="004116C7">
      <w:pPr>
        <w:spacing w:before="120" w:after="60"/>
        <w:rPr>
          <w:b/>
        </w:rPr>
      </w:pPr>
      <w:r>
        <w:rPr>
          <w:b/>
        </w:rPr>
        <w:t>Considerations</w:t>
      </w:r>
    </w:p>
    <w:p w14:paraId="140E430D" w14:textId="348F708F" w:rsidR="00E64868" w:rsidRPr="00E64868" w:rsidRDefault="00F30A6E" w:rsidP="00F30A6E">
      <w:pPr>
        <w:spacing w:before="120" w:after="60"/>
        <w:rPr>
          <w:szCs w:val="24"/>
        </w:rPr>
      </w:pPr>
      <w:r>
        <w:t xml:space="preserve">The Tribunal </w:t>
      </w:r>
      <w:r w:rsidR="004116C7" w:rsidRPr="00E64868">
        <w:rPr>
          <w:szCs w:val="24"/>
        </w:rPr>
        <w:t xml:space="preserve">considered submissions </w:t>
      </w:r>
      <w:r w:rsidR="00E64868" w:rsidRPr="00E64868">
        <w:rPr>
          <w:szCs w:val="24"/>
        </w:rPr>
        <w:t>from:</w:t>
      </w:r>
    </w:p>
    <w:p w14:paraId="4A6E2588" w14:textId="0DF6D73F" w:rsidR="00EC6900" w:rsidRPr="00E64868" w:rsidRDefault="00EC6900" w:rsidP="00EC6900">
      <w:pPr>
        <w:pStyle w:val="ListParagraph"/>
        <w:numPr>
          <w:ilvl w:val="0"/>
          <w:numId w:val="45"/>
        </w:numPr>
        <w:spacing w:before="120" w:after="60"/>
        <w:rPr>
          <w:sz w:val="24"/>
          <w:szCs w:val="24"/>
        </w:rPr>
      </w:pPr>
      <w:r>
        <w:rPr>
          <w:sz w:val="24"/>
          <w:szCs w:val="24"/>
        </w:rPr>
        <w:t>the Chief Justice and Chief Magistrate (joint submission);</w:t>
      </w:r>
    </w:p>
    <w:p w14:paraId="6301574D" w14:textId="39740F7F" w:rsidR="00F30A6E" w:rsidRPr="00E64868" w:rsidRDefault="00E64868" w:rsidP="00E64868">
      <w:pPr>
        <w:pStyle w:val="ListParagraph"/>
        <w:numPr>
          <w:ilvl w:val="0"/>
          <w:numId w:val="45"/>
        </w:numPr>
        <w:spacing w:before="120" w:after="60"/>
        <w:rPr>
          <w:sz w:val="24"/>
          <w:szCs w:val="24"/>
        </w:rPr>
      </w:pPr>
      <w:r w:rsidRPr="00E64868">
        <w:rPr>
          <w:sz w:val="24"/>
          <w:szCs w:val="24"/>
        </w:rPr>
        <w:t>t</w:t>
      </w:r>
      <w:r w:rsidR="004116C7" w:rsidRPr="00E64868">
        <w:rPr>
          <w:sz w:val="24"/>
          <w:szCs w:val="24"/>
        </w:rPr>
        <w:t>he Principal Registrar and Chief Executive Officer, ACT Courts and Tribu</w:t>
      </w:r>
      <w:r w:rsidR="00EC6900">
        <w:rPr>
          <w:sz w:val="24"/>
          <w:szCs w:val="24"/>
        </w:rPr>
        <w:t>nal</w:t>
      </w:r>
      <w:r w:rsidRPr="00E64868">
        <w:rPr>
          <w:sz w:val="24"/>
          <w:szCs w:val="24"/>
        </w:rPr>
        <w:t>;</w:t>
      </w:r>
    </w:p>
    <w:p w14:paraId="5976EA05" w14:textId="0636A9FE" w:rsidR="00E64868" w:rsidRPr="00E64868" w:rsidRDefault="00E64868" w:rsidP="00E64868">
      <w:pPr>
        <w:pStyle w:val="ListParagraph"/>
        <w:numPr>
          <w:ilvl w:val="0"/>
          <w:numId w:val="45"/>
        </w:numPr>
        <w:spacing w:before="120" w:after="60"/>
        <w:rPr>
          <w:sz w:val="24"/>
          <w:szCs w:val="24"/>
        </w:rPr>
      </w:pPr>
      <w:r w:rsidRPr="00E64868">
        <w:rPr>
          <w:sz w:val="24"/>
          <w:szCs w:val="24"/>
        </w:rPr>
        <w:t>the Justice and Community Safety Directorate;</w:t>
      </w:r>
    </w:p>
    <w:p w14:paraId="457F07E1" w14:textId="3F3DB2A7" w:rsidR="00BC44F7" w:rsidRDefault="00BC44F7" w:rsidP="00F30A6E">
      <w:pPr>
        <w:spacing w:before="120" w:after="60"/>
      </w:pPr>
      <w:r w:rsidRPr="00EC6900">
        <w:rPr>
          <w:szCs w:val="24"/>
        </w:rPr>
        <w:t xml:space="preserve">The Tribunal </w:t>
      </w:r>
      <w:r w:rsidR="00E64868" w:rsidRPr="00EC6900">
        <w:rPr>
          <w:szCs w:val="24"/>
        </w:rPr>
        <w:t>also received advice at their hearing from the Chief Justice of the ACT, the Principal Registrar and Chief Executive Officer, ACT Courts and Tribunal and an official from the Justice and Community Safety Directorate</w:t>
      </w:r>
      <w:r w:rsidRPr="00EC6900">
        <w:t>.</w:t>
      </w:r>
      <w:r>
        <w:t xml:space="preserve"> </w:t>
      </w:r>
    </w:p>
    <w:p w14:paraId="02261ADE" w14:textId="2A884844" w:rsidR="00796DC8" w:rsidRDefault="00796DC8" w:rsidP="00A750B6">
      <w:pPr>
        <w:spacing w:before="120" w:after="60"/>
      </w:pPr>
      <w:r w:rsidRPr="00796DC8">
        <w:t xml:space="preserve">The Tribunal noted the challenging and complex nature of the Principal Registrar position, particularly the dual responsibility to the three heads of jurisdiction in the ACT and the Executive Government, through the Justice and Community Safety Directorate in relation to financial accountability. </w:t>
      </w:r>
    </w:p>
    <w:p w14:paraId="75223AF4" w14:textId="0AE179B6" w:rsidR="00A750B6" w:rsidRDefault="00A750B6" w:rsidP="00A750B6">
      <w:pPr>
        <w:spacing w:before="120" w:after="60"/>
      </w:pPr>
      <w:r>
        <w:t>This determination sets out the Tribunal’s decisions.</w:t>
      </w:r>
    </w:p>
    <w:p w14:paraId="07070467" w14:textId="77777777" w:rsidR="00796DC8" w:rsidRDefault="00796DC8" w:rsidP="00A750B6">
      <w:pPr>
        <w:spacing w:before="120" w:after="60"/>
      </w:pPr>
    </w:p>
    <w:p w14:paraId="49492B6C" w14:textId="77777777" w:rsidR="00B5755A" w:rsidRDefault="00B5755A" w:rsidP="00A750B6">
      <w:pPr>
        <w:spacing w:before="120" w:after="60"/>
      </w:pPr>
    </w:p>
    <w:p w14:paraId="4D6232E5" w14:textId="77777777" w:rsidR="00F30A6E" w:rsidRDefault="00F30A6E" w:rsidP="00F30A6E">
      <w:pPr>
        <w:spacing w:before="120" w:after="60"/>
        <w:rPr>
          <w:b/>
        </w:rPr>
      </w:pPr>
      <w:r>
        <w:rPr>
          <w:b/>
        </w:rPr>
        <w:lastRenderedPageBreak/>
        <w:t>Decision</w:t>
      </w:r>
    </w:p>
    <w:p w14:paraId="72C0E33A" w14:textId="7F397BF8" w:rsidR="00F30A6E" w:rsidRPr="0078119F" w:rsidRDefault="004116C7" w:rsidP="00E64868">
      <w:pPr>
        <w:spacing w:before="120" w:after="120"/>
      </w:pPr>
      <w:r w:rsidRPr="009A3110">
        <w:rPr>
          <w:szCs w:val="24"/>
        </w:rPr>
        <w:t xml:space="preserve">The Tribunal determined remuneration of </w:t>
      </w:r>
      <w:r w:rsidR="00EC6900">
        <w:rPr>
          <w:szCs w:val="24"/>
        </w:rPr>
        <w:t>$241,915</w:t>
      </w:r>
      <w:r w:rsidRPr="009A3110">
        <w:rPr>
          <w:szCs w:val="24"/>
        </w:rPr>
        <w:t xml:space="preserve"> per annum for the position of </w:t>
      </w:r>
      <w:r>
        <w:rPr>
          <w:szCs w:val="24"/>
        </w:rPr>
        <w:t xml:space="preserve">Principal </w:t>
      </w:r>
      <w:r w:rsidRPr="00077DBF">
        <w:rPr>
          <w:szCs w:val="24"/>
        </w:rPr>
        <w:t xml:space="preserve">Registrar and Chief Executive Officer, ACT Courts and Tribunal, effective from </w:t>
      </w:r>
      <w:r w:rsidRPr="00077DBF">
        <w:rPr>
          <w:szCs w:val="24"/>
        </w:rPr>
        <w:br/>
      </w:r>
      <w:r w:rsidR="00077DBF" w:rsidRPr="00077DBF">
        <w:rPr>
          <w:szCs w:val="24"/>
        </w:rPr>
        <w:t>20</w:t>
      </w:r>
      <w:r w:rsidRPr="00077DBF">
        <w:rPr>
          <w:szCs w:val="24"/>
        </w:rPr>
        <w:t xml:space="preserve"> April 2018.</w:t>
      </w:r>
    </w:p>
    <w:p w14:paraId="4B22BC1F" w14:textId="793FBC59" w:rsidR="0092035A" w:rsidRDefault="004116C7" w:rsidP="00DC6C6D">
      <w:pPr>
        <w:ind w:left="360"/>
        <w:jc w:val="right"/>
        <w:rPr>
          <w:szCs w:val="24"/>
        </w:rPr>
      </w:pPr>
      <w:r>
        <w:rPr>
          <w:szCs w:val="24"/>
        </w:rPr>
        <w:t>April</w:t>
      </w:r>
      <w:r w:rsidR="007E424C">
        <w:rPr>
          <w:szCs w:val="24"/>
        </w:rPr>
        <w:t xml:space="preserve"> 2018</w:t>
      </w: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1C318E7E" w:rsidR="00204A61" w:rsidRDefault="00204A61" w:rsidP="00204A61">
      <w:pPr>
        <w:pStyle w:val="Heading1"/>
        <w:keepLines/>
        <w:pageBreakBefore w:val="0"/>
        <w:pBdr>
          <w:bottom w:val="none" w:sz="0" w:space="0" w:color="auto"/>
        </w:pBdr>
        <w:spacing w:before="240"/>
      </w:pPr>
      <w:r w:rsidRPr="00F215BD">
        <w:t xml:space="preserve">Determination </w:t>
      </w:r>
      <w:r w:rsidR="0036660B">
        <w:t>7</w:t>
      </w:r>
      <w:r w:rsidR="007E424C" w:rsidRPr="007A0CEA">
        <w:t xml:space="preserve"> </w:t>
      </w:r>
      <w:r w:rsidRPr="007A0CEA">
        <w:t xml:space="preserve">of </w:t>
      </w:r>
      <w:r w:rsidR="007E424C" w:rsidRPr="007A0CEA">
        <w:t>201</w:t>
      </w:r>
      <w:r w:rsidR="007E424C">
        <w:t>8</w:t>
      </w:r>
    </w:p>
    <w:p w14:paraId="3536AA69" w14:textId="1C9F0822" w:rsidR="00E71B34" w:rsidRPr="00DC6C6D" w:rsidRDefault="0036660B" w:rsidP="00E71B34">
      <w:pPr>
        <w:pStyle w:val="Heading1"/>
        <w:keepLines/>
        <w:pageBreakBefore w:val="0"/>
        <w:pBdr>
          <w:bottom w:val="none" w:sz="0" w:space="0" w:color="auto"/>
        </w:pBdr>
        <w:spacing w:before="240"/>
      </w:pPr>
      <w:r>
        <w:t xml:space="preserve">Principal Registrar and Chief Executive Officer, </w:t>
      </w:r>
      <w:r w:rsidR="00EC6900">
        <w:br/>
      </w:r>
      <w:r>
        <w:t>ACT Courts and Tribunal</w:t>
      </w:r>
    </w:p>
    <w:p w14:paraId="0D345909" w14:textId="77777777" w:rsidR="00DC6C6D" w:rsidRPr="003B1A08" w:rsidRDefault="00DC6C6D" w:rsidP="00DC6C6D">
      <w:pPr>
        <w:pStyle w:val="madeunder"/>
        <w:spacing w:before="240" w:after="120"/>
      </w:pPr>
      <w:proofErr w:type="gramStart"/>
      <w:r w:rsidRPr="003B1A08">
        <w:t>made</w:t>
      </w:r>
      <w:proofErr w:type="gramEnd"/>
      <w:r w:rsidRPr="003B1A08">
        <w:t xml:space="preserv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w:t>
      </w:r>
      <w:r w:rsidRPr="00EC6900">
        <w:rPr>
          <w:rFonts w:ascii="Calibri" w:hAnsi="Calibri" w:cs="Arial"/>
        </w:rPr>
        <w:t>1995, section 10 (Inquiries</w:t>
      </w:r>
      <w:r w:rsidRPr="00641CB6">
        <w:rPr>
          <w:rFonts w:ascii="Calibri" w:hAnsi="Calibri" w:cs="Arial"/>
        </w:rPr>
        <w:t xml:space="preserve">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048CEC3E" w:rsidR="00DC6C6D" w:rsidRDefault="001D03AE" w:rsidP="001D03AE">
      <w:pPr>
        <w:numPr>
          <w:ilvl w:val="1"/>
          <w:numId w:val="4"/>
        </w:numPr>
        <w:tabs>
          <w:tab w:val="clear" w:pos="720"/>
        </w:tabs>
        <w:spacing w:before="80" w:after="60"/>
        <w:ind w:left="709" w:hanging="709"/>
      </w:pPr>
      <w:r w:rsidRPr="000E19B1">
        <w:t xml:space="preserve">The instrument </w:t>
      </w:r>
      <w:r w:rsidR="00E66FEB">
        <w:t xml:space="preserve">commences </w:t>
      </w:r>
      <w:r w:rsidR="00E66FEB" w:rsidRPr="00077DBF">
        <w:t>on</w:t>
      </w:r>
      <w:r w:rsidR="003E232D" w:rsidRPr="00077DBF">
        <w:t xml:space="preserve"> </w:t>
      </w:r>
      <w:r w:rsidR="00077DBF" w:rsidRPr="00077DBF">
        <w:t>20</w:t>
      </w:r>
      <w:r w:rsidR="003E232D" w:rsidRPr="00077DBF">
        <w:t xml:space="preserve"> April</w:t>
      </w:r>
      <w:r w:rsidR="00D34A6C" w:rsidRPr="00077DBF">
        <w:t xml:space="preserve"> </w:t>
      </w:r>
      <w:r w:rsidR="007E424C" w:rsidRPr="00077DBF">
        <w:t>2018</w:t>
      </w:r>
      <w:r w:rsidRPr="00077DBF">
        <w:t>.</w:t>
      </w:r>
      <w:r w:rsidRPr="000E19B1">
        <w:t xml:space="preserve"> </w:t>
      </w:r>
    </w:p>
    <w:p w14:paraId="0A2BB54B" w14:textId="77777777"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14:paraId="49D6C341" w14:textId="341EDB50" w:rsidR="001461C0" w:rsidRDefault="00E71B34" w:rsidP="001461C0">
      <w:pPr>
        <w:numPr>
          <w:ilvl w:val="1"/>
          <w:numId w:val="4"/>
        </w:numPr>
        <w:tabs>
          <w:tab w:val="clear" w:pos="720"/>
        </w:tabs>
        <w:spacing w:before="80" w:after="60"/>
        <w:ind w:left="709" w:hanging="709"/>
      </w:pPr>
      <w:r>
        <w:t>The</w:t>
      </w:r>
      <w:r w:rsidR="00DC6C6D" w:rsidRPr="000E19B1">
        <w:t xml:space="preserve"> </w:t>
      </w:r>
      <w:r w:rsidR="004116C7">
        <w:t xml:space="preserve">base salary for the </w:t>
      </w:r>
      <w:r w:rsidR="004116C7" w:rsidRPr="00EC6900">
        <w:t xml:space="preserve">Principal Registrar and Chief Executive Officer, ACT Courts and Tribunal is </w:t>
      </w:r>
      <w:r w:rsidR="00EC6900" w:rsidRPr="00EC6900">
        <w:t>$241,915</w:t>
      </w:r>
      <w:r w:rsidR="004116C7" w:rsidRPr="00EC6900">
        <w:t xml:space="preserve"> per annum.</w:t>
      </w:r>
      <w:r w:rsidR="00DC6C6D" w:rsidRPr="000E19B1">
        <w:t xml:space="preserve"> </w:t>
      </w:r>
    </w:p>
    <w:p w14:paraId="44C1B214" w14:textId="2F2AFF00" w:rsidR="00DC6C6D" w:rsidRPr="00E433F0" w:rsidRDefault="004116C7" w:rsidP="00AE2CF2">
      <w:pPr>
        <w:numPr>
          <w:ilvl w:val="1"/>
          <w:numId w:val="4"/>
        </w:numPr>
        <w:tabs>
          <w:tab w:val="clear" w:pos="720"/>
          <w:tab w:val="num" w:pos="0"/>
        </w:tabs>
        <w:spacing w:before="140" w:after="60"/>
        <w:ind w:left="709" w:hanging="709"/>
      </w:pPr>
      <w:r>
        <w:t>A person appointed to this</w:t>
      </w:r>
      <w:r w:rsidR="00DC6C6D" w:rsidRPr="00E433F0">
        <w:t xml:space="preserve"> office must not receive the </w:t>
      </w:r>
      <w:r w:rsidR="0067357E">
        <w:t xml:space="preserve">remuneration </w:t>
      </w:r>
      <w:r w:rsidR="00DC6C6D" w:rsidRPr="00E433F0">
        <w:t xml:space="preserve">mentioned </w:t>
      </w:r>
      <w:r w:rsidR="00FC56F1">
        <w:t>above</w:t>
      </w:r>
      <w:r w:rsidR="00DC6C6D" w:rsidRPr="00E433F0">
        <w:t xml:space="preserve"> if the person is paid a higher </w:t>
      </w:r>
      <w:r w:rsidR="0067357E">
        <w:t xml:space="preserve">remuneration </w:t>
      </w:r>
      <w:r w:rsidR="00DC6C6D" w:rsidRPr="00E433F0">
        <w:t>for that office from another source.</w:t>
      </w:r>
    </w:p>
    <w:p w14:paraId="55D98161" w14:textId="77777777" w:rsidR="00DC6C6D" w:rsidRDefault="00DC6C6D" w:rsidP="00AE2CF2">
      <w:pPr>
        <w:numPr>
          <w:ilvl w:val="1"/>
          <w:numId w:val="4"/>
        </w:numPr>
        <w:tabs>
          <w:tab w:val="clear" w:pos="720"/>
          <w:tab w:val="num" w:pos="0"/>
        </w:tabs>
        <w:spacing w:before="80" w:after="60"/>
        <w:ind w:left="709" w:hanging="709"/>
      </w:pPr>
      <w:r w:rsidRPr="00E433F0">
        <w:t xml:space="preserve">If a person appointed to an office listed </w:t>
      </w:r>
      <w:r w:rsidR="00FC56F1">
        <w:t>above</w:t>
      </w:r>
      <w:r w:rsidR="00CA0D6A">
        <w:t xml:space="preserve"> </w:t>
      </w:r>
      <w:r w:rsidRPr="00E433F0">
        <w:t xml:space="preserve">is also appointed to another office, which is not a second job under the </w:t>
      </w:r>
      <w:r w:rsidRPr="00E433F0">
        <w:rPr>
          <w:i/>
        </w:rPr>
        <w:t>Public Sector Management Act 1994</w:t>
      </w:r>
      <w:r w:rsidRPr="00E433F0">
        <w:t xml:space="preserve">, the person must only receive </w:t>
      </w:r>
      <w:r w:rsidR="0067357E">
        <w:t xml:space="preserve">remuneration </w:t>
      </w:r>
      <w:r w:rsidRPr="00E433F0">
        <w:t>for the office that has the highest remuneration.</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5F639228"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4116C7">
        <w:t>outlined in Clause 2</w:t>
      </w:r>
      <w:r w:rsidR="00861DF6">
        <w:t>,</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lastRenderedPageBreak/>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77777777" w:rsidR="002D6B74" w:rsidRP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w:t>
      </w:r>
      <w:r>
        <w:rPr>
          <w:rFonts w:eastAsia="Times New Roman"/>
          <w:sz w:val="24"/>
          <w:szCs w:val="20"/>
        </w:rPr>
        <w:t>,</w:t>
      </w:r>
      <w:r w:rsidRPr="0067357E">
        <w:rPr>
          <w:rFonts w:eastAsia="Times New Roman"/>
          <w:sz w:val="24"/>
          <w:szCs w:val="20"/>
        </w:rPr>
        <w:t xml:space="preserve"> appointed to an office 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71342CF8" w14:textId="77777777" w:rsidR="0069220A" w:rsidRDefault="0069220A" w:rsidP="0069220A">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79AE0FF7" w14:textId="77777777" w:rsidR="00484224" w:rsidRPr="00484224" w:rsidRDefault="00484224" w:rsidP="00484224">
      <w:pPr>
        <w:pStyle w:val="Heading3"/>
        <w:keepLines w:val="0"/>
        <w:ind w:left="709" w:hanging="709"/>
        <w:rPr>
          <w:rFonts w:cs="Arial"/>
          <w:szCs w:val="26"/>
        </w:rPr>
      </w:pPr>
      <w:r w:rsidRPr="00484224">
        <w:rPr>
          <w:rFonts w:cs="Arial"/>
          <w:szCs w:val="26"/>
        </w:rPr>
        <w:t>Vehicle</w:t>
      </w:r>
    </w:p>
    <w:p w14:paraId="52C22CE0" w14:textId="31A66DB5" w:rsidR="00484224" w:rsidRDefault="00531B4E" w:rsidP="004116C7">
      <w:pPr>
        <w:numPr>
          <w:ilvl w:val="1"/>
          <w:numId w:val="4"/>
        </w:numPr>
        <w:tabs>
          <w:tab w:val="clear" w:pos="720"/>
          <w:tab w:val="num" w:pos="0"/>
        </w:tabs>
        <w:spacing w:before="80" w:after="60"/>
        <w:ind w:left="709" w:hanging="709"/>
      </w:pPr>
      <w:r>
        <w:t xml:space="preserve">A person appointed to an </w:t>
      </w:r>
      <w:r w:rsidR="00484224">
        <w:t>office</w:t>
      </w:r>
      <w:r w:rsidR="004116C7">
        <w:t xml:space="preserve"> in clause 2.1 of this Determination</w:t>
      </w:r>
      <w:r w:rsidR="00E671C9">
        <w:t>,</w:t>
      </w:r>
      <w:r w:rsidR="00484224">
        <w:t xml:space="preserve"> </w:t>
      </w:r>
      <w:r>
        <w:t>is entitled to an e</w:t>
      </w:r>
      <w:r w:rsidR="00484224" w:rsidRPr="00484224">
        <w:t>xecutive vehicle</w:t>
      </w:r>
      <w:r>
        <w:t xml:space="preserve"> and associated arrangements</w:t>
      </w:r>
      <w:r w:rsidR="002D6B74">
        <w:t>,</w:t>
      </w:r>
      <w:r>
        <w:t xml:space="preserve"> including a parking space</w:t>
      </w:r>
      <w:r w:rsidR="002D6B74">
        <w:t>,</w:t>
      </w:r>
      <w:r w:rsidR="00484224" w:rsidRPr="00484224">
        <w:t xml:space="preserve"> in accordance with the </w:t>
      </w:r>
      <w:r w:rsidR="002D6B74">
        <w:t xml:space="preserve">same entitlements as a Senior Executive Service (SES) member under the </w:t>
      </w:r>
      <w:r w:rsidR="00484224" w:rsidRPr="00531B4E">
        <w:rPr>
          <w:i/>
        </w:rPr>
        <w:t>Public Sector Management Standards</w:t>
      </w:r>
      <w:r w:rsidR="00A750B6">
        <w:rPr>
          <w:i/>
        </w:rPr>
        <w:t xml:space="preserve"> 2016</w:t>
      </w:r>
      <w:r w:rsidR="00E671C9">
        <w:rPr>
          <w:i/>
        </w:rPr>
        <w:t xml:space="preserve"> </w:t>
      </w:r>
      <w:r w:rsidR="00E671C9" w:rsidRPr="00E671C9">
        <w:t>and the</w:t>
      </w:r>
      <w:r w:rsidR="00E671C9">
        <w:rPr>
          <w:i/>
        </w:rPr>
        <w:t xml:space="preserve"> Guidelines for the Management and Use of Executive Vehicles</w:t>
      </w:r>
      <w:r w:rsidR="004116C7">
        <w:t>.</w:t>
      </w:r>
    </w:p>
    <w:p w14:paraId="0B50D1CA" w14:textId="77777777" w:rsidR="0069220A" w:rsidRPr="0040603C" w:rsidRDefault="0069220A" w:rsidP="00031CFC">
      <w:pPr>
        <w:pStyle w:val="Heading3"/>
        <w:keepLines w:val="0"/>
        <w:ind w:left="709" w:hanging="709"/>
        <w:rPr>
          <w:rFonts w:cs="Arial"/>
          <w:szCs w:val="26"/>
        </w:rPr>
      </w:pPr>
      <w:r w:rsidRPr="0040603C">
        <w:rPr>
          <w:rFonts w:cs="Arial"/>
          <w:szCs w:val="26"/>
        </w:rPr>
        <w:t>Employer’s superannuation contribution</w:t>
      </w:r>
    </w:p>
    <w:p w14:paraId="368CE7A8" w14:textId="77777777" w:rsidR="0069220A" w:rsidRPr="00A05757" w:rsidRDefault="001461C0" w:rsidP="0069220A">
      <w:pPr>
        <w:numPr>
          <w:ilvl w:val="1"/>
          <w:numId w:val="4"/>
        </w:numPr>
        <w:tabs>
          <w:tab w:val="clear" w:pos="720"/>
        </w:tabs>
        <w:spacing w:before="80" w:after="60"/>
        <w:ind w:left="709" w:hanging="709"/>
        <w:rPr>
          <w:szCs w:val="24"/>
          <w:lang w:val="en-US"/>
        </w:rPr>
      </w:pPr>
      <w:r>
        <w:rPr>
          <w:szCs w:val="24"/>
        </w:rPr>
        <w:t>A</w:t>
      </w:r>
      <w:r w:rsidR="008035C3">
        <w:rPr>
          <w:szCs w:val="24"/>
        </w:rPr>
        <w:t xml:space="preserve"> </w:t>
      </w:r>
      <w:r w:rsidR="00531B4E">
        <w:rPr>
          <w:szCs w:val="24"/>
        </w:rPr>
        <w:t>person</w:t>
      </w:r>
      <w:r w:rsidR="002D6B74">
        <w:rPr>
          <w:szCs w:val="24"/>
        </w:rPr>
        <w:t>,</w:t>
      </w:r>
      <w:r w:rsidR="00531B4E">
        <w:rPr>
          <w:szCs w:val="24"/>
        </w:rPr>
        <w:t xml:space="preserve"> appointed to an office</w:t>
      </w:r>
      <w:r w:rsidR="008035C3">
        <w:rPr>
          <w:szCs w:val="24"/>
        </w:rPr>
        <w:t xml:space="preserve"> </w:t>
      </w:r>
      <w:r w:rsidR="00531B4E">
        <w:rPr>
          <w:szCs w:val="24"/>
        </w:rPr>
        <w:t>in clause 2.1 of</w:t>
      </w:r>
      <w:r w:rsidR="008035C3">
        <w:rPr>
          <w:szCs w:val="24"/>
        </w:rPr>
        <w:t xml:space="preserve"> this Determination, </w:t>
      </w:r>
      <w:r w:rsidR="0069220A" w:rsidRPr="00A05757">
        <w:rPr>
          <w:szCs w:val="24"/>
        </w:rPr>
        <w:t xml:space="preserve">is only eligible for the </w:t>
      </w:r>
      <w:r w:rsidR="0069220A">
        <w:rPr>
          <w:szCs w:val="24"/>
        </w:rPr>
        <w:t>e</w:t>
      </w:r>
      <w:r w:rsidR="0069220A" w:rsidRPr="00A05757">
        <w:rPr>
          <w:szCs w:val="24"/>
        </w:rPr>
        <w:t xml:space="preserve">mployer’s </w:t>
      </w:r>
      <w:r w:rsidR="0069220A">
        <w:rPr>
          <w:szCs w:val="24"/>
        </w:rPr>
        <w:t>s</w:t>
      </w:r>
      <w:r w:rsidR="0069220A" w:rsidRPr="00A05757">
        <w:rPr>
          <w:szCs w:val="24"/>
        </w:rPr>
        <w:t xml:space="preserve">uperannuation </w:t>
      </w:r>
      <w:r w:rsidR="0069220A">
        <w:rPr>
          <w:szCs w:val="24"/>
        </w:rPr>
        <w:t>c</w:t>
      </w:r>
      <w:r w:rsidR="0069220A" w:rsidRPr="00A05757">
        <w:rPr>
          <w:szCs w:val="24"/>
        </w:rPr>
        <w:t xml:space="preserve">ontribution </w:t>
      </w:r>
      <w:r w:rsidR="0069220A" w:rsidRPr="00A05757">
        <w:rPr>
          <w:szCs w:val="24"/>
          <w:lang w:val="en-US"/>
        </w:rPr>
        <w:t xml:space="preserve">if their </w:t>
      </w:r>
      <w:r w:rsidR="0069220A" w:rsidRPr="00A05757">
        <w:rPr>
          <w:szCs w:val="24"/>
        </w:rPr>
        <w:t>superannuation</w:t>
      </w:r>
      <w:r w:rsidR="0069220A" w:rsidRPr="00A05757">
        <w:rPr>
          <w:szCs w:val="24"/>
          <w:lang w:val="en-US"/>
        </w:rPr>
        <w:t xml:space="preserve"> entitlements are not provided elsewhere.  </w:t>
      </w:r>
    </w:p>
    <w:p w14:paraId="0DFD1DC4" w14:textId="77777777" w:rsidR="00F92A75" w:rsidRPr="0075183B" w:rsidRDefault="00F92A75" w:rsidP="00F92A75">
      <w:pPr>
        <w:numPr>
          <w:ilvl w:val="1"/>
          <w:numId w:val="4"/>
        </w:numPr>
        <w:tabs>
          <w:tab w:val="clear" w:pos="720"/>
          <w:tab w:val="num" w:pos="0"/>
        </w:tabs>
        <w:spacing w:before="120" w:after="60"/>
        <w:ind w:left="709" w:hanging="709"/>
      </w:pPr>
      <w:r>
        <w:rPr>
          <w:szCs w:val="24"/>
        </w:rPr>
        <w:t>For a person, appointed to an office in clause 2.1 of this Determination, who</w:t>
      </w:r>
      <w:r w:rsidRPr="0075183B">
        <w:t xml:space="preserve"> is a member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426BAC2A" w14:textId="77777777" w:rsidR="00F92A75" w:rsidRDefault="00F92A75" w:rsidP="00F92A75">
      <w:pPr>
        <w:numPr>
          <w:ilvl w:val="2"/>
          <w:numId w:val="4"/>
        </w:numPr>
        <w:tabs>
          <w:tab w:val="clear" w:pos="720"/>
        </w:tabs>
        <w:spacing w:before="120" w:after="60"/>
        <w:ind w:left="1134" w:hanging="436"/>
      </w:pPr>
      <w:r>
        <w:t>the person’s annual rate of remuneration for the purposes of the scheme is the base remuneration as provided in clause 2.1 of this Determination; and</w:t>
      </w:r>
    </w:p>
    <w:p w14:paraId="37B8976F" w14:textId="77777777" w:rsidR="00F92A75" w:rsidRDefault="00F92A75" w:rsidP="00F92A75">
      <w:pPr>
        <w:numPr>
          <w:ilvl w:val="2"/>
          <w:numId w:val="4"/>
        </w:numPr>
        <w:tabs>
          <w:tab w:val="clear" w:pos="720"/>
        </w:tabs>
        <w:spacing w:before="120" w:after="60"/>
        <w:ind w:left="1134" w:hanging="436"/>
      </w:pPr>
      <w:proofErr w:type="gramStart"/>
      <w:r>
        <w:t>the</w:t>
      </w:r>
      <w:proofErr w:type="gramEnd"/>
      <w:r>
        <w:t xml:space="preserve"> value attributed to the employer’s superannuation contribution is taken to be a notional 16% of the person’s base </w:t>
      </w:r>
      <w:r w:rsidRPr="0065168E">
        <w:t>remuneration</w:t>
      </w:r>
      <w:r>
        <w:t>.</w:t>
      </w:r>
    </w:p>
    <w:p w14:paraId="17745C83" w14:textId="3398794C" w:rsidR="0069220A" w:rsidRDefault="00F92A75" w:rsidP="0069220A">
      <w:pPr>
        <w:keepNext/>
        <w:keepLines/>
        <w:numPr>
          <w:ilvl w:val="1"/>
          <w:numId w:val="4"/>
        </w:numPr>
        <w:tabs>
          <w:tab w:val="clear" w:pos="720"/>
          <w:tab w:val="num" w:pos="0"/>
        </w:tabs>
        <w:spacing w:before="80" w:after="60"/>
        <w:ind w:left="709" w:hanging="709"/>
      </w:pPr>
      <w:r>
        <w:rPr>
          <w:szCs w:val="24"/>
        </w:rPr>
        <w:t>For a</w:t>
      </w:r>
      <w:r w:rsidR="009A24F2">
        <w:rPr>
          <w:szCs w:val="24"/>
        </w:rPr>
        <w:t xml:space="preserve"> person</w:t>
      </w:r>
      <w:r w:rsidR="002D6B74">
        <w:rPr>
          <w:szCs w:val="24"/>
        </w:rPr>
        <w:t>,</w:t>
      </w:r>
      <w:r w:rsidR="009A24F2">
        <w:rPr>
          <w:szCs w:val="24"/>
        </w:rPr>
        <w:t xml:space="preserve"> appointed to an office in clause 2.1 of this Determination</w:t>
      </w:r>
      <w:r w:rsidR="00840B00">
        <w:rPr>
          <w:szCs w:val="24"/>
        </w:rPr>
        <w:t>,</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w:t>
      </w:r>
      <w:proofErr w:type="spellStart"/>
      <w:r>
        <w:t>PSSap</w:t>
      </w:r>
      <w:proofErr w:type="spellEnd"/>
      <w:r>
        <w:t>)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48299312" w:rsidR="0069220A" w:rsidRDefault="0069220A" w:rsidP="0069220A">
      <w:pPr>
        <w:numPr>
          <w:ilvl w:val="2"/>
          <w:numId w:val="4"/>
        </w:numPr>
        <w:tabs>
          <w:tab w:val="clear" w:pos="720"/>
        </w:tabs>
        <w:spacing w:after="60"/>
        <w:ind w:left="1134" w:hanging="436"/>
      </w:pPr>
      <w:proofErr w:type="gramStart"/>
      <w:r>
        <w:t>the</w:t>
      </w:r>
      <w:proofErr w:type="gramEnd"/>
      <w:r>
        <w:t xml:space="preserv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 in clause 2.1 of this Determination</w:t>
      </w:r>
      <w:r>
        <w:t>.</w:t>
      </w:r>
    </w:p>
    <w:p w14:paraId="4D1D5EB3" w14:textId="77777777" w:rsidR="00F92A75" w:rsidRDefault="00F92A75" w:rsidP="00F92A75">
      <w:pPr>
        <w:numPr>
          <w:ilvl w:val="1"/>
          <w:numId w:val="4"/>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7AC6DFAD" w14:textId="77777777" w:rsidR="009F6241" w:rsidRPr="00122DBF" w:rsidRDefault="009F6241" w:rsidP="009F6241">
      <w:pPr>
        <w:numPr>
          <w:ilvl w:val="1"/>
          <w:numId w:val="4"/>
        </w:numPr>
        <w:tabs>
          <w:tab w:val="clear" w:pos="720"/>
          <w:tab w:val="num" w:pos="0"/>
        </w:tabs>
        <w:spacing w:before="80" w:after="60"/>
        <w:ind w:left="709" w:hanging="709"/>
      </w:pPr>
      <w:r w:rsidRPr="00122DBF">
        <w:rPr>
          <w:szCs w:val="24"/>
        </w:rPr>
        <w:lastRenderedPageBreak/>
        <w:t>A person, appointed to an office 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3A7FEA35" w14:textId="77777777" w:rsidR="00F92A75" w:rsidRDefault="00F92A75" w:rsidP="00F92A75">
      <w:pPr>
        <w:numPr>
          <w:ilvl w:val="1"/>
          <w:numId w:val="4"/>
        </w:numPr>
        <w:tabs>
          <w:tab w:val="clear" w:pos="720"/>
          <w:tab w:val="num" w:pos="0"/>
        </w:tabs>
        <w:spacing w:before="120" w:after="60"/>
        <w:ind w:left="709" w:hanging="709"/>
      </w:pPr>
      <w:r w:rsidRPr="00C03BCF">
        <w:t>For 2016-17 onwards, the Territory’s enhanced minimum employer superannuation contribution is 10.5%</w:t>
      </w:r>
      <w:r>
        <w:t>, as amended from time to time</w:t>
      </w:r>
      <w:r w:rsidRPr="00C03BCF">
        <w:t>.</w:t>
      </w:r>
    </w:p>
    <w:p w14:paraId="5848BE8E" w14:textId="77777777" w:rsidR="00F92A75" w:rsidRPr="00122DBF" w:rsidRDefault="00F92A75" w:rsidP="00F92A75">
      <w:pPr>
        <w:numPr>
          <w:ilvl w:val="1"/>
          <w:numId w:val="4"/>
        </w:numPr>
        <w:spacing w:before="80" w:after="60"/>
      </w:pPr>
      <w:r w:rsidRPr="00122DBF">
        <w:rPr>
          <w:szCs w:val="24"/>
        </w:rPr>
        <w:t xml:space="preserve">A person, appointed to an office 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p>
    <w:p w14:paraId="79C33C7A" w14:textId="77777777" w:rsidR="00F92A75" w:rsidRDefault="00F92A75" w:rsidP="00F92A75">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Pr>
          <w:szCs w:val="24"/>
        </w:rPr>
        <w:t>a person appointed to an office in clause 2.1 of this Determination</w:t>
      </w:r>
      <w:r>
        <w:t>.</w:t>
      </w:r>
    </w:p>
    <w:p w14:paraId="51F40DEE" w14:textId="77777777" w:rsidR="0069220A" w:rsidRPr="0040603C" w:rsidRDefault="0069220A" w:rsidP="00031CFC">
      <w:pPr>
        <w:pStyle w:val="Heading3"/>
        <w:keepLines w:val="0"/>
        <w:ind w:left="709" w:hanging="709"/>
        <w:rPr>
          <w:rFonts w:cs="Arial"/>
          <w:szCs w:val="26"/>
        </w:rPr>
      </w:pPr>
      <w:r w:rsidRPr="0040603C">
        <w:rPr>
          <w:rFonts w:cs="Arial"/>
          <w:szCs w:val="26"/>
        </w:rPr>
        <w:t>Fringe benefit tax</w:t>
      </w:r>
    </w:p>
    <w:p w14:paraId="1AC735CF" w14:textId="77777777" w:rsidR="0069220A" w:rsidRPr="00BF6FC8" w:rsidRDefault="0069220A" w:rsidP="0069220A">
      <w:pPr>
        <w:numPr>
          <w:ilvl w:val="1"/>
          <w:numId w:val="4"/>
        </w:numPr>
        <w:tabs>
          <w:tab w:val="clear" w:pos="720"/>
          <w:tab w:val="num" w:pos="0"/>
        </w:tabs>
        <w:spacing w:before="80" w:after="60"/>
        <w:ind w:left="709" w:hanging="709"/>
      </w:pPr>
      <w:r w:rsidRPr="00BF6FC8">
        <w:t xml:space="preserve">The fringe benefits tax payable </w:t>
      </w:r>
      <w:r w:rsidR="00840B00">
        <w:t>by</w:t>
      </w:r>
      <w:r w:rsidR="00840B00" w:rsidRPr="00BF6FC8">
        <w:t xml:space="preserve"> </w:t>
      </w:r>
      <w:r w:rsidR="00840B00">
        <w:t>the employer to the Australian Taxation Office</w:t>
      </w:r>
      <w:r w:rsidR="001461C0">
        <w:rPr>
          <w:szCs w:val="24"/>
        </w:rPr>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67681193" w14:textId="77777777" w:rsidR="0069220A" w:rsidRPr="00BF6FC8" w:rsidRDefault="0069220A" w:rsidP="0069220A">
      <w:pPr>
        <w:numPr>
          <w:ilvl w:val="1"/>
          <w:numId w:val="4"/>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w:t>
      </w:r>
      <w:r w:rsidR="00195F46">
        <w:rPr>
          <w:i/>
        </w:rPr>
        <w:t xml:space="preserve"> Sector Management Standards 201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1E772A44" w14:textId="77777777" w:rsidR="0069220A" w:rsidRDefault="00FC56F1" w:rsidP="00DA5979">
      <w:pPr>
        <w:numPr>
          <w:ilvl w:val="1"/>
          <w:numId w:val="4"/>
        </w:numPr>
        <w:spacing w:before="80" w:after="60"/>
      </w:pPr>
      <w:r>
        <w:t>A provisional amount of $7,000 is available to cover the cost of any fringe benefit tax for a vehicle or park</w:t>
      </w:r>
      <w:r w:rsidR="00DA5979">
        <w:t>ing space</w:t>
      </w:r>
      <w:r>
        <w:t xml:space="preserve">. If the liability for fringe benefits tax is less than $7,000, the excess is payable to the </w:t>
      </w:r>
      <w:r w:rsidR="00DA5979">
        <w:t>person appointed to an office in clause 2.1 of</w:t>
      </w:r>
      <w:r w:rsidR="0082575E">
        <w:t xml:space="preserve"> this D</w:t>
      </w:r>
      <w:r>
        <w:t xml:space="preserve">etermination. </w:t>
      </w:r>
      <w:r w:rsidR="0069220A" w:rsidRPr="00BF6FC8">
        <w:t xml:space="preserve">If the liability for </w:t>
      </w:r>
      <w:r w:rsidR="0069220A">
        <w:t>f</w:t>
      </w:r>
      <w:r w:rsidR="0069220A" w:rsidRPr="00BF6FC8">
        <w:t xml:space="preserve">ringe </w:t>
      </w:r>
      <w:r w:rsidR="0069220A">
        <w:t>b</w:t>
      </w:r>
      <w:r w:rsidR="0069220A" w:rsidRPr="00BF6FC8">
        <w:t xml:space="preserve">enefits </w:t>
      </w:r>
      <w:r w:rsidR="0069220A">
        <w:t>t</w:t>
      </w:r>
      <w:r w:rsidR="00840B00">
        <w:t>ax exceeds $7,000</w:t>
      </w:r>
      <w:r w:rsidR="001461C0">
        <w:t xml:space="preserve">, </w:t>
      </w:r>
      <w:r>
        <w:rPr>
          <w:szCs w:val="24"/>
        </w:rPr>
        <w:t xml:space="preserve">the </w:t>
      </w:r>
      <w:r w:rsidR="00DA5979">
        <w:rPr>
          <w:szCs w:val="24"/>
        </w:rPr>
        <w:t>person appointed to an office in clause 2.1 of</w:t>
      </w:r>
      <w:r w:rsidR="0082575E">
        <w:rPr>
          <w:szCs w:val="24"/>
        </w:rPr>
        <w:t xml:space="preserve"> this D</w:t>
      </w:r>
      <w:r>
        <w:rPr>
          <w:szCs w:val="24"/>
        </w:rPr>
        <w:t xml:space="preserve">etermination </w:t>
      </w:r>
      <w:r w:rsidR="0069220A">
        <w:t>will</w:t>
      </w:r>
      <w:r w:rsidR="0069220A" w:rsidRPr="00BF6FC8">
        <w:t xml:space="preserve"> not be required to pay the excess to the employer.</w:t>
      </w:r>
      <w:r w:rsidR="00DA5979">
        <w:t xml:space="preserve"> </w:t>
      </w:r>
      <w:r w:rsidR="00DA5979" w:rsidRPr="00DA5979">
        <w:t xml:space="preserve">Any unused </w:t>
      </w:r>
      <w:r w:rsidR="00DA5979">
        <w:t>fringe benefit tax allowance paid to a person appointed to an office in clause 2.1 of this Determination</w:t>
      </w:r>
      <w:r w:rsidR="00DA5979" w:rsidRPr="00DA5979">
        <w:t xml:space="preserve"> will be subject to tax</w:t>
      </w:r>
      <w:r w:rsidR="00DA5979">
        <w:t>,</w:t>
      </w:r>
      <w:r w:rsidR="00DA5979" w:rsidRPr="00DA5979">
        <w:t xml:space="preserve"> if paid as </w:t>
      </w:r>
      <w:r w:rsidR="00DA5979">
        <w:t>remuneration</w:t>
      </w:r>
      <w:r w:rsidR="00DA5979" w:rsidRPr="00DA5979">
        <w:t>.</w:t>
      </w:r>
    </w:p>
    <w:p w14:paraId="5C9D41D3" w14:textId="77777777" w:rsidR="0069220A" w:rsidRPr="00BF6FC8" w:rsidRDefault="00FC56F1" w:rsidP="0069220A">
      <w:pPr>
        <w:numPr>
          <w:ilvl w:val="1"/>
          <w:numId w:val="4"/>
        </w:numPr>
        <w:tabs>
          <w:tab w:val="clear" w:pos="720"/>
          <w:tab w:val="num" w:pos="0"/>
        </w:tabs>
        <w:spacing w:before="80" w:after="60"/>
        <w:ind w:left="709" w:hanging="709"/>
      </w:pPr>
      <w:r>
        <w:t>The provisional amount of $7,000 in f</w:t>
      </w:r>
      <w:r w:rsidR="0069220A" w:rsidRPr="00BF6FC8">
        <w:t xml:space="preserve">ringe benefits tax </w:t>
      </w:r>
      <w:r w:rsidR="0069220A">
        <w:t xml:space="preserve">is </w:t>
      </w:r>
      <w:r w:rsidR="0069220A" w:rsidRPr="00BF6FC8">
        <w:t xml:space="preserve">reduced proportionally </w:t>
      </w:r>
      <w:r w:rsidR="0069220A">
        <w:t>if</w:t>
      </w:r>
      <w:r w:rsidR="0069220A" w:rsidRPr="00BF6FC8">
        <w:t xml:space="preserve"> the </w:t>
      </w:r>
      <w:r w:rsidR="00DA5979">
        <w:rPr>
          <w:szCs w:val="24"/>
        </w:rPr>
        <w:t>person appointed to an office in clause 2.1 of</w:t>
      </w:r>
      <w:r w:rsidR="0082575E">
        <w:rPr>
          <w:szCs w:val="24"/>
        </w:rPr>
        <w:t xml:space="preserve"> this D</w:t>
      </w:r>
      <w:r w:rsidR="00840B00">
        <w:rPr>
          <w:szCs w:val="24"/>
        </w:rPr>
        <w:t>etermination</w:t>
      </w:r>
      <w:r w:rsidR="001461C0">
        <w:rPr>
          <w:szCs w:val="24"/>
        </w:rPr>
        <w:t xml:space="preserve"> </w:t>
      </w:r>
      <w:r w:rsidR="0069220A">
        <w:t xml:space="preserve">is appointed for less than </w:t>
      </w:r>
      <w:r w:rsidR="0069220A" w:rsidRPr="00BF6FC8">
        <w:t xml:space="preserve">a </w:t>
      </w:r>
      <w:r w:rsidR="00840B00">
        <w:t>fringe benefit tax</w:t>
      </w:r>
      <w:r w:rsidR="00840B00" w:rsidRPr="00BF6FC8">
        <w:t xml:space="preserve"> </w:t>
      </w:r>
      <w:r w:rsidR="0069220A" w:rsidRPr="00BF6FC8">
        <w:t>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68381EA5" w14:textId="77777777" w:rsidR="0069220A" w:rsidRDefault="0069220A" w:rsidP="0069220A">
      <w:pPr>
        <w:numPr>
          <w:ilvl w:val="1"/>
          <w:numId w:val="4"/>
        </w:numPr>
        <w:tabs>
          <w:tab w:val="clear" w:pos="720"/>
          <w:tab w:val="num" w:pos="0"/>
        </w:tabs>
        <w:spacing w:before="80" w:after="60"/>
        <w:ind w:left="709" w:hanging="709"/>
      </w:pPr>
      <w:r>
        <w:t>In this clause:</w:t>
      </w:r>
    </w:p>
    <w:p w14:paraId="4BFC8552" w14:textId="77777777" w:rsidR="0069220A" w:rsidRPr="002824CD" w:rsidRDefault="0069220A" w:rsidP="0069220A">
      <w:pPr>
        <w:spacing w:before="80"/>
        <w:ind w:left="709"/>
        <w:jc w:val="both"/>
      </w:pPr>
      <w:r w:rsidRPr="002824CD">
        <w:rPr>
          <w:b/>
          <w:i/>
        </w:rPr>
        <w:t>ACT</w:t>
      </w:r>
      <w:r w:rsidRPr="002824CD">
        <w:t xml:space="preserve"> includes the surrounding district, including Queanbeyan.</w:t>
      </w:r>
    </w:p>
    <w:p w14:paraId="31936B6A" w14:textId="77777777" w:rsidR="0069220A" w:rsidRPr="002824CD" w:rsidRDefault="0069220A" w:rsidP="0069220A">
      <w:pPr>
        <w:spacing w:before="80" w:after="60"/>
        <w:ind w:firstLine="709"/>
        <w:jc w:val="both"/>
      </w:pPr>
      <w:proofErr w:type="gramStart"/>
      <w:r w:rsidRPr="002824CD">
        <w:rPr>
          <w:b/>
          <w:i/>
        </w:rPr>
        <w:t>relocation</w:t>
      </w:r>
      <w:proofErr w:type="gramEnd"/>
      <w:r w:rsidRPr="00E433F0">
        <w:t xml:space="preserve"> means </w:t>
      </w:r>
      <w:r w:rsidRPr="002824CD">
        <w:t>from a residence outside the ACT to a residence in the ACT.</w:t>
      </w:r>
    </w:p>
    <w:p w14:paraId="7F8C8610" w14:textId="77777777" w:rsidR="0069220A" w:rsidRDefault="0069220A" w:rsidP="0069220A">
      <w:pPr>
        <w:numPr>
          <w:ilvl w:val="1"/>
          <w:numId w:val="4"/>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14:paraId="4D001BBB" w14:textId="77777777" w:rsidR="0069220A" w:rsidRPr="00423475" w:rsidRDefault="0069220A" w:rsidP="0069220A">
      <w:pPr>
        <w:numPr>
          <w:ilvl w:val="1"/>
          <w:numId w:val="4"/>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1834C1F5" w14:textId="77777777"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14:paraId="3B01927F" w14:textId="77777777" w:rsidR="0069220A" w:rsidRPr="00BF6FC8" w:rsidRDefault="0069220A" w:rsidP="0069220A">
      <w:pPr>
        <w:numPr>
          <w:ilvl w:val="1"/>
          <w:numId w:val="4"/>
        </w:numPr>
        <w:tabs>
          <w:tab w:val="clear" w:pos="720"/>
          <w:tab w:val="num" w:pos="0"/>
        </w:tabs>
        <w:spacing w:before="80" w:after="60"/>
        <w:ind w:left="709" w:hanging="709"/>
      </w:pPr>
      <w:r>
        <w:t>If</w:t>
      </w:r>
      <w:r w:rsidRPr="00423475">
        <w:t xml:space="preserve"> a </w:t>
      </w:r>
      <w:r>
        <w:t>person</w:t>
      </w:r>
      <w:r w:rsidR="00943B30">
        <w:t>,</w:t>
      </w:r>
      <w:r>
        <w:t xml:space="preserve"> </w:t>
      </w:r>
      <w:r w:rsidR="00943B30">
        <w:t xml:space="preserve">appointed to an office in clause 2.1 of this Determination, </w:t>
      </w:r>
      <w:r w:rsidRPr="00423475">
        <w:t>relocate</w:t>
      </w:r>
      <w:r>
        <w:t>s</w:t>
      </w:r>
      <w:r w:rsidRPr="00423475">
        <w:t xml:space="preserve"> </w:t>
      </w:r>
      <w:r>
        <w:t xml:space="preserve">because of </w:t>
      </w:r>
      <w:r w:rsidR="00943B30">
        <w:t xml:space="preserve">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465DD858" w14:textId="77777777" w:rsidR="0069220A" w:rsidRPr="00E10B29" w:rsidRDefault="0069220A" w:rsidP="0069220A">
      <w:pPr>
        <w:numPr>
          <w:ilvl w:val="2"/>
          <w:numId w:val="4"/>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14:paraId="19418961" w14:textId="77777777" w:rsidR="0069220A" w:rsidRPr="00BF6FC8" w:rsidRDefault="0069220A" w:rsidP="0069220A">
      <w:pPr>
        <w:numPr>
          <w:ilvl w:val="2"/>
          <w:numId w:val="4"/>
        </w:numPr>
        <w:tabs>
          <w:tab w:val="clear" w:pos="720"/>
        </w:tabs>
        <w:spacing w:after="60"/>
        <w:ind w:left="1134" w:hanging="436"/>
      </w:pPr>
      <w:r w:rsidRPr="00BF6FC8">
        <w:t>necessary storage of personal effects and furniture;</w:t>
      </w:r>
    </w:p>
    <w:p w14:paraId="024006D0" w14:textId="77777777" w:rsidR="0069220A" w:rsidRPr="00BF6FC8" w:rsidRDefault="0069220A" w:rsidP="0069220A">
      <w:pPr>
        <w:numPr>
          <w:ilvl w:val="2"/>
          <w:numId w:val="4"/>
        </w:numPr>
        <w:tabs>
          <w:tab w:val="clear" w:pos="720"/>
        </w:tabs>
        <w:spacing w:after="60"/>
        <w:ind w:left="1134" w:hanging="436"/>
      </w:pPr>
      <w:r w:rsidRPr="00BF6FC8">
        <w:t>removal costs and associated insurance of personal effects and furniture;</w:t>
      </w:r>
    </w:p>
    <w:p w14:paraId="6D52125B" w14:textId="77777777" w:rsidR="0069220A" w:rsidRPr="00BF6FC8" w:rsidRDefault="0069220A" w:rsidP="0069220A">
      <w:pPr>
        <w:numPr>
          <w:ilvl w:val="2"/>
          <w:numId w:val="4"/>
        </w:numPr>
        <w:tabs>
          <w:tab w:val="clear" w:pos="720"/>
        </w:tabs>
        <w:spacing w:after="60"/>
        <w:ind w:left="1134" w:hanging="436"/>
      </w:pPr>
      <w:r w:rsidRPr="00BF6FC8">
        <w:lastRenderedPageBreak/>
        <w:t>unpacking of personal effects and furniture;</w:t>
      </w:r>
    </w:p>
    <w:p w14:paraId="00972121" w14:textId="77777777" w:rsidR="0069220A" w:rsidRPr="00BF6FC8" w:rsidRDefault="0069220A" w:rsidP="0069220A">
      <w:pPr>
        <w:numPr>
          <w:ilvl w:val="2"/>
          <w:numId w:val="4"/>
        </w:numPr>
        <w:tabs>
          <w:tab w:val="clear" w:pos="720"/>
        </w:tabs>
        <w:spacing w:after="60"/>
        <w:ind w:left="1134" w:hanging="436"/>
      </w:pPr>
      <w:r w:rsidRPr="00BF6FC8">
        <w:t>costs of travel, accommodation and meals between the former location and the ACT;</w:t>
      </w:r>
    </w:p>
    <w:p w14:paraId="40DEA0F7" w14:textId="77777777" w:rsidR="0069220A" w:rsidRPr="00BF6FC8" w:rsidRDefault="0069220A" w:rsidP="0069220A">
      <w:pPr>
        <w:numPr>
          <w:ilvl w:val="2"/>
          <w:numId w:val="4"/>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r w:rsidR="00EE2454">
        <w:t xml:space="preserve"> (Tribunal)</w:t>
      </w:r>
      <w:r w:rsidRPr="00BF6FC8">
        <w:t>;</w:t>
      </w:r>
    </w:p>
    <w:p w14:paraId="37D2037E" w14:textId="77777777" w:rsidR="0069220A" w:rsidRPr="00BF6FC8" w:rsidRDefault="0069220A" w:rsidP="0069220A">
      <w:pPr>
        <w:numPr>
          <w:ilvl w:val="2"/>
          <w:numId w:val="4"/>
        </w:numPr>
        <w:tabs>
          <w:tab w:val="clear" w:pos="720"/>
        </w:tabs>
        <w:spacing w:after="60"/>
        <w:ind w:left="1134" w:hanging="436"/>
      </w:pPr>
      <w:r w:rsidRPr="00BF6FC8">
        <w:t>costs of disconnection and reconnection of utilities;</w:t>
      </w:r>
    </w:p>
    <w:p w14:paraId="0EDCBCF6" w14:textId="77777777" w:rsidR="0069220A" w:rsidRPr="00BF6FC8" w:rsidRDefault="0069220A" w:rsidP="0069220A">
      <w:pPr>
        <w:numPr>
          <w:ilvl w:val="2"/>
          <w:numId w:val="4"/>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14:paraId="4549E815" w14:textId="77777777" w:rsidR="0069220A" w:rsidRPr="00E10B29" w:rsidRDefault="0069220A" w:rsidP="0069220A">
      <w:pPr>
        <w:numPr>
          <w:ilvl w:val="2"/>
          <w:numId w:val="4"/>
        </w:numPr>
        <w:tabs>
          <w:tab w:val="clear" w:pos="720"/>
        </w:tabs>
        <w:spacing w:after="60"/>
        <w:ind w:left="1134" w:hanging="436"/>
      </w:pPr>
      <w:proofErr w:type="gramStart"/>
      <w:r>
        <w:t>s</w:t>
      </w:r>
      <w:r w:rsidRPr="00E10B29">
        <w:t>ubject</w:t>
      </w:r>
      <w:proofErr w:type="gramEnd"/>
      <w:r w:rsidRPr="00E10B29">
        <w:t xml:space="preserve"> to the approval of the Tribunal, any other reasonable expenses necessarily incurred in relocating to the ACT.</w:t>
      </w:r>
    </w:p>
    <w:p w14:paraId="3F5948BE" w14:textId="77777777"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E433F0">
        <w:rPr>
          <w:rFonts w:eastAsia="Calibri"/>
          <w:szCs w:val="24"/>
        </w:rPr>
        <w:t>—</w:t>
      </w:r>
    </w:p>
    <w:p w14:paraId="5F487611" w14:textId="77777777" w:rsidR="0069220A" w:rsidRDefault="0069220A" w:rsidP="0069220A">
      <w:pPr>
        <w:numPr>
          <w:ilvl w:val="2"/>
          <w:numId w:val="4"/>
        </w:numPr>
        <w:tabs>
          <w:tab w:val="clear" w:pos="720"/>
        </w:tabs>
        <w:spacing w:after="60"/>
        <w:ind w:left="1134" w:hanging="436"/>
      </w:pPr>
      <w:r w:rsidRPr="00BF6FC8">
        <w:t xml:space="preserve">there are </w:t>
      </w:r>
      <w:r w:rsidRPr="00E10B29">
        <w:t xml:space="preserve">unusual or exceptional </w:t>
      </w:r>
      <w:r w:rsidRPr="00BF6FC8">
        <w:t>circumstances</w:t>
      </w:r>
      <w:r>
        <w:t>; and</w:t>
      </w:r>
    </w:p>
    <w:p w14:paraId="79E64A3B" w14:textId="77777777" w:rsidR="0069220A" w:rsidRPr="00BF6FC8" w:rsidRDefault="0069220A" w:rsidP="0069220A">
      <w:pPr>
        <w:numPr>
          <w:ilvl w:val="2"/>
          <w:numId w:val="4"/>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12BAB465" w14:textId="77777777" w:rsidR="0069220A" w:rsidRPr="00E10B29" w:rsidRDefault="0069220A" w:rsidP="0069220A">
      <w:pPr>
        <w:keepNext/>
        <w:keepLines/>
        <w:numPr>
          <w:ilvl w:val="1"/>
          <w:numId w:val="4"/>
        </w:numPr>
        <w:tabs>
          <w:tab w:val="clear" w:pos="720"/>
          <w:tab w:val="num" w:pos="0"/>
        </w:tabs>
        <w:spacing w:before="80" w:after="60"/>
        <w:ind w:left="709" w:hanging="709"/>
      </w:pPr>
      <w:r>
        <w:t>If</w:t>
      </w:r>
      <w:r w:rsidRPr="00E10B29">
        <w:t xml:space="preserve"> </w:t>
      </w:r>
      <w:r w:rsidR="0082575E">
        <w:t xml:space="preserve">a </w:t>
      </w:r>
      <w:r w:rsidR="00943B30">
        <w:t>person, appointed to an office in clause 2.1 of</w:t>
      </w:r>
      <w:r w:rsidR="0082575E">
        <w:t xml:space="preserve"> this Determination</w:t>
      </w:r>
      <w:r w:rsidR="00943B30">
        <w:t>,</w:t>
      </w:r>
      <w:r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E433F0">
        <w:rPr>
          <w:rFonts w:eastAsia="Calibri"/>
          <w:szCs w:val="24"/>
        </w:rPr>
        <w:t>—</w:t>
      </w:r>
    </w:p>
    <w:p w14:paraId="1FA73D04" w14:textId="77777777" w:rsidR="0069220A" w:rsidRPr="001F472A" w:rsidRDefault="0069220A" w:rsidP="0069220A">
      <w:pPr>
        <w:numPr>
          <w:ilvl w:val="2"/>
          <w:numId w:val="4"/>
        </w:numPr>
        <w:tabs>
          <w:tab w:val="clear" w:pos="720"/>
        </w:tabs>
        <w:spacing w:after="60"/>
        <w:ind w:left="1134" w:hanging="436"/>
      </w:pPr>
      <w:r w:rsidRPr="001F472A">
        <w:t>details of the unusual or exceptional circumstances;</w:t>
      </w:r>
      <w:r>
        <w:t xml:space="preserve"> and</w:t>
      </w:r>
    </w:p>
    <w:p w14:paraId="6DDC9060" w14:textId="77777777" w:rsidR="0069220A" w:rsidRPr="001F472A" w:rsidRDefault="0069220A" w:rsidP="0069220A">
      <w:pPr>
        <w:numPr>
          <w:ilvl w:val="2"/>
          <w:numId w:val="4"/>
        </w:numPr>
        <w:tabs>
          <w:tab w:val="clear" w:pos="720"/>
        </w:tabs>
        <w:spacing w:after="60"/>
        <w:ind w:left="1134" w:hanging="436"/>
      </w:pPr>
      <w:r w:rsidRPr="001F472A">
        <w:t>details of the relocation;</w:t>
      </w:r>
      <w:r>
        <w:t xml:space="preserve"> and</w:t>
      </w:r>
    </w:p>
    <w:p w14:paraId="419BAF7B" w14:textId="77777777" w:rsidR="0069220A" w:rsidRPr="001F472A" w:rsidRDefault="00991FB8" w:rsidP="0069220A">
      <w:pPr>
        <w:numPr>
          <w:ilvl w:val="2"/>
          <w:numId w:val="4"/>
        </w:numPr>
        <w:tabs>
          <w:tab w:val="clear" w:pos="720"/>
        </w:tabs>
        <w:spacing w:after="60"/>
        <w:ind w:left="1134" w:hanging="436"/>
      </w:pPr>
      <w:r>
        <w:t xml:space="preserve">their </w:t>
      </w:r>
      <w:r w:rsidR="0069220A" w:rsidRPr="001F472A">
        <w:t>expenses incurred;</w:t>
      </w:r>
      <w:r w:rsidR="0069220A">
        <w:t xml:space="preserve"> and</w:t>
      </w:r>
    </w:p>
    <w:p w14:paraId="0CA7DE39" w14:textId="77777777" w:rsidR="0069220A" w:rsidRPr="001F472A" w:rsidRDefault="0069220A" w:rsidP="0069220A">
      <w:pPr>
        <w:numPr>
          <w:ilvl w:val="2"/>
          <w:numId w:val="4"/>
        </w:numPr>
        <w:tabs>
          <w:tab w:val="clear" w:pos="720"/>
        </w:tabs>
        <w:spacing w:after="60"/>
        <w:ind w:left="1134" w:hanging="436"/>
      </w:pPr>
      <w:r w:rsidRPr="001F472A">
        <w:t>the</w:t>
      </w:r>
      <w:r w:rsidR="00991FB8">
        <w:t>ir</w:t>
      </w:r>
      <w:r w:rsidRPr="001F472A">
        <w:t xml:space="preserve"> expected total relocation expenses;</w:t>
      </w:r>
      <w:r>
        <w:t xml:space="preserve"> and</w:t>
      </w:r>
    </w:p>
    <w:p w14:paraId="1F04F0B3" w14:textId="77777777" w:rsidR="0069220A" w:rsidRPr="001F472A" w:rsidRDefault="0069220A" w:rsidP="0069220A">
      <w:pPr>
        <w:numPr>
          <w:ilvl w:val="2"/>
          <w:numId w:val="4"/>
        </w:numPr>
        <w:tabs>
          <w:tab w:val="clear" w:pos="720"/>
        </w:tabs>
        <w:spacing w:after="60"/>
        <w:ind w:left="1134" w:hanging="436"/>
      </w:pPr>
      <w:r w:rsidRPr="001F472A">
        <w:t xml:space="preserve">the level of assistance the </w:t>
      </w:r>
      <w:r w:rsidR="00991FB8">
        <w:rPr>
          <w:szCs w:val="24"/>
        </w:rPr>
        <w:t>person</w:t>
      </w:r>
      <w:r w:rsidR="001461C0" w:rsidRPr="001F472A">
        <w:t xml:space="preserve"> </w:t>
      </w:r>
      <w:r w:rsidRPr="001F472A">
        <w:t>considers should be provided; and</w:t>
      </w:r>
    </w:p>
    <w:p w14:paraId="1B92BB27" w14:textId="77777777" w:rsidR="0069220A" w:rsidRPr="001F472A" w:rsidRDefault="0069220A" w:rsidP="0069220A">
      <w:pPr>
        <w:numPr>
          <w:ilvl w:val="2"/>
          <w:numId w:val="4"/>
        </w:numPr>
        <w:tabs>
          <w:tab w:val="clear" w:pos="720"/>
        </w:tabs>
        <w:spacing w:after="60"/>
        <w:ind w:left="1134" w:hanging="436"/>
      </w:pPr>
      <w:proofErr w:type="gramStart"/>
      <w:r w:rsidRPr="001F472A">
        <w:t>any</w:t>
      </w:r>
      <w:proofErr w:type="gramEnd"/>
      <w:r w:rsidRPr="001F472A">
        <w:t xml:space="preserve"> other relevant information.</w:t>
      </w:r>
    </w:p>
    <w:p w14:paraId="67227C84" w14:textId="77777777" w:rsidR="0069220A" w:rsidRDefault="0069220A" w:rsidP="0069220A">
      <w:pPr>
        <w:numPr>
          <w:ilvl w:val="1"/>
          <w:numId w:val="4"/>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Pr="001F472A" w:rsidRDefault="00746C96" w:rsidP="00746C96">
      <w:pPr>
        <w:numPr>
          <w:ilvl w:val="2"/>
          <w:numId w:val="4"/>
        </w:numPr>
        <w:tabs>
          <w:tab w:val="clear" w:pos="720"/>
        </w:tabs>
        <w:spacing w:after="60"/>
        <w:ind w:left="1134" w:hanging="436"/>
      </w:pPr>
      <w:proofErr w:type="gramStart"/>
      <w:r>
        <w:t>part</w:t>
      </w:r>
      <w:proofErr w:type="gramEnd"/>
      <w:r>
        <w:t xml:space="preserve"> 9.6 (executive employee and statutory office-holder leave and other entitlements).</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79717AF" w14:textId="77777777" w:rsidR="0069220A" w:rsidRDefault="0069220A" w:rsidP="0069220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3A746A5E" w14:textId="77777777" w:rsidR="0069220A" w:rsidRDefault="0069220A" w:rsidP="0069220A">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14:paraId="1F21712A" w14:textId="77777777" w:rsidR="0069220A" w:rsidRDefault="0069220A" w:rsidP="0069220A">
      <w:pPr>
        <w:spacing w:before="8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14:paraId="60FF2A01" w14:textId="77777777" w:rsidR="00EA644C" w:rsidRDefault="00EA644C" w:rsidP="00EA644C">
      <w:pPr>
        <w:spacing w:before="80" w:after="60"/>
        <w:ind w:left="709"/>
        <w:jc w:val="both"/>
      </w:pPr>
      <w:proofErr w:type="gramStart"/>
      <w:r>
        <w:rPr>
          <w:b/>
          <w:i/>
        </w:rPr>
        <w:t>traveller</w:t>
      </w:r>
      <w:proofErr w:type="gramEnd"/>
      <w:r w:rsidRPr="00EE36F5">
        <w:rPr>
          <w:b/>
          <w:i/>
        </w:rPr>
        <w:t xml:space="preserve"> </w:t>
      </w:r>
      <w:r>
        <w:t>means a person, appointed under clause 2.1 of this Determination, who is travelling away from their normal place of work for official purposes.</w:t>
      </w:r>
    </w:p>
    <w:p w14:paraId="37FB48B9" w14:textId="77777777" w:rsidR="001C79EF" w:rsidRDefault="00DC689A" w:rsidP="0069220A">
      <w:pPr>
        <w:numPr>
          <w:ilvl w:val="1"/>
          <w:numId w:val="4"/>
        </w:numPr>
        <w:tabs>
          <w:tab w:val="clear" w:pos="720"/>
          <w:tab w:val="num" w:pos="0"/>
        </w:tabs>
        <w:spacing w:before="80" w:after="60"/>
        <w:ind w:left="709" w:hanging="709"/>
      </w:pPr>
      <w:r>
        <w:t>If a traveller is required to travel for official purposes</w:t>
      </w:r>
      <w:r w:rsidRPr="00DC689A">
        <w:t xml:space="preserve"> </w:t>
      </w:r>
      <w:r>
        <w:t xml:space="preserve">outside of Canberra, the employer must pay the cost of the </w:t>
      </w:r>
      <w:r w:rsidR="007E4C05">
        <w:t>flights and accommodation</w:t>
      </w:r>
      <w:r>
        <w:t xml:space="preserve"> expenses outlined below</w:t>
      </w:r>
      <w:r w:rsidR="00C078FD">
        <w:t>. T</w:t>
      </w:r>
      <w:r>
        <w:t xml:space="preserve">he </w:t>
      </w:r>
      <w:r w:rsidR="00B258EE">
        <w:t>reasonable</w:t>
      </w:r>
      <w:r w:rsidR="00C6525C">
        <w:t xml:space="preserve"> </w:t>
      </w:r>
      <w:r>
        <w:t xml:space="preserve">amounts set out in the relevant Australian Taxation Office </w:t>
      </w:r>
      <w:r w:rsidRPr="00F90A96">
        <w:t>Determinations</w:t>
      </w:r>
      <w:r w:rsidR="00D75FE9" w:rsidRPr="00F90A96">
        <w:rPr>
          <w:rStyle w:val="FootnoteReference"/>
          <w:rFonts w:ascii="Calibri" w:hAnsi="Calibri"/>
        </w:rPr>
        <w:footnoteReference w:id="1"/>
      </w:r>
      <w:r w:rsidR="00D75FE9">
        <w:t xml:space="preserve"> </w:t>
      </w:r>
      <w:r>
        <w:t>relating to meal and incidental expenses</w:t>
      </w:r>
      <w:r w:rsidR="00C078FD">
        <w:t xml:space="preserve"> will be paid to the traveller</w:t>
      </w:r>
      <w:r w:rsidR="00C6114B">
        <w:t xml:space="preserve"> as a reimbursement</w:t>
      </w:r>
      <w:r>
        <w:t xml:space="preserve">.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proofErr w:type="gramStart"/>
      <w:r>
        <w:t>private</w:t>
      </w:r>
      <w:proofErr w:type="gramEnd"/>
      <w:r>
        <w:t xml:space="preserv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proofErr w:type="gramStart"/>
      <w:r>
        <w:t>seeking</w:t>
      </w:r>
      <w:proofErr w:type="gramEnd"/>
      <w:r>
        <w:t xml:space="preserve">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lastRenderedPageBreak/>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proofErr w:type="gramStart"/>
      <w:r w:rsidRPr="00E433F0">
        <w:rPr>
          <w:rFonts w:eastAsia="Calibri"/>
          <w:szCs w:val="24"/>
        </w:rPr>
        <w:t>for</w:t>
      </w:r>
      <w:proofErr w:type="gramEnd"/>
      <w:r w:rsidRPr="00E433F0">
        <w:rPr>
          <w:rFonts w:eastAsia="Calibri"/>
          <w:szCs w:val="24"/>
        </w:rPr>
        <w:t xml:space="preserve"> international flights—business class.</w:t>
      </w:r>
    </w:p>
    <w:p w14:paraId="54594D68" w14:textId="77777777"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ACT Public Service Administrative and Related Classifications Enterprise Agreement 2013-2017</w:t>
      </w:r>
      <w:r w:rsidR="00BF7D35" w:rsidRPr="00BF7D35">
        <w:t>, or its</w:t>
      </w:r>
      <w:r w:rsidR="00D75FE9">
        <w:t xml:space="preserve"> replacement</w:t>
      </w:r>
      <w:r>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proofErr w:type="gramStart"/>
      <w:r>
        <w:t>for</w:t>
      </w:r>
      <w:proofErr w:type="gramEnd"/>
      <w:r>
        <w:t xml:space="preserve">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proofErr w:type="gramStart"/>
      <w:r>
        <w:t>to</w:t>
      </w:r>
      <w:proofErr w:type="gramEnd"/>
      <w:r>
        <w:t xml:space="preserve">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proofErr w:type="gramStart"/>
      <w:r>
        <w:rPr>
          <w:sz w:val="20"/>
          <w:lang w:val="en-US"/>
        </w:rPr>
        <w:t>to</w:t>
      </w:r>
      <w:proofErr w:type="gramEnd"/>
      <w:r>
        <w:rPr>
          <w:sz w:val="20"/>
          <w:lang w:val="en-US"/>
        </w:rPr>
        <w:t xml:space="preserve">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77777777"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is absent from Canberra 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 xml:space="preserve">service (such as </w:t>
      </w:r>
      <w:proofErr w:type="spellStart"/>
      <w:r w:rsidR="00CA0760">
        <w:t>uber</w:t>
      </w:r>
      <w:proofErr w:type="spellEnd"/>
      <w:r w:rsidR="00CA0760">
        <w:t>)</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w:t>
      </w:r>
      <w:proofErr w:type="spellStart"/>
      <w:r w:rsidR="00CA0760">
        <w:t>uber</w:t>
      </w:r>
      <w:proofErr w:type="spellEnd"/>
      <w:r w:rsidR="00CA0760">
        <w:t xml:space="preserve">)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proofErr w:type="gramStart"/>
      <w:r>
        <w:t>airport</w:t>
      </w:r>
      <w:proofErr w:type="gramEnd"/>
      <w:r>
        <w:t xml:space="preserve">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7777777" w:rsidR="00BC44F7" w:rsidRPr="00380585" w:rsidRDefault="00BC44F7" w:rsidP="00BC44F7">
      <w:pPr>
        <w:pStyle w:val="ListParagraph"/>
        <w:numPr>
          <w:ilvl w:val="1"/>
          <w:numId w:val="44"/>
        </w:numPr>
        <w:spacing w:before="80" w:after="60" w:line="240" w:lineRule="auto"/>
        <w:ind w:left="709" w:hanging="709"/>
        <w:contextualSpacing w:val="0"/>
        <w:rPr>
          <w:szCs w:val="24"/>
        </w:rPr>
      </w:pPr>
      <w:r w:rsidRPr="00380585">
        <w:rPr>
          <w:sz w:val="24"/>
          <w:szCs w:val="24"/>
        </w:rPr>
        <w:t xml:space="preserve">Frequent flyer points can no longer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lastRenderedPageBreak/>
        <w:t>Incidental travel in conjunction with official travel</w:t>
      </w:r>
    </w:p>
    <w:p w14:paraId="754C65C1" w14:textId="77777777" w:rsidR="002070EE" w:rsidRDefault="00EA644C" w:rsidP="002070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77777777" w:rsidR="00EA644C" w:rsidRDefault="00EA644C" w:rsidP="002070EE">
      <w:pPr>
        <w:numPr>
          <w:ilvl w:val="1"/>
          <w:numId w:val="4"/>
        </w:numPr>
        <w:spacing w:before="80" w:after="60"/>
      </w:pPr>
      <w:r>
        <w:t>If insurance has been obtained for official travel, it will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proofErr w:type="gramStart"/>
      <w:r w:rsidRPr="00E433F0">
        <w:rPr>
          <w:b/>
          <w:bCs/>
          <w:i/>
          <w:iCs/>
        </w:rPr>
        <w:t>agreed</w:t>
      </w:r>
      <w:proofErr w:type="gramEnd"/>
      <w:r w:rsidRPr="00E433F0">
        <w:rPr>
          <w:b/>
          <w:bCs/>
          <w:i/>
          <w:iCs/>
        </w:rPr>
        <w:t xml:space="preserve">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14:paraId="3E9D2380" w14:textId="77777777" w:rsidR="0069220A" w:rsidRPr="00E433F0" w:rsidRDefault="0069220A" w:rsidP="0069220A">
      <w:pPr>
        <w:pStyle w:val="ColorfulShading-Accent31"/>
        <w:numPr>
          <w:ilvl w:val="0"/>
          <w:numId w:val="17"/>
        </w:numPr>
        <w:spacing w:before="80"/>
        <w:jc w:val="both"/>
      </w:pPr>
      <w:proofErr w:type="gramStart"/>
      <w:r w:rsidRPr="00E433F0">
        <w:t>the</w:t>
      </w:r>
      <w:proofErr w:type="gramEnd"/>
      <w:r w:rsidRPr="00E433F0">
        <w:t xml:space="preserve"> </w:t>
      </w:r>
      <w:r w:rsidRPr="00E433F0">
        <w:rPr>
          <w:i/>
        </w:rPr>
        <w:t>Superannuation Industry (Supervision) Act 1993</w:t>
      </w:r>
      <w:r w:rsidRPr="00E433F0">
        <w:t xml:space="preserve"> (</w:t>
      </w:r>
      <w:proofErr w:type="spellStart"/>
      <w:r w:rsidRPr="00E433F0">
        <w:t>Cth</w:t>
      </w:r>
      <w:proofErr w:type="spellEnd"/>
      <w:r w:rsidRPr="00E433F0">
        <w:t>).</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7DF9773C" w14:textId="77777777" w:rsidR="0069220A" w:rsidRPr="00E433F0" w:rsidRDefault="0069220A" w:rsidP="0069220A">
      <w:pPr>
        <w:spacing w:before="80"/>
        <w:ind w:left="709"/>
        <w:jc w:val="both"/>
      </w:pPr>
      <w:proofErr w:type="gramStart"/>
      <w:r w:rsidRPr="00E433F0">
        <w:rPr>
          <w:b/>
          <w:bCs/>
          <w:i/>
        </w:rPr>
        <w:t>employer</w:t>
      </w:r>
      <w:proofErr w:type="gramEnd"/>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proofErr w:type="gramStart"/>
      <w:r w:rsidRPr="00E433F0">
        <w:rPr>
          <w:b/>
          <w:bCs/>
          <w:i/>
          <w:iCs/>
        </w:rPr>
        <w:t>fringe</w:t>
      </w:r>
      <w:proofErr w:type="gramEnd"/>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2F212783" w14:textId="277F5DC9" w:rsidR="0069220A" w:rsidRDefault="0069220A" w:rsidP="00607349">
      <w:pPr>
        <w:spacing w:before="80" w:after="60"/>
        <w:ind w:left="709"/>
      </w:pPr>
      <w:proofErr w:type="gramStart"/>
      <w:r w:rsidRPr="00E433F0">
        <w:rPr>
          <w:b/>
          <w:i/>
        </w:rPr>
        <w:t>total</w:t>
      </w:r>
      <w:proofErr w:type="gramEnd"/>
      <w:r w:rsidRPr="00E433F0">
        <w:rPr>
          <w:b/>
          <w:i/>
        </w:rPr>
        <w:t xml:space="preserve"> remuneration package</w:t>
      </w:r>
      <w:r w:rsidRPr="00E433F0">
        <w:t xml:space="preserve"> includes remuneration </w:t>
      </w:r>
      <w:r w:rsidR="0082575E">
        <w:t xml:space="preserve">outlined in Clause </w:t>
      </w:r>
      <w:r w:rsidR="00BD1BC7">
        <w:t>2.1</w:t>
      </w:r>
      <w:bookmarkStart w:id="1" w:name="_GoBack"/>
      <w:bookmarkEnd w:id="1"/>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14:paraId="25F58B9B" w14:textId="77777777" w:rsidR="00607349" w:rsidRPr="00E433F0" w:rsidRDefault="00607349" w:rsidP="00607349">
      <w:pPr>
        <w:spacing w:before="80" w:after="60"/>
        <w:ind w:left="709"/>
      </w:pPr>
      <w:r>
        <w:rPr>
          <w:b/>
          <w:i/>
        </w:rPr>
        <w:t>Senior Executive Service (SES) Member</w:t>
      </w:r>
      <w:r w:rsidRPr="00E433F0">
        <w:t xml:space="preserve"> includes </w:t>
      </w:r>
      <w:r>
        <w:t xml:space="preserve">a member of the service in the senior executive service under the </w:t>
      </w:r>
      <w:r w:rsidRPr="00607349">
        <w:rPr>
          <w:i/>
        </w:rPr>
        <w:t>Public Sector Management Act 1994</w:t>
      </w:r>
      <w:r>
        <w:t xml:space="preserve"> and </w:t>
      </w:r>
      <w:r w:rsidR="00355BD4">
        <w:br/>
      </w:r>
      <w:r w:rsidRPr="00607349">
        <w:rPr>
          <w:i/>
        </w:rPr>
        <w:t>Public Sector Management Standards</w:t>
      </w:r>
      <w:r>
        <w:t>.</w:t>
      </w:r>
      <w:r w:rsidR="00145B8A">
        <w:t xml:space="preserve"> A person, appointed to an office in clause 2.1 of this Determination, has a number of the same entitlements as a</w:t>
      </w:r>
      <w:r w:rsidR="00FA5F23">
        <w:t>n</w:t>
      </w:r>
      <w:r w:rsidR="00145B8A">
        <w:t xml:space="preserve"> SES Member.</w:t>
      </w:r>
    </w:p>
    <w:p w14:paraId="35F14329" w14:textId="77777777" w:rsidR="00163FC8" w:rsidRDefault="00163FC8" w:rsidP="00163FC8"/>
    <w:p w14:paraId="58CB85A1" w14:textId="77777777" w:rsidR="004116C7" w:rsidRDefault="004116C7" w:rsidP="00163FC8"/>
    <w:p w14:paraId="623B91BB" w14:textId="77777777" w:rsidR="008221E9" w:rsidRDefault="008221E9" w:rsidP="008221E9"/>
    <w:p w14:paraId="2C45ECAB" w14:textId="77777777" w:rsidR="00F07970" w:rsidRDefault="00F07970" w:rsidP="008221E9"/>
    <w:p w14:paraId="3E3FC173" w14:textId="77777777" w:rsidR="00F07970" w:rsidRDefault="00F07970" w:rsidP="00F07970">
      <w:pPr>
        <w:tabs>
          <w:tab w:val="left" w:pos="4253"/>
          <w:tab w:val="left" w:leader="dot" w:pos="8222"/>
        </w:tabs>
      </w:pPr>
    </w:p>
    <w:tbl>
      <w:tblPr>
        <w:tblW w:w="0" w:type="auto"/>
        <w:tblLook w:val="04A0" w:firstRow="1" w:lastRow="0" w:firstColumn="1" w:lastColumn="0" w:noHBand="0" w:noVBand="1"/>
      </w:tblPr>
      <w:tblGrid>
        <w:gridCol w:w="4529"/>
        <w:gridCol w:w="4488"/>
      </w:tblGrid>
      <w:tr w:rsidR="00F07970" w:rsidRPr="006A51E8" w14:paraId="07476AFA" w14:textId="77777777" w:rsidTr="00BA47C3">
        <w:tc>
          <w:tcPr>
            <w:tcW w:w="4529" w:type="dxa"/>
          </w:tcPr>
          <w:p w14:paraId="2EED3B02" w14:textId="77777777" w:rsidR="00F07970" w:rsidRPr="000F41B0" w:rsidRDefault="00F07970" w:rsidP="00BA47C3">
            <w:pPr>
              <w:tabs>
                <w:tab w:val="left" w:pos="4253"/>
                <w:tab w:val="left" w:leader="dot" w:pos="8222"/>
              </w:tabs>
              <w:rPr>
                <w:szCs w:val="24"/>
              </w:rPr>
            </w:pPr>
          </w:p>
          <w:p w14:paraId="5DFD9A96" w14:textId="77777777" w:rsidR="00F07970" w:rsidRPr="000F41B0" w:rsidRDefault="00F07970" w:rsidP="00BA47C3">
            <w:pPr>
              <w:tabs>
                <w:tab w:val="left" w:pos="4253"/>
                <w:tab w:val="left" w:pos="7230"/>
                <w:tab w:val="left" w:leader="dot" w:pos="8222"/>
              </w:tabs>
              <w:rPr>
                <w:szCs w:val="24"/>
              </w:rPr>
            </w:pPr>
            <w:r w:rsidRPr="000F41B0">
              <w:rPr>
                <w:szCs w:val="24"/>
              </w:rPr>
              <w:t>Dr Colin Adrian</w:t>
            </w:r>
            <w:r w:rsidRPr="000F41B0">
              <w:rPr>
                <w:szCs w:val="24"/>
              </w:rPr>
              <w:tab/>
            </w:r>
          </w:p>
          <w:p w14:paraId="652044AE" w14:textId="77777777" w:rsidR="00F07970" w:rsidRPr="000F41B0" w:rsidRDefault="00F07970" w:rsidP="00BA47C3">
            <w:pPr>
              <w:tabs>
                <w:tab w:val="left" w:pos="7230"/>
              </w:tabs>
              <w:rPr>
                <w:szCs w:val="24"/>
              </w:rPr>
            </w:pPr>
            <w:r w:rsidRPr="000F41B0">
              <w:rPr>
                <w:szCs w:val="24"/>
              </w:rPr>
              <w:t>Chair</w:t>
            </w:r>
          </w:p>
          <w:p w14:paraId="21F7BF66" w14:textId="77777777" w:rsidR="00F07970" w:rsidRPr="000F41B0" w:rsidRDefault="00F07970" w:rsidP="00BA47C3">
            <w:pPr>
              <w:tabs>
                <w:tab w:val="left" w:pos="4253"/>
                <w:tab w:val="left" w:leader="dot" w:pos="8222"/>
              </w:tabs>
              <w:rPr>
                <w:szCs w:val="24"/>
              </w:rPr>
            </w:pPr>
          </w:p>
        </w:tc>
        <w:tc>
          <w:tcPr>
            <w:tcW w:w="4488" w:type="dxa"/>
          </w:tcPr>
          <w:p w14:paraId="38766D05" w14:textId="77777777" w:rsidR="00F07970" w:rsidRDefault="00F07970" w:rsidP="00BA47C3">
            <w:pPr>
              <w:tabs>
                <w:tab w:val="left" w:pos="3059"/>
                <w:tab w:val="left" w:pos="7230"/>
              </w:tabs>
            </w:pPr>
          </w:p>
          <w:p w14:paraId="32411ECD" w14:textId="77777777" w:rsidR="00F07970" w:rsidRPr="006A51E8" w:rsidRDefault="00F07970" w:rsidP="00BA47C3">
            <w:pPr>
              <w:tabs>
                <w:tab w:val="left" w:pos="3059"/>
                <w:tab w:val="left" w:pos="7230"/>
              </w:tabs>
              <w:spacing w:before="120"/>
            </w:pPr>
            <w:r>
              <w:t xml:space="preserve">  </w:t>
            </w:r>
            <w:r w:rsidRPr="00A9481F">
              <w:t>...............................</w:t>
            </w:r>
            <w:r>
              <w:t>.................</w:t>
            </w:r>
          </w:p>
        </w:tc>
      </w:tr>
      <w:tr w:rsidR="00F07970" w:rsidRPr="006A51E8" w14:paraId="0B7FA42C" w14:textId="77777777" w:rsidTr="00BA47C3">
        <w:tc>
          <w:tcPr>
            <w:tcW w:w="4529" w:type="dxa"/>
          </w:tcPr>
          <w:p w14:paraId="59DFBDC1" w14:textId="77777777" w:rsidR="00F07970" w:rsidRPr="000F41B0" w:rsidRDefault="00F07970" w:rsidP="00BA47C3">
            <w:pPr>
              <w:tabs>
                <w:tab w:val="left" w:pos="4253"/>
                <w:tab w:val="left" w:pos="7230"/>
                <w:tab w:val="left" w:leader="dot" w:pos="8222"/>
              </w:tabs>
              <w:rPr>
                <w:szCs w:val="24"/>
              </w:rPr>
            </w:pPr>
          </w:p>
          <w:p w14:paraId="777F7325" w14:textId="77777777" w:rsidR="00F07970" w:rsidRPr="000F41B0" w:rsidRDefault="00F07970" w:rsidP="00BA47C3">
            <w:pPr>
              <w:tabs>
                <w:tab w:val="left" w:pos="4253"/>
                <w:tab w:val="left" w:pos="7230"/>
                <w:tab w:val="left" w:leader="dot" w:pos="8222"/>
              </w:tabs>
              <w:rPr>
                <w:szCs w:val="24"/>
              </w:rPr>
            </w:pPr>
            <w:r w:rsidRPr="000F41B0">
              <w:rPr>
                <w:szCs w:val="24"/>
              </w:rPr>
              <w:t>Mr James Smythe PSM</w:t>
            </w:r>
            <w:r w:rsidRPr="000F41B0">
              <w:rPr>
                <w:szCs w:val="24"/>
              </w:rPr>
              <w:tab/>
            </w:r>
          </w:p>
          <w:p w14:paraId="6F715111" w14:textId="77777777" w:rsidR="00F07970" w:rsidRPr="000F41B0" w:rsidRDefault="00F07970" w:rsidP="00BA47C3">
            <w:pPr>
              <w:tabs>
                <w:tab w:val="left" w:pos="7230"/>
              </w:tabs>
              <w:rPr>
                <w:szCs w:val="24"/>
              </w:rPr>
            </w:pPr>
            <w:r w:rsidRPr="000F41B0">
              <w:rPr>
                <w:szCs w:val="24"/>
              </w:rPr>
              <w:t>Member</w:t>
            </w:r>
          </w:p>
          <w:p w14:paraId="693FF87A" w14:textId="77777777" w:rsidR="00F07970" w:rsidRPr="000F41B0" w:rsidRDefault="00F07970" w:rsidP="00BA47C3">
            <w:pPr>
              <w:tabs>
                <w:tab w:val="left" w:pos="4253"/>
                <w:tab w:val="left" w:leader="dot" w:pos="8222"/>
              </w:tabs>
              <w:rPr>
                <w:szCs w:val="24"/>
              </w:rPr>
            </w:pPr>
          </w:p>
        </w:tc>
        <w:tc>
          <w:tcPr>
            <w:tcW w:w="4488" w:type="dxa"/>
          </w:tcPr>
          <w:p w14:paraId="562C5189" w14:textId="77777777" w:rsidR="00F07970" w:rsidRDefault="00F07970" w:rsidP="00BA47C3">
            <w:pPr>
              <w:tabs>
                <w:tab w:val="left" w:pos="2892"/>
                <w:tab w:val="left" w:pos="7230"/>
              </w:tabs>
            </w:pPr>
          </w:p>
          <w:p w14:paraId="7D40E037" w14:textId="77777777" w:rsidR="00F07970" w:rsidRDefault="00F07970" w:rsidP="00BA47C3">
            <w:pPr>
              <w:tabs>
                <w:tab w:val="left" w:pos="2892"/>
                <w:tab w:val="left" w:pos="7230"/>
              </w:tabs>
            </w:pPr>
          </w:p>
          <w:p w14:paraId="3CE689F4" w14:textId="77777777" w:rsidR="00F07970" w:rsidRDefault="00F07970" w:rsidP="00BA47C3">
            <w:pPr>
              <w:tabs>
                <w:tab w:val="left" w:pos="2892"/>
                <w:tab w:val="left" w:pos="7230"/>
              </w:tabs>
            </w:pPr>
          </w:p>
          <w:p w14:paraId="734725BC" w14:textId="77777777" w:rsidR="00F07970" w:rsidRPr="006A51E8" w:rsidRDefault="00F07970" w:rsidP="00BA47C3">
            <w:pPr>
              <w:tabs>
                <w:tab w:val="left" w:pos="3059"/>
                <w:tab w:val="left" w:pos="7230"/>
              </w:tabs>
            </w:pPr>
            <w:r>
              <w:t xml:space="preserve">  </w:t>
            </w:r>
            <w:r w:rsidRPr="00A9481F">
              <w:t>...............................</w:t>
            </w:r>
            <w:r>
              <w:t>.................</w:t>
            </w:r>
          </w:p>
        </w:tc>
      </w:tr>
      <w:tr w:rsidR="00F07970" w:rsidRPr="006A51E8" w14:paraId="55AF7B22" w14:textId="77777777" w:rsidTr="00BA47C3">
        <w:tc>
          <w:tcPr>
            <w:tcW w:w="4529" w:type="dxa"/>
          </w:tcPr>
          <w:p w14:paraId="3AC9DDAA" w14:textId="77777777" w:rsidR="00F07970" w:rsidRPr="000F41B0" w:rsidRDefault="00F07970" w:rsidP="00BA47C3">
            <w:pPr>
              <w:tabs>
                <w:tab w:val="left" w:pos="4253"/>
                <w:tab w:val="left" w:pos="7230"/>
                <w:tab w:val="left" w:leader="dot" w:pos="8222"/>
              </w:tabs>
              <w:rPr>
                <w:szCs w:val="24"/>
              </w:rPr>
            </w:pPr>
          </w:p>
          <w:p w14:paraId="6D4986A4" w14:textId="77777777" w:rsidR="00F07970" w:rsidRDefault="00F07970" w:rsidP="00BA47C3">
            <w:pPr>
              <w:tabs>
                <w:tab w:val="left" w:pos="4253"/>
                <w:tab w:val="left" w:pos="7230"/>
                <w:tab w:val="left" w:leader="dot" w:pos="8222"/>
              </w:tabs>
              <w:rPr>
                <w:szCs w:val="24"/>
              </w:rPr>
            </w:pPr>
          </w:p>
          <w:p w14:paraId="38BF3126" w14:textId="77777777" w:rsidR="00F07970" w:rsidRPr="000F41B0" w:rsidRDefault="00F07970" w:rsidP="00BA47C3">
            <w:pPr>
              <w:tabs>
                <w:tab w:val="left" w:pos="4253"/>
                <w:tab w:val="left" w:pos="7230"/>
                <w:tab w:val="left" w:leader="dot" w:pos="8222"/>
              </w:tabs>
              <w:rPr>
                <w:szCs w:val="24"/>
              </w:rPr>
            </w:pPr>
            <w:r>
              <w:rPr>
                <w:szCs w:val="24"/>
              </w:rPr>
              <w:t>Ms Sandra Lambert AM</w:t>
            </w:r>
            <w:r w:rsidRPr="000F41B0">
              <w:rPr>
                <w:szCs w:val="24"/>
              </w:rPr>
              <w:tab/>
            </w:r>
          </w:p>
          <w:p w14:paraId="19CD441E" w14:textId="77777777" w:rsidR="00F07970" w:rsidRPr="000F41B0" w:rsidRDefault="00F07970" w:rsidP="00BA47C3">
            <w:pPr>
              <w:tabs>
                <w:tab w:val="left" w:pos="7230"/>
              </w:tabs>
              <w:rPr>
                <w:szCs w:val="24"/>
              </w:rPr>
            </w:pPr>
            <w:r w:rsidRPr="000F41B0">
              <w:rPr>
                <w:szCs w:val="24"/>
              </w:rPr>
              <w:t>Member</w:t>
            </w:r>
          </w:p>
          <w:p w14:paraId="72BAE70C" w14:textId="77777777" w:rsidR="00F07970" w:rsidRPr="000F41B0" w:rsidRDefault="00F07970" w:rsidP="00BA47C3">
            <w:pPr>
              <w:tabs>
                <w:tab w:val="left" w:pos="4253"/>
                <w:tab w:val="left" w:leader="dot" w:pos="8222"/>
              </w:tabs>
              <w:rPr>
                <w:szCs w:val="24"/>
              </w:rPr>
            </w:pPr>
          </w:p>
        </w:tc>
        <w:tc>
          <w:tcPr>
            <w:tcW w:w="4488" w:type="dxa"/>
          </w:tcPr>
          <w:p w14:paraId="073EA163" w14:textId="77777777" w:rsidR="00F07970" w:rsidRDefault="00F07970" w:rsidP="00BA47C3">
            <w:pPr>
              <w:tabs>
                <w:tab w:val="left" w:pos="3059"/>
                <w:tab w:val="left" w:pos="7230"/>
              </w:tabs>
            </w:pPr>
          </w:p>
          <w:p w14:paraId="08C20758" w14:textId="77777777" w:rsidR="00F07970" w:rsidRDefault="00F07970" w:rsidP="00BA47C3">
            <w:pPr>
              <w:tabs>
                <w:tab w:val="left" w:pos="4026"/>
                <w:tab w:val="left" w:pos="7230"/>
              </w:tabs>
            </w:pPr>
          </w:p>
          <w:p w14:paraId="16A06D2C" w14:textId="77777777" w:rsidR="00F07970" w:rsidRDefault="00F07970" w:rsidP="00BA47C3">
            <w:pPr>
              <w:tabs>
                <w:tab w:val="left" w:pos="4026"/>
                <w:tab w:val="left" w:pos="7230"/>
              </w:tabs>
            </w:pPr>
          </w:p>
          <w:p w14:paraId="2388FF49" w14:textId="77777777" w:rsidR="00F07970" w:rsidRDefault="00F07970" w:rsidP="00BA47C3">
            <w:pPr>
              <w:tabs>
                <w:tab w:val="left" w:pos="4026"/>
                <w:tab w:val="left" w:pos="7230"/>
              </w:tabs>
            </w:pPr>
          </w:p>
          <w:p w14:paraId="59B6663D" w14:textId="77777777" w:rsidR="00F07970" w:rsidRDefault="00F07970" w:rsidP="00BA47C3">
            <w:pPr>
              <w:tabs>
                <w:tab w:val="left" w:pos="3059"/>
                <w:tab w:val="left" w:pos="7230"/>
              </w:tabs>
            </w:pPr>
            <w:r>
              <w:t xml:space="preserve">  </w:t>
            </w:r>
            <w:r w:rsidRPr="00A9481F">
              <w:t>...............................</w:t>
            </w:r>
            <w:r>
              <w:t>.................</w:t>
            </w:r>
          </w:p>
          <w:p w14:paraId="457D2061" w14:textId="77777777" w:rsidR="00F07970" w:rsidRDefault="00F07970" w:rsidP="00BA47C3">
            <w:pPr>
              <w:tabs>
                <w:tab w:val="left" w:pos="3059"/>
                <w:tab w:val="left" w:pos="7230"/>
              </w:tabs>
            </w:pPr>
          </w:p>
          <w:p w14:paraId="6C500A7E" w14:textId="77777777" w:rsidR="00F07970" w:rsidRPr="006A51E8" w:rsidRDefault="00F07970" w:rsidP="00BA47C3">
            <w:pPr>
              <w:tabs>
                <w:tab w:val="left" w:pos="3059"/>
                <w:tab w:val="left" w:pos="7230"/>
              </w:tabs>
            </w:pPr>
          </w:p>
        </w:tc>
      </w:tr>
    </w:tbl>
    <w:p w14:paraId="4813AED4" w14:textId="09DD9173" w:rsidR="00F07970" w:rsidRPr="005E0200" w:rsidRDefault="00F07970" w:rsidP="00F07970">
      <w:pPr>
        <w:tabs>
          <w:tab w:val="left" w:pos="4253"/>
          <w:tab w:val="left" w:leader="dot" w:pos="8222"/>
        </w:tabs>
        <w:jc w:val="right"/>
        <w:rPr>
          <w:color w:val="000000" w:themeColor="text1"/>
        </w:rPr>
      </w:pPr>
      <w:r>
        <w:rPr>
          <w:color w:val="000000" w:themeColor="text1"/>
        </w:rPr>
        <w:t>April</w:t>
      </w:r>
      <w:r w:rsidRPr="005E0200">
        <w:rPr>
          <w:color w:val="000000" w:themeColor="text1"/>
        </w:rPr>
        <w:t xml:space="preserve"> 2018</w:t>
      </w:r>
    </w:p>
    <w:bookmarkEnd w:id="0"/>
    <w:p w14:paraId="6BC6C86E" w14:textId="77777777" w:rsidR="00F07970" w:rsidRDefault="00F07970" w:rsidP="008221E9"/>
    <w:sectPr w:rsidR="00F07970"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E940D" w14:textId="77777777" w:rsidR="00EF1D7B" w:rsidRDefault="00EF1D7B">
      <w:r>
        <w:separator/>
      </w:r>
    </w:p>
  </w:endnote>
  <w:endnote w:type="continuationSeparator" w:id="0">
    <w:p w14:paraId="5BDB832D" w14:textId="77777777" w:rsidR="00EF1D7B" w:rsidRDefault="00EF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2292" w14:textId="77777777" w:rsidR="004116C7" w:rsidRPr="00C420E9" w:rsidRDefault="004116C7">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BD1BC7">
      <w:rPr>
        <w:rFonts w:ascii="Calibri" w:hAnsi="Calibri"/>
        <w:noProof/>
      </w:rPr>
      <w:t>2</w:t>
    </w:r>
    <w:r w:rsidRPr="00C420E9">
      <w:rPr>
        <w:rFonts w:ascii="Calibri" w:hAnsi="Calibri"/>
        <w:noProof/>
      </w:rPr>
      <w:fldChar w:fldCharType="end"/>
    </w:r>
  </w:p>
  <w:p w14:paraId="54CEF88E" w14:textId="77777777" w:rsidR="004116C7" w:rsidRDefault="004116C7" w:rsidP="00DC6C6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4116C7" w:rsidRDefault="00411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4116C7" w:rsidRDefault="004116C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4116C7" w:rsidRPr="000B67A3" w:rsidRDefault="004116C7"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BD1BC7">
      <w:rPr>
        <w:rFonts w:ascii="Calibri" w:hAnsi="Calibri"/>
        <w:noProof/>
      </w:rPr>
      <w:t>10</w:t>
    </w:r>
    <w:r w:rsidRPr="000B67A3">
      <w:rPr>
        <w:rFonts w:ascii="Calibri" w:hAnsi="Calibri"/>
        <w:noProof/>
      </w:rPr>
      <w:fldChar w:fldCharType="end"/>
    </w:r>
  </w:p>
  <w:p w14:paraId="514CB8A5" w14:textId="77777777" w:rsidR="004116C7" w:rsidRDefault="004116C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4116C7" w:rsidRDefault="00411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0C9E4" w14:textId="77777777" w:rsidR="00EF1D7B" w:rsidRDefault="00EF1D7B">
      <w:r>
        <w:separator/>
      </w:r>
    </w:p>
  </w:footnote>
  <w:footnote w:type="continuationSeparator" w:id="0">
    <w:p w14:paraId="4EB929BF" w14:textId="77777777" w:rsidR="00EF1D7B" w:rsidRDefault="00EF1D7B">
      <w:r>
        <w:continuationSeparator/>
      </w:r>
    </w:p>
  </w:footnote>
  <w:footnote w:id="1">
    <w:p w14:paraId="1FB69CAE" w14:textId="77E6ABE6" w:rsidR="004116C7" w:rsidRPr="00F90A96" w:rsidRDefault="004116C7" w:rsidP="00D75FE9">
      <w:pPr>
        <w:pStyle w:val="FootnoteText"/>
        <w:rPr>
          <w:rFonts w:asciiTheme="majorHAnsi" w:hAnsiTheme="majorHAnsi"/>
          <w:sz w:val="16"/>
          <w:szCs w:val="16"/>
          <w:lang w:val="en-GB"/>
        </w:rPr>
      </w:pPr>
      <w:r w:rsidRPr="00F90A96">
        <w:rPr>
          <w:rStyle w:val="FootnoteReference"/>
          <w:rFonts w:asciiTheme="majorHAnsi" w:hAnsiTheme="majorHAnsi"/>
          <w:sz w:val="16"/>
          <w:szCs w:val="16"/>
        </w:rPr>
        <w:footnoteRef/>
      </w:r>
      <w:r w:rsidRPr="00F90A96">
        <w:rPr>
          <w:rFonts w:asciiTheme="majorHAnsi" w:hAnsiTheme="majorHAnsi"/>
          <w:sz w:val="16"/>
          <w:szCs w:val="16"/>
        </w:rPr>
        <w:t xml:space="preserve"> </w:t>
      </w:r>
      <w:r w:rsidRPr="00F90A96">
        <w:rPr>
          <w:rFonts w:asciiTheme="majorHAnsi" w:hAnsiTheme="majorHAnsi"/>
          <w:sz w:val="16"/>
          <w:szCs w:val="16"/>
          <w:lang w:val="en-GB"/>
        </w:rPr>
        <w:t>Taxation Determination</w:t>
      </w:r>
      <w:r>
        <w:rPr>
          <w:rFonts w:asciiTheme="majorHAnsi" w:hAnsiTheme="majorHAnsi"/>
          <w:sz w:val="16"/>
          <w:szCs w:val="16"/>
          <w:lang w:val="en-GB"/>
        </w:rPr>
        <w:t xml:space="preserve"> 2017/19 or its replacement - </w:t>
      </w:r>
      <w:r w:rsidRPr="00F90A96">
        <w:rPr>
          <w:rFonts w:asciiTheme="majorHAnsi" w:hAnsiTheme="majorHAnsi"/>
          <w:sz w:val="16"/>
          <w:szCs w:val="16"/>
          <w:lang w:val="en-GB"/>
        </w:rPr>
        <w:t>Income tax: what are the reasonable travel and overtime meal allowance expense amounts for the 201</w:t>
      </w:r>
      <w:r>
        <w:rPr>
          <w:rFonts w:asciiTheme="majorHAnsi" w:hAnsiTheme="majorHAnsi"/>
          <w:sz w:val="16"/>
          <w:szCs w:val="16"/>
          <w:lang w:val="en-GB"/>
        </w:rPr>
        <w:t>7</w:t>
      </w:r>
      <w:r w:rsidRPr="00F90A96">
        <w:rPr>
          <w:rFonts w:asciiTheme="majorHAnsi" w:hAnsiTheme="majorHAnsi"/>
          <w:sz w:val="16"/>
          <w:szCs w:val="16"/>
          <w:lang w:val="en-GB"/>
        </w:rPr>
        <w:t>-1</w:t>
      </w:r>
      <w:r>
        <w:rPr>
          <w:rFonts w:asciiTheme="majorHAnsi" w:hAnsiTheme="majorHAnsi"/>
          <w:sz w:val="16"/>
          <w:szCs w:val="16"/>
          <w:lang w:val="en-GB"/>
        </w:rPr>
        <w:t>8</w:t>
      </w:r>
      <w:r w:rsidRPr="00F90A96">
        <w:rPr>
          <w:rFonts w:asciiTheme="majorHAnsi" w:hAnsiTheme="majorHAnsi"/>
          <w:sz w:val="16"/>
          <w:szCs w:val="16"/>
          <w:lang w:val="en-GB"/>
        </w:rPr>
        <w:t xml:space="preserve">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4116C7" w:rsidRDefault="00411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4116C7" w:rsidRDefault="004116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4116C7" w:rsidRDefault="00411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9"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9"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A8360B"/>
    <w:multiLevelType w:val="hybridMultilevel"/>
    <w:tmpl w:val="04381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8"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7"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6"/>
  </w:num>
  <w:num w:numId="3">
    <w:abstractNumId w:val="2"/>
  </w:num>
  <w:num w:numId="4">
    <w:abstractNumId w:val="38"/>
  </w:num>
  <w:num w:numId="5">
    <w:abstractNumId w:val="24"/>
  </w:num>
  <w:num w:numId="6">
    <w:abstractNumId w:val="29"/>
  </w:num>
  <w:num w:numId="7">
    <w:abstractNumId w:val="18"/>
  </w:num>
  <w:num w:numId="8">
    <w:abstractNumId w:val="35"/>
  </w:num>
  <w:num w:numId="9">
    <w:abstractNumId w:val="38"/>
  </w:num>
  <w:num w:numId="10">
    <w:abstractNumId w:val="38"/>
  </w:num>
  <w:num w:numId="11">
    <w:abstractNumId w:val="36"/>
  </w:num>
  <w:num w:numId="12">
    <w:abstractNumId w:val="26"/>
  </w:num>
  <w:num w:numId="13">
    <w:abstractNumId w:val="27"/>
  </w:num>
  <w:num w:numId="14">
    <w:abstractNumId w:val="21"/>
  </w:num>
  <w:num w:numId="15">
    <w:abstractNumId w:val="39"/>
  </w:num>
  <w:num w:numId="16">
    <w:abstractNumId w:val="23"/>
  </w:num>
  <w:num w:numId="17">
    <w:abstractNumId w:val="9"/>
  </w:num>
  <w:num w:numId="18">
    <w:abstractNumId w:val="15"/>
  </w:num>
  <w:num w:numId="19">
    <w:abstractNumId w:val="0"/>
  </w:num>
  <w:num w:numId="20">
    <w:abstractNumId w:val="17"/>
  </w:num>
  <w:num w:numId="21">
    <w:abstractNumId w:val="30"/>
  </w:num>
  <w:num w:numId="22">
    <w:abstractNumId w:val="37"/>
  </w:num>
  <w:num w:numId="23">
    <w:abstractNumId w:val="13"/>
  </w:num>
  <w:num w:numId="24">
    <w:abstractNumId w:val="4"/>
  </w:num>
  <w:num w:numId="25">
    <w:abstractNumId w:val="14"/>
  </w:num>
  <w:num w:numId="26">
    <w:abstractNumId w:val="33"/>
  </w:num>
  <w:num w:numId="27">
    <w:abstractNumId w:val="34"/>
  </w:num>
  <w:num w:numId="28">
    <w:abstractNumId w:val="28"/>
  </w:num>
  <w:num w:numId="29">
    <w:abstractNumId w:val="3"/>
  </w:num>
  <w:num w:numId="30">
    <w:abstractNumId w:val="11"/>
  </w:num>
  <w:num w:numId="31">
    <w:abstractNumId w:val="6"/>
  </w:num>
  <w:num w:numId="32">
    <w:abstractNumId w:val="19"/>
  </w:num>
  <w:num w:numId="33">
    <w:abstractNumId w:val="5"/>
  </w:num>
  <w:num w:numId="34">
    <w:abstractNumId w:val="31"/>
  </w:num>
  <w:num w:numId="35">
    <w:abstractNumId w:val="32"/>
  </w:num>
  <w:num w:numId="36">
    <w:abstractNumId w:val="40"/>
  </w:num>
  <w:num w:numId="37">
    <w:abstractNumId w:val="7"/>
  </w:num>
  <w:num w:numId="38">
    <w:abstractNumId w:val="25"/>
  </w:num>
  <w:num w:numId="39">
    <w:abstractNumId w:val="10"/>
  </w:num>
  <w:num w:numId="40">
    <w:abstractNumId w:val="1"/>
  </w:num>
  <w:num w:numId="41">
    <w:abstractNumId w:val="38"/>
  </w:num>
  <w:num w:numId="42">
    <w:abstractNumId w:val="22"/>
  </w:num>
  <w:num w:numId="43">
    <w:abstractNumId w:val="38"/>
  </w:num>
  <w:num w:numId="44">
    <w:abstractNumId w:val="12"/>
  </w:num>
  <w:num w:numId="4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235E0"/>
    <w:rsid w:val="00031CFC"/>
    <w:rsid w:val="00040765"/>
    <w:rsid w:val="0005314A"/>
    <w:rsid w:val="000556CB"/>
    <w:rsid w:val="00056206"/>
    <w:rsid w:val="00056F1E"/>
    <w:rsid w:val="0006169E"/>
    <w:rsid w:val="000656D9"/>
    <w:rsid w:val="00070D49"/>
    <w:rsid w:val="000739D1"/>
    <w:rsid w:val="00073FA6"/>
    <w:rsid w:val="00074BFB"/>
    <w:rsid w:val="00077DBF"/>
    <w:rsid w:val="0008057D"/>
    <w:rsid w:val="00090A4E"/>
    <w:rsid w:val="000945B5"/>
    <w:rsid w:val="00094C9A"/>
    <w:rsid w:val="00097FB9"/>
    <w:rsid w:val="000B0E53"/>
    <w:rsid w:val="000B67A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7976"/>
    <w:rsid w:val="0011446D"/>
    <w:rsid w:val="00115BFE"/>
    <w:rsid w:val="0012152F"/>
    <w:rsid w:val="00122DBF"/>
    <w:rsid w:val="00127666"/>
    <w:rsid w:val="00134E9D"/>
    <w:rsid w:val="0013640A"/>
    <w:rsid w:val="00145B8A"/>
    <w:rsid w:val="001461C0"/>
    <w:rsid w:val="001463EB"/>
    <w:rsid w:val="0015430B"/>
    <w:rsid w:val="00163FC8"/>
    <w:rsid w:val="0016506F"/>
    <w:rsid w:val="00170CB2"/>
    <w:rsid w:val="0018099A"/>
    <w:rsid w:val="00182E98"/>
    <w:rsid w:val="00192151"/>
    <w:rsid w:val="00195F46"/>
    <w:rsid w:val="001B4DE2"/>
    <w:rsid w:val="001C79EF"/>
    <w:rsid w:val="001D03AE"/>
    <w:rsid w:val="001D1882"/>
    <w:rsid w:val="001D4A27"/>
    <w:rsid w:val="001E5FEF"/>
    <w:rsid w:val="00204A61"/>
    <w:rsid w:val="002070EE"/>
    <w:rsid w:val="00210349"/>
    <w:rsid w:val="0021099D"/>
    <w:rsid w:val="00220C1E"/>
    <w:rsid w:val="002413FF"/>
    <w:rsid w:val="0024270A"/>
    <w:rsid w:val="00252CF8"/>
    <w:rsid w:val="0025372B"/>
    <w:rsid w:val="00253D0C"/>
    <w:rsid w:val="00260189"/>
    <w:rsid w:val="0026798E"/>
    <w:rsid w:val="002740B6"/>
    <w:rsid w:val="00274C3E"/>
    <w:rsid w:val="002A134C"/>
    <w:rsid w:val="002A4ADA"/>
    <w:rsid w:val="002B391E"/>
    <w:rsid w:val="002C0635"/>
    <w:rsid w:val="002C2521"/>
    <w:rsid w:val="002C2963"/>
    <w:rsid w:val="002C3B13"/>
    <w:rsid w:val="002C5A60"/>
    <w:rsid w:val="002C785E"/>
    <w:rsid w:val="002D40AF"/>
    <w:rsid w:val="002D6B74"/>
    <w:rsid w:val="002E23E7"/>
    <w:rsid w:val="002E3F01"/>
    <w:rsid w:val="002F76C6"/>
    <w:rsid w:val="003019CD"/>
    <w:rsid w:val="003114FB"/>
    <w:rsid w:val="00316F20"/>
    <w:rsid w:val="0033335A"/>
    <w:rsid w:val="00335D5A"/>
    <w:rsid w:val="00335FA1"/>
    <w:rsid w:val="00344B5B"/>
    <w:rsid w:val="00347A7E"/>
    <w:rsid w:val="00355BD4"/>
    <w:rsid w:val="0036438B"/>
    <w:rsid w:val="003661F9"/>
    <w:rsid w:val="0036660B"/>
    <w:rsid w:val="003715E6"/>
    <w:rsid w:val="00372DD3"/>
    <w:rsid w:val="00373E37"/>
    <w:rsid w:val="00381CF4"/>
    <w:rsid w:val="00383A02"/>
    <w:rsid w:val="00391051"/>
    <w:rsid w:val="003B0300"/>
    <w:rsid w:val="003B1A08"/>
    <w:rsid w:val="003D2774"/>
    <w:rsid w:val="003D2D25"/>
    <w:rsid w:val="003D4E8A"/>
    <w:rsid w:val="003D59CB"/>
    <w:rsid w:val="003E232D"/>
    <w:rsid w:val="003E79F7"/>
    <w:rsid w:val="003F4842"/>
    <w:rsid w:val="003F5154"/>
    <w:rsid w:val="003F6933"/>
    <w:rsid w:val="003F7A76"/>
    <w:rsid w:val="004004FA"/>
    <w:rsid w:val="004116C7"/>
    <w:rsid w:val="0043370C"/>
    <w:rsid w:val="00437715"/>
    <w:rsid w:val="00441444"/>
    <w:rsid w:val="004455DD"/>
    <w:rsid w:val="00470F0C"/>
    <w:rsid w:val="00475AF5"/>
    <w:rsid w:val="00484224"/>
    <w:rsid w:val="004A2467"/>
    <w:rsid w:val="004B4A80"/>
    <w:rsid w:val="004B66BB"/>
    <w:rsid w:val="004B688C"/>
    <w:rsid w:val="004B71C5"/>
    <w:rsid w:val="004C2A9A"/>
    <w:rsid w:val="004C42DA"/>
    <w:rsid w:val="004C4847"/>
    <w:rsid w:val="004C6DE2"/>
    <w:rsid w:val="004D35A7"/>
    <w:rsid w:val="004D44E5"/>
    <w:rsid w:val="004E4757"/>
    <w:rsid w:val="004F0900"/>
    <w:rsid w:val="004F6AA2"/>
    <w:rsid w:val="004F77CB"/>
    <w:rsid w:val="00500C2D"/>
    <w:rsid w:val="00501D7C"/>
    <w:rsid w:val="00510BDD"/>
    <w:rsid w:val="00512EA2"/>
    <w:rsid w:val="00513C42"/>
    <w:rsid w:val="005152BC"/>
    <w:rsid w:val="00516063"/>
    <w:rsid w:val="0051729C"/>
    <w:rsid w:val="005210C7"/>
    <w:rsid w:val="00521DCD"/>
    <w:rsid w:val="005305C6"/>
    <w:rsid w:val="00531B4E"/>
    <w:rsid w:val="00531C63"/>
    <w:rsid w:val="00532922"/>
    <w:rsid w:val="005372BD"/>
    <w:rsid w:val="005515EE"/>
    <w:rsid w:val="00557E3B"/>
    <w:rsid w:val="005708C7"/>
    <w:rsid w:val="00572AB6"/>
    <w:rsid w:val="00575656"/>
    <w:rsid w:val="00582CFF"/>
    <w:rsid w:val="0059383C"/>
    <w:rsid w:val="005A1AA7"/>
    <w:rsid w:val="005B466F"/>
    <w:rsid w:val="005B596D"/>
    <w:rsid w:val="005C08FE"/>
    <w:rsid w:val="005C692E"/>
    <w:rsid w:val="005D23A4"/>
    <w:rsid w:val="005E66E2"/>
    <w:rsid w:val="005E7A3E"/>
    <w:rsid w:val="005F35AD"/>
    <w:rsid w:val="00604F0B"/>
    <w:rsid w:val="00605519"/>
    <w:rsid w:val="00607349"/>
    <w:rsid w:val="00616924"/>
    <w:rsid w:val="0061777D"/>
    <w:rsid w:val="00621F10"/>
    <w:rsid w:val="00630FB5"/>
    <w:rsid w:val="006374E8"/>
    <w:rsid w:val="006460C5"/>
    <w:rsid w:val="00647F0A"/>
    <w:rsid w:val="006637AB"/>
    <w:rsid w:val="00667D31"/>
    <w:rsid w:val="0067357E"/>
    <w:rsid w:val="00674580"/>
    <w:rsid w:val="00674A79"/>
    <w:rsid w:val="00674BD0"/>
    <w:rsid w:val="00675113"/>
    <w:rsid w:val="00677B60"/>
    <w:rsid w:val="006921C0"/>
    <w:rsid w:val="0069220A"/>
    <w:rsid w:val="00692462"/>
    <w:rsid w:val="00697229"/>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53A9"/>
    <w:rsid w:val="006E6165"/>
    <w:rsid w:val="006F1565"/>
    <w:rsid w:val="00700E75"/>
    <w:rsid w:val="00714C87"/>
    <w:rsid w:val="0071674A"/>
    <w:rsid w:val="00730C82"/>
    <w:rsid w:val="00732D04"/>
    <w:rsid w:val="007351B8"/>
    <w:rsid w:val="00746C96"/>
    <w:rsid w:val="007534BC"/>
    <w:rsid w:val="007612FA"/>
    <w:rsid w:val="007653BC"/>
    <w:rsid w:val="00774F91"/>
    <w:rsid w:val="0078119F"/>
    <w:rsid w:val="00791C85"/>
    <w:rsid w:val="00796DC8"/>
    <w:rsid w:val="007A0CEA"/>
    <w:rsid w:val="007B2F07"/>
    <w:rsid w:val="007B3033"/>
    <w:rsid w:val="007B444B"/>
    <w:rsid w:val="007B5A4D"/>
    <w:rsid w:val="007B7D04"/>
    <w:rsid w:val="007C050D"/>
    <w:rsid w:val="007D57D5"/>
    <w:rsid w:val="007E11E5"/>
    <w:rsid w:val="007E3378"/>
    <w:rsid w:val="007E424C"/>
    <w:rsid w:val="007E4C05"/>
    <w:rsid w:val="007E6AB7"/>
    <w:rsid w:val="00802958"/>
    <w:rsid w:val="00802ACA"/>
    <w:rsid w:val="008035C3"/>
    <w:rsid w:val="0080694B"/>
    <w:rsid w:val="0081580E"/>
    <w:rsid w:val="00816BA9"/>
    <w:rsid w:val="008221E9"/>
    <w:rsid w:val="008236B1"/>
    <w:rsid w:val="0082575E"/>
    <w:rsid w:val="008316A3"/>
    <w:rsid w:val="00840B00"/>
    <w:rsid w:val="00842AA2"/>
    <w:rsid w:val="00861DF6"/>
    <w:rsid w:val="00865598"/>
    <w:rsid w:val="00867A92"/>
    <w:rsid w:val="00870068"/>
    <w:rsid w:val="00877EB0"/>
    <w:rsid w:val="00882C73"/>
    <w:rsid w:val="00883CEC"/>
    <w:rsid w:val="00884608"/>
    <w:rsid w:val="00891859"/>
    <w:rsid w:val="0089656C"/>
    <w:rsid w:val="0089720F"/>
    <w:rsid w:val="008B36C4"/>
    <w:rsid w:val="008B6DDC"/>
    <w:rsid w:val="008C43AB"/>
    <w:rsid w:val="008C5BE2"/>
    <w:rsid w:val="008D0A3D"/>
    <w:rsid w:val="008D2952"/>
    <w:rsid w:val="008D5909"/>
    <w:rsid w:val="009031DC"/>
    <w:rsid w:val="0091032A"/>
    <w:rsid w:val="009118FF"/>
    <w:rsid w:val="0092035A"/>
    <w:rsid w:val="00926988"/>
    <w:rsid w:val="00934A13"/>
    <w:rsid w:val="00935862"/>
    <w:rsid w:val="00943B30"/>
    <w:rsid w:val="009468BC"/>
    <w:rsid w:val="00946CD2"/>
    <w:rsid w:val="009472F5"/>
    <w:rsid w:val="00960FDB"/>
    <w:rsid w:val="00964233"/>
    <w:rsid w:val="00965615"/>
    <w:rsid w:val="00970733"/>
    <w:rsid w:val="009844CE"/>
    <w:rsid w:val="0098544D"/>
    <w:rsid w:val="009859F7"/>
    <w:rsid w:val="00991FB8"/>
    <w:rsid w:val="00992018"/>
    <w:rsid w:val="009A108C"/>
    <w:rsid w:val="009A24F2"/>
    <w:rsid w:val="009D1A1F"/>
    <w:rsid w:val="009D5748"/>
    <w:rsid w:val="009E34DA"/>
    <w:rsid w:val="009E4C67"/>
    <w:rsid w:val="009E735F"/>
    <w:rsid w:val="009F6241"/>
    <w:rsid w:val="00A01575"/>
    <w:rsid w:val="00A10D88"/>
    <w:rsid w:val="00A113C0"/>
    <w:rsid w:val="00A403CA"/>
    <w:rsid w:val="00A7057A"/>
    <w:rsid w:val="00A72561"/>
    <w:rsid w:val="00A750B6"/>
    <w:rsid w:val="00A760A2"/>
    <w:rsid w:val="00A77538"/>
    <w:rsid w:val="00A90AB7"/>
    <w:rsid w:val="00A9679B"/>
    <w:rsid w:val="00AB02E2"/>
    <w:rsid w:val="00AC1C71"/>
    <w:rsid w:val="00AC729A"/>
    <w:rsid w:val="00AD5324"/>
    <w:rsid w:val="00AE2CF2"/>
    <w:rsid w:val="00AE689E"/>
    <w:rsid w:val="00AE77C3"/>
    <w:rsid w:val="00B258EE"/>
    <w:rsid w:val="00B373AF"/>
    <w:rsid w:val="00B40DE4"/>
    <w:rsid w:val="00B41011"/>
    <w:rsid w:val="00B42918"/>
    <w:rsid w:val="00B50DAA"/>
    <w:rsid w:val="00B51C15"/>
    <w:rsid w:val="00B543C2"/>
    <w:rsid w:val="00B5755A"/>
    <w:rsid w:val="00B602B7"/>
    <w:rsid w:val="00B61E76"/>
    <w:rsid w:val="00B634A3"/>
    <w:rsid w:val="00B7359A"/>
    <w:rsid w:val="00B748D0"/>
    <w:rsid w:val="00B76438"/>
    <w:rsid w:val="00B83610"/>
    <w:rsid w:val="00B90A5E"/>
    <w:rsid w:val="00B90F0B"/>
    <w:rsid w:val="00B94E3B"/>
    <w:rsid w:val="00B960E0"/>
    <w:rsid w:val="00B96194"/>
    <w:rsid w:val="00B97BF2"/>
    <w:rsid w:val="00BA23CF"/>
    <w:rsid w:val="00BA3A88"/>
    <w:rsid w:val="00BB3562"/>
    <w:rsid w:val="00BB5E73"/>
    <w:rsid w:val="00BB7044"/>
    <w:rsid w:val="00BC0E5B"/>
    <w:rsid w:val="00BC2ABD"/>
    <w:rsid w:val="00BC44F7"/>
    <w:rsid w:val="00BD1BC7"/>
    <w:rsid w:val="00BE3052"/>
    <w:rsid w:val="00BE4B52"/>
    <w:rsid w:val="00BE7346"/>
    <w:rsid w:val="00BF7D35"/>
    <w:rsid w:val="00C03DBD"/>
    <w:rsid w:val="00C05120"/>
    <w:rsid w:val="00C078FD"/>
    <w:rsid w:val="00C10C16"/>
    <w:rsid w:val="00C22742"/>
    <w:rsid w:val="00C22C53"/>
    <w:rsid w:val="00C23982"/>
    <w:rsid w:val="00C2538E"/>
    <w:rsid w:val="00C420E9"/>
    <w:rsid w:val="00C51E83"/>
    <w:rsid w:val="00C51F45"/>
    <w:rsid w:val="00C5322A"/>
    <w:rsid w:val="00C561B4"/>
    <w:rsid w:val="00C6114B"/>
    <w:rsid w:val="00C616D7"/>
    <w:rsid w:val="00C6525C"/>
    <w:rsid w:val="00C74542"/>
    <w:rsid w:val="00C76A53"/>
    <w:rsid w:val="00C8026E"/>
    <w:rsid w:val="00C810A6"/>
    <w:rsid w:val="00C82054"/>
    <w:rsid w:val="00C90DE3"/>
    <w:rsid w:val="00C91627"/>
    <w:rsid w:val="00C95977"/>
    <w:rsid w:val="00CA01A6"/>
    <w:rsid w:val="00CA0760"/>
    <w:rsid w:val="00CA0D6A"/>
    <w:rsid w:val="00CA0E47"/>
    <w:rsid w:val="00CA682D"/>
    <w:rsid w:val="00CB1C7E"/>
    <w:rsid w:val="00CB7D64"/>
    <w:rsid w:val="00CB7ED3"/>
    <w:rsid w:val="00CC57FE"/>
    <w:rsid w:val="00CD1EAD"/>
    <w:rsid w:val="00CE4B09"/>
    <w:rsid w:val="00CF2E46"/>
    <w:rsid w:val="00D003B9"/>
    <w:rsid w:val="00D018AF"/>
    <w:rsid w:val="00D04F1B"/>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50CE"/>
    <w:rsid w:val="00DA3D0F"/>
    <w:rsid w:val="00DA5979"/>
    <w:rsid w:val="00DB1F22"/>
    <w:rsid w:val="00DC011D"/>
    <w:rsid w:val="00DC337A"/>
    <w:rsid w:val="00DC35CF"/>
    <w:rsid w:val="00DC5108"/>
    <w:rsid w:val="00DC689A"/>
    <w:rsid w:val="00DC6C6D"/>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4868"/>
    <w:rsid w:val="00E66FEB"/>
    <w:rsid w:val="00E671C9"/>
    <w:rsid w:val="00E71B34"/>
    <w:rsid w:val="00E743A0"/>
    <w:rsid w:val="00E846BF"/>
    <w:rsid w:val="00EA1A9E"/>
    <w:rsid w:val="00EA644C"/>
    <w:rsid w:val="00EC6900"/>
    <w:rsid w:val="00EE2454"/>
    <w:rsid w:val="00EE3961"/>
    <w:rsid w:val="00EF040C"/>
    <w:rsid w:val="00EF1D7B"/>
    <w:rsid w:val="00F046EB"/>
    <w:rsid w:val="00F07970"/>
    <w:rsid w:val="00F16EF3"/>
    <w:rsid w:val="00F215BD"/>
    <w:rsid w:val="00F23FF5"/>
    <w:rsid w:val="00F30A6E"/>
    <w:rsid w:val="00F31978"/>
    <w:rsid w:val="00F35025"/>
    <w:rsid w:val="00F412B1"/>
    <w:rsid w:val="00F54DBA"/>
    <w:rsid w:val="00F5535C"/>
    <w:rsid w:val="00F55699"/>
    <w:rsid w:val="00F572EC"/>
    <w:rsid w:val="00F62FC9"/>
    <w:rsid w:val="00F64856"/>
    <w:rsid w:val="00F67DFE"/>
    <w:rsid w:val="00F74FF0"/>
    <w:rsid w:val="00F84806"/>
    <w:rsid w:val="00F875AC"/>
    <w:rsid w:val="00F90A96"/>
    <w:rsid w:val="00F92A75"/>
    <w:rsid w:val="00FA00E5"/>
    <w:rsid w:val="00FA3A75"/>
    <w:rsid w:val="00FA5F23"/>
    <w:rsid w:val="00FB1085"/>
    <w:rsid w:val="00FB4530"/>
    <w:rsid w:val="00FB4A3F"/>
    <w:rsid w:val="00FB7E3C"/>
    <w:rsid w:val="00FC1A46"/>
    <w:rsid w:val="00FC1AD2"/>
    <w:rsid w:val="00FC20AD"/>
    <w:rsid w:val="00FC56F1"/>
    <w:rsid w:val="00FC5C65"/>
    <w:rsid w:val="00FD287B"/>
    <w:rsid w:val="00FE11B6"/>
    <w:rsid w:val="00FE53DF"/>
    <w:rsid w:val="00FE674B"/>
    <w:rsid w:val="00FF0669"/>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6BFAE894-A5FF-464F-8E5B-F77677B7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2824</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17844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7</cp:revision>
  <cp:lastPrinted>2018-03-18T23:32:00Z</cp:lastPrinted>
  <dcterms:created xsi:type="dcterms:W3CDTF">2018-04-19T21:06:00Z</dcterms:created>
  <dcterms:modified xsi:type="dcterms:W3CDTF">2018-04-20T05:22:00Z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