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43A0EA81" w:rsidR="00C953C3" w:rsidRPr="005E3C83" w:rsidRDefault="00C953C3" w:rsidP="00C953C3">
      <w:pPr>
        <w:pStyle w:val="Heading1"/>
      </w:pPr>
      <w:r w:rsidRPr="003B1A08">
        <w:t xml:space="preserve">Determination </w:t>
      </w:r>
      <w:r w:rsidR="00965F2B">
        <w:t>2</w:t>
      </w:r>
      <w:r w:rsidR="00EE4D83">
        <w:t>3</w:t>
      </w:r>
      <w:r w:rsidR="00846EC5">
        <w:t xml:space="preserve"> </w:t>
      </w:r>
      <w:r w:rsidR="00C4163B">
        <w:t>of 201</w:t>
      </w:r>
      <w:r w:rsidR="00655E36">
        <w:t>7</w:t>
      </w:r>
      <w:r w:rsidR="001026C3">
        <w:t xml:space="preserve"> </w:t>
      </w:r>
      <w:r w:rsidR="00E22079">
        <w:t xml:space="preserve"> </w:t>
      </w:r>
      <w:r w:rsidR="00AC57B6">
        <w:t xml:space="preserve"> </w:t>
      </w:r>
    </w:p>
    <w:p w14:paraId="2B43EB6F" w14:textId="2ABF0D87" w:rsidR="0023156B" w:rsidRPr="003B1A08" w:rsidRDefault="0023156B" w:rsidP="0023156B">
      <w:pPr>
        <w:pStyle w:val="Heading1"/>
      </w:pPr>
      <w:r>
        <w:t xml:space="preserve">Part-time </w:t>
      </w:r>
      <w:r w:rsidR="00DC5E9B">
        <w:t>Public</w:t>
      </w:r>
      <w:r>
        <w:t xml:space="preserve"> Office Holder </w:t>
      </w:r>
      <w:r w:rsidR="00991EBD">
        <w:t xml:space="preserve">– </w:t>
      </w:r>
      <w:r w:rsidR="00EE4D83">
        <w:br/>
        <w:t>Racing Appeals Tribunal</w:t>
      </w:r>
    </w:p>
    <w:p w14:paraId="67ABD6F7" w14:textId="77777777" w:rsidR="0023156B" w:rsidRPr="003B1A08" w:rsidRDefault="0023156B" w:rsidP="005B6ADD">
      <w:proofErr w:type="gramStart"/>
      <w:r w:rsidRPr="003B1A08">
        <w:t>made</w:t>
      </w:r>
      <w:proofErr w:type="gramEnd"/>
      <w:r w:rsidRPr="003B1A08">
        <w:t xml:space="preserve">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7777777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77777777" w:rsidR="00BE7B5C" w:rsidRPr="00351FF2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1A823DC3" w14:textId="0316A3CE" w:rsidR="00C004DE" w:rsidRDefault="00EE4D83" w:rsidP="00C004DE">
      <w:pPr>
        <w:pStyle w:val="Heading3"/>
        <w:numPr>
          <w:ilvl w:val="0"/>
          <w:numId w:val="0"/>
        </w:numPr>
        <w:spacing w:before="120"/>
        <w:rPr>
          <w:b w:val="0"/>
          <w:bCs w:val="0"/>
        </w:rPr>
      </w:pPr>
      <w:r>
        <w:rPr>
          <w:b w:val="0"/>
          <w:bCs w:val="0"/>
        </w:rPr>
        <w:t xml:space="preserve">Due to an administrative error, the remuneration for the Racing Appeals Tribunal was incorrectly reflected in Determination 21 of 2017 Part-time Public Office Holders. </w:t>
      </w:r>
    </w:p>
    <w:p w14:paraId="669D709A" w14:textId="3C600D6B" w:rsidR="00C004DE" w:rsidRDefault="00EE4D83" w:rsidP="00C004DE">
      <w:pPr>
        <w:pStyle w:val="Heading3"/>
        <w:numPr>
          <w:ilvl w:val="0"/>
          <w:numId w:val="0"/>
        </w:numPr>
        <w:spacing w:before="120"/>
        <w:rPr>
          <w:b w:val="0"/>
          <w:bCs w:val="0"/>
        </w:rPr>
      </w:pPr>
      <w:r>
        <w:rPr>
          <w:b w:val="0"/>
          <w:bCs w:val="0"/>
        </w:rPr>
        <w:t xml:space="preserve">The remuneration for the Racing Appeals Tribunal is correctly reflected in </w:t>
      </w:r>
      <w:r>
        <w:rPr>
          <w:b w:val="0"/>
          <w:bCs w:val="0"/>
        </w:rPr>
        <w:br/>
        <w:t>Determination 23 of 2017 Part-time Public Office Holder – Racing Appeals Tribunal.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Decision </w:t>
      </w:r>
    </w:p>
    <w:p w14:paraId="1D6A1AE8" w14:textId="6DDF99C3" w:rsidR="00C955B1" w:rsidRPr="00351FF2" w:rsidRDefault="00C955B1" w:rsidP="00C955B1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The Tribunal </w:t>
      </w:r>
      <w:r w:rsidR="00C004DE">
        <w:rPr>
          <w:szCs w:val="24"/>
        </w:rPr>
        <w:t xml:space="preserve">has issued this Determination </w:t>
      </w:r>
      <w:r w:rsidR="00EE4D83">
        <w:rPr>
          <w:szCs w:val="24"/>
        </w:rPr>
        <w:t>to rectify the administrative error</w:t>
      </w:r>
      <w:r w:rsidR="00C004DE">
        <w:rPr>
          <w:szCs w:val="24"/>
        </w:rPr>
        <w:t xml:space="preserve">. 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2FA54FC0" w:rsidR="009F36AD" w:rsidRDefault="00EE4D83" w:rsidP="00A41965">
      <w:pPr>
        <w:ind w:left="360"/>
        <w:jc w:val="right"/>
        <w:rPr>
          <w:rFonts w:cs="Arial"/>
        </w:rPr>
      </w:pPr>
      <w:r>
        <w:rPr>
          <w:szCs w:val="24"/>
        </w:rPr>
        <w:t>December</w:t>
      </w:r>
      <w:r w:rsidR="00EB2828" w:rsidRPr="00351FF2">
        <w:rPr>
          <w:szCs w:val="24"/>
        </w:rPr>
        <w:t xml:space="preserve"> </w:t>
      </w:r>
      <w:r w:rsidR="009A445B">
        <w:rPr>
          <w:szCs w:val="24"/>
        </w:rPr>
        <w:t>2017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0A399DB7" w14:textId="4D32A3B4" w:rsidR="00D72E84" w:rsidRPr="00BC60C7" w:rsidRDefault="00655E36" w:rsidP="00D72E84">
      <w:pPr>
        <w:pStyle w:val="Heading1"/>
      </w:pPr>
      <w:r>
        <w:t xml:space="preserve">Part-time Public Office Holder – </w:t>
      </w:r>
      <w:r w:rsidR="00EE4D83">
        <w:br/>
        <w:t>Racing Appeals Tribunal</w:t>
      </w:r>
      <w:r w:rsidR="00D72E84" w:rsidRPr="00BC60C7">
        <w:t xml:space="preserve"> </w:t>
      </w:r>
    </w:p>
    <w:p w14:paraId="5F6429DB" w14:textId="63280936" w:rsidR="00C953C3" w:rsidRPr="00BC60C7" w:rsidRDefault="00A76E5C" w:rsidP="00C953C3">
      <w:pPr>
        <w:pStyle w:val="Heading1"/>
      </w:pPr>
      <w:r>
        <w:t xml:space="preserve">Determination </w:t>
      </w:r>
      <w:r w:rsidR="00965F2B">
        <w:t>2</w:t>
      </w:r>
      <w:r w:rsidR="00EE4D83">
        <w:t>3</w:t>
      </w:r>
      <w:r w:rsidR="00846EC5">
        <w:t xml:space="preserve"> </w:t>
      </w:r>
      <w:r>
        <w:t>of 201</w:t>
      </w:r>
      <w:r w:rsidR="00655E36">
        <w:t>7</w:t>
      </w:r>
    </w:p>
    <w:p w14:paraId="20A68F20" w14:textId="77777777" w:rsidR="0023156B" w:rsidRPr="00D62589" w:rsidRDefault="0023156B" w:rsidP="005B6ADD">
      <w:proofErr w:type="gramStart"/>
      <w:r w:rsidRPr="00D62589">
        <w:t>made</w:t>
      </w:r>
      <w:proofErr w:type="gramEnd"/>
      <w:r w:rsidRPr="00D62589">
        <w:t xml:space="preserve">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26220C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 w:val="12"/>
          <w:szCs w:val="12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1AF9276F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on </w:t>
      </w:r>
      <w:r w:rsidR="00BD7CC8" w:rsidRPr="00D62589">
        <w:t>1 November</w:t>
      </w:r>
      <w:r w:rsidR="001F733D" w:rsidRPr="00D62589">
        <w:rPr>
          <w:szCs w:val="24"/>
        </w:rPr>
        <w:t xml:space="preserve"> </w:t>
      </w:r>
      <w:r w:rsidR="00AE0FFA" w:rsidRPr="00D62589">
        <w:rPr>
          <w:szCs w:val="24"/>
        </w:rPr>
        <w:t>201</w:t>
      </w:r>
      <w:r w:rsidR="00EE4D83">
        <w:rPr>
          <w:szCs w:val="24"/>
        </w:rPr>
        <w:t>7</w:t>
      </w:r>
      <w:r w:rsidR="00AE0FFA" w:rsidRPr="00D62589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7B1F0414" w14:textId="7F57A2CA" w:rsidR="002B6D40" w:rsidRPr="00EE4D83" w:rsidRDefault="00C004DE" w:rsidP="0036334B">
      <w:pPr>
        <w:pStyle w:val="Heading3"/>
        <w:numPr>
          <w:ilvl w:val="1"/>
          <w:numId w:val="1"/>
        </w:numPr>
        <w:spacing w:before="120"/>
        <w:rPr>
          <w:b w:val="0"/>
          <w:szCs w:val="24"/>
        </w:rPr>
      </w:pPr>
      <w:r w:rsidRPr="00EE4D83">
        <w:rPr>
          <w:b w:val="0"/>
          <w:szCs w:val="24"/>
        </w:rPr>
        <w:t xml:space="preserve">The </w:t>
      </w:r>
      <w:r w:rsidR="00EE4D83" w:rsidRPr="00EE4D83">
        <w:rPr>
          <w:b w:val="0"/>
          <w:szCs w:val="24"/>
        </w:rPr>
        <w:t>remuneration for the Racing Appeals Tribunal is as follows:</w:t>
      </w:r>
      <w:r w:rsidRPr="00EE4D83">
        <w:rPr>
          <w:b w:val="0"/>
          <w:szCs w:val="24"/>
        </w:rPr>
        <w:t xml:space="preserve"> </w:t>
      </w:r>
    </w:p>
    <w:p w14:paraId="600D22A8" w14:textId="4A7ED190" w:rsidR="00EE4D83" w:rsidRPr="00EE4D83" w:rsidRDefault="00EE4D83" w:rsidP="00EE4D83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EE4D83">
        <w:rPr>
          <w:sz w:val="24"/>
          <w:szCs w:val="24"/>
        </w:rPr>
        <w:t>President:</w:t>
      </w:r>
      <w:r>
        <w:rPr>
          <w:sz w:val="24"/>
          <w:szCs w:val="24"/>
        </w:rPr>
        <w:t xml:space="preserve"> $825 per diem;</w:t>
      </w:r>
    </w:p>
    <w:p w14:paraId="0F693C76" w14:textId="7E3A5B4C" w:rsidR="00EE4D83" w:rsidRDefault="00EE4D83" w:rsidP="00EE4D83">
      <w:pPr>
        <w:pStyle w:val="ListParagraph"/>
        <w:numPr>
          <w:ilvl w:val="0"/>
          <w:numId w:val="43"/>
        </w:numPr>
        <w:rPr>
          <w:sz w:val="24"/>
          <w:szCs w:val="24"/>
        </w:rPr>
      </w:pPr>
      <w:r w:rsidRPr="00EE4D83">
        <w:rPr>
          <w:sz w:val="24"/>
          <w:szCs w:val="24"/>
        </w:rPr>
        <w:t>Deputy President</w:t>
      </w:r>
      <w:r>
        <w:rPr>
          <w:sz w:val="24"/>
          <w:szCs w:val="24"/>
        </w:rPr>
        <w:t>: $760 per diem;</w:t>
      </w:r>
    </w:p>
    <w:p w14:paraId="08FC326A" w14:textId="1FCD7895" w:rsidR="00EE4D83" w:rsidRDefault="00EE4D83" w:rsidP="00EE4D83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Member: $450 per diem;</w:t>
      </w:r>
    </w:p>
    <w:p w14:paraId="4E26BC76" w14:textId="3EB540AC" w:rsidR="00EE4D83" w:rsidRDefault="00EE4D83" w:rsidP="00EE4D83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Assessor: $450 per </w:t>
      </w:r>
      <w:proofErr w:type="gramStart"/>
      <w:r>
        <w:rPr>
          <w:sz w:val="24"/>
          <w:szCs w:val="24"/>
        </w:rPr>
        <w:t>diem</w:t>
      </w:r>
      <w:proofErr w:type="gramEnd"/>
      <w:r>
        <w:rPr>
          <w:sz w:val="24"/>
          <w:szCs w:val="24"/>
        </w:rPr>
        <w:t>.</w:t>
      </w:r>
    </w:p>
    <w:p w14:paraId="2614BDB3" w14:textId="63E027EC" w:rsidR="0026220C" w:rsidRPr="00EE4D83" w:rsidRDefault="0026220C" w:rsidP="0026220C">
      <w:pPr>
        <w:pStyle w:val="Heading3"/>
        <w:numPr>
          <w:ilvl w:val="1"/>
          <w:numId w:val="1"/>
        </w:numPr>
        <w:spacing w:before="120"/>
        <w:rPr>
          <w:b w:val="0"/>
          <w:szCs w:val="24"/>
        </w:rPr>
      </w:pPr>
      <w:r>
        <w:rPr>
          <w:b w:val="0"/>
          <w:szCs w:val="24"/>
        </w:rPr>
        <w:t xml:space="preserve">This remuneration replaces the amount reflected in Determination 21 of 2017. </w:t>
      </w:r>
    </w:p>
    <w:p w14:paraId="2E9A52E3" w14:textId="6B015C45" w:rsidR="00A95801" w:rsidRPr="00DE36C6" w:rsidRDefault="00A53528" w:rsidP="00CB04DF">
      <w:pPr>
        <w:pStyle w:val="Heading3"/>
        <w:numPr>
          <w:ilvl w:val="0"/>
          <w:numId w:val="0"/>
        </w:numPr>
        <w:spacing w:before="120"/>
      </w:pPr>
      <w:r>
        <w:t xml:space="preserve">3. </w:t>
      </w:r>
      <w:r>
        <w:tab/>
      </w:r>
      <w:r w:rsidR="00C004DE">
        <w:t>Other Conditions</w:t>
      </w:r>
      <w:r w:rsidR="00A95801" w:rsidRPr="00DE36C6">
        <w:t xml:space="preserve"> </w:t>
      </w:r>
    </w:p>
    <w:p w14:paraId="65104F5D" w14:textId="4DD9B0B1" w:rsidR="001D6B2D" w:rsidRPr="00EE4D83" w:rsidRDefault="00A95801" w:rsidP="00EE4D83">
      <w:pPr>
        <w:spacing w:before="120" w:after="60"/>
        <w:ind w:left="709" w:hanging="709"/>
      </w:pPr>
      <w:r>
        <w:t>3.1</w:t>
      </w:r>
      <w:r>
        <w:tab/>
      </w:r>
      <w:bookmarkEnd w:id="0"/>
      <w:r w:rsidR="00C004DE">
        <w:t xml:space="preserve">All conditions specified in Determination </w:t>
      </w:r>
      <w:r w:rsidR="00EE4D83">
        <w:t>21</w:t>
      </w:r>
      <w:r w:rsidR="00C004DE">
        <w:t xml:space="preserve"> of 201</w:t>
      </w:r>
      <w:r w:rsidR="00EE4D83">
        <w:t>7</w:t>
      </w:r>
      <w:r w:rsidR="00C004DE">
        <w:t xml:space="preserve"> relating to Part-time Public Office Holders will also apply to the </w:t>
      </w:r>
      <w:r w:rsidR="00EE4D83">
        <w:t>Racing Appeals Tribunal</w:t>
      </w:r>
      <w:r w:rsidR="00C004DE">
        <w:t xml:space="preserve">, viz., clauses 3 to </w:t>
      </w:r>
      <w:r w:rsidR="00EE4D83">
        <w:t>10</w:t>
      </w:r>
      <w:r w:rsidR="00C004DE">
        <w:t xml:space="preserve"> inclusive.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D20D57" w:rsidRPr="006A51E8" w14:paraId="721E4B29" w14:textId="77777777" w:rsidTr="00FE5DD0">
        <w:tc>
          <w:tcPr>
            <w:tcW w:w="4529" w:type="dxa"/>
          </w:tcPr>
          <w:p w14:paraId="62F1943D" w14:textId="77777777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68D0E2F7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Dr Colin Adrian</w:t>
            </w:r>
            <w:r w:rsidRPr="000F41B0">
              <w:rPr>
                <w:szCs w:val="24"/>
              </w:rPr>
              <w:tab/>
            </w:r>
          </w:p>
          <w:p w14:paraId="30A012C5" w14:textId="77777777" w:rsidR="00D20D57" w:rsidRPr="000F41B0" w:rsidRDefault="00D20D57" w:rsidP="00D20D57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6BCD3C1E" w14:textId="77777777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0AFADED2" w14:textId="77777777" w:rsidR="00D20D57" w:rsidRDefault="00D20D57" w:rsidP="00D20D57">
            <w:pPr>
              <w:tabs>
                <w:tab w:val="left" w:pos="3059"/>
                <w:tab w:val="left" w:pos="7230"/>
              </w:tabs>
            </w:pPr>
          </w:p>
          <w:p w14:paraId="5542DB0E" w14:textId="77777777" w:rsidR="00D20D57" w:rsidRDefault="00D20D57" w:rsidP="00D20D57">
            <w:pPr>
              <w:tabs>
                <w:tab w:val="left" w:pos="3059"/>
                <w:tab w:val="left" w:pos="7230"/>
              </w:tabs>
            </w:pPr>
            <w:bookmarkStart w:id="1" w:name="_GoBack"/>
            <w:bookmarkEnd w:id="1"/>
          </w:p>
          <w:p w14:paraId="3B882C75" w14:textId="2E980CD3" w:rsidR="00D20D57" w:rsidRPr="006A51E8" w:rsidRDefault="00D20D57" w:rsidP="00D20D57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 w:rsidR="00462F18">
              <w:t>.................</w:t>
            </w:r>
          </w:p>
        </w:tc>
      </w:tr>
      <w:tr w:rsidR="00D20D57" w:rsidRPr="006A51E8" w14:paraId="19AB460A" w14:textId="77777777" w:rsidTr="00FE5DD0">
        <w:tc>
          <w:tcPr>
            <w:tcW w:w="4529" w:type="dxa"/>
          </w:tcPr>
          <w:p w14:paraId="5B803E35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61DF4D92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Mr James Smythe PSM</w:t>
            </w:r>
            <w:r w:rsidRPr="000F41B0">
              <w:rPr>
                <w:szCs w:val="24"/>
              </w:rPr>
              <w:tab/>
            </w:r>
          </w:p>
          <w:p w14:paraId="4EAFC8EF" w14:textId="77777777" w:rsidR="00D20D57" w:rsidRPr="000F41B0" w:rsidRDefault="00D20D57" w:rsidP="00D20D57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75CA31DB" w14:textId="77777777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7ABF20CF" w14:textId="77777777" w:rsidR="00D20D57" w:rsidRDefault="00D20D57" w:rsidP="00D20D57">
            <w:pPr>
              <w:tabs>
                <w:tab w:val="left" w:pos="2892"/>
                <w:tab w:val="left" w:pos="7230"/>
              </w:tabs>
            </w:pPr>
          </w:p>
          <w:p w14:paraId="115A8FFA" w14:textId="77777777" w:rsidR="00D20D57" w:rsidRDefault="00D20D57" w:rsidP="00D20D57">
            <w:pPr>
              <w:tabs>
                <w:tab w:val="left" w:pos="2892"/>
                <w:tab w:val="left" w:pos="7230"/>
              </w:tabs>
            </w:pPr>
          </w:p>
          <w:p w14:paraId="5A521727" w14:textId="77777777" w:rsidR="00D20D57" w:rsidRDefault="00D20D57" w:rsidP="00D20D57">
            <w:pPr>
              <w:tabs>
                <w:tab w:val="left" w:pos="2892"/>
                <w:tab w:val="left" w:pos="7230"/>
              </w:tabs>
            </w:pPr>
          </w:p>
          <w:p w14:paraId="68E7A4D4" w14:textId="5A27678E" w:rsidR="00D20D57" w:rsidRPr="006A51E8" w:rsidRDefault="00D20D57" w:rsidP="00D20D57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 w:rsidR="00462F18">
              <w:t>.................</w:t>
            </w:r>
          </w:p>
        </w:tc>
      </w:tr>
      <w:tr w:rsidR="00D20D57" w:rsidRPr="006A51E8" w14:paraId="6C4FC5CC" w14:textId="77777777" w:rsidTr="00FE5DD0">
        <w:tc>
          <w:tcPr>
            <w:tcW w:w="4529" w:type="dxa"/>
          </w:tcPr>
          <w:p w14:paraId="67DD7D75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3722D17D" w14:textId="77777777" w:rsidR="00D20D57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4DCB7609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117C1801" w14:textId="77777777" w:rsidR="00D20D57" w:rsidRPr="000F41B0" w:rsidRDefault="00D20D57" w:rsidP="00D20D57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111185CA" w14:textId="6514BE82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1A11B5CD" w14:textId="77777777" w:rsidR="00D20D57" w:rsidRDefault="00D20D57" w:rsidP="00D20D57">
            <w:pPr>
              <w:tabs>
                <w:tab w:val="left" w:pos="3059"/>
                <w:tab w:val="left" w:pos="7230"/>
              </w:tabs>
            </w:pPr>
          </w:p>
          <w:p w14:paraId="347843CD" w14:textId="77777777" w:rsidR="00D20D57" w:rsidRDefault="00D20D57" w:rsidP="00D20D57">
            <w:pPr>
              <w:tabs>
                <w:tab w:val="left" w:pos="4026"/>
                <w:tab w:val="left" w:pos="7230"/>
              </w:tabs>
            </w:pPr>
          </w:p>
          <w:p w14:paraId="04CDF082" w14:textId="77777777" w:rsidR="00D20D57" w:rsidRDefault="00D20D57" w:rsidP="00D20D57">
            <w:pPr>
              <w:tabs>
                <w:tab w:val="left" w:pos="4026"/>
                <w:tab w:val="left" w:pos="7230"/>
              </w:tabs>
            </w:pPr>
          </w:p>
          <w:p w14:paraId="2FA7FC75" w14:textId="77777777" w:rsidR="00462F18" w:rsidRDefault="00462F18" w:rsidP="00D20D57">
            <w:pPr>
              <w:tabs>
                <w:tab w:val="left" w:pos="4026"/>
                <w:tab w:val="left" w:pos="7230"/>
              </w:tabs>
            </w:pPr>
          </w:p>
          <w:p w14:paraId="1D81F75D" w14:textId="401946A2" w:rsidR="00D20D57" w:rsidRDefault="00D20D57" w:rsidP="00D20D57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 w:rsidR="00462F18">
              <w:t>.................</w:t>
            </w:r>
          </w:p>
          <w:p w14:paraId="53109755" w14:textId="77777777" w:rsidR="00545261" w:rsidRDefault="00545261" w:rsidP="00D20D57">
            <w:pPr>
              <w:tabs>
                <w:tab w:val="left" w:pos="3059"/>
                <w:tab w:val="left" w:pos="7230"/>
              </w:tabs>
            </w:pPr>
          </w:p>
          <w:p w14:paraId="68464EF4" w14:textId="6B906751" w:rsidR="00545261" w:rsidRPr="006A51E8" w:rsidRDefault="00545261" w:rsidP="00D20D57">
            <w:pPr>
              <w:tabs>
                <w:tab w:val="left" w:pos="3059"/>
                <w:tab w:val="left" w:pos="7230"/>
              </w:tabs>
            </w:pPr>
          </w:p>
        </w:tc>
      </w:tr>
    </w:tbl>
    <w:p w14:paraId="7DA1E36E" w14:textId="104F4F16" w:rsidR="005F1678" w:rsidRDefault="001D6B2D" w:rsidP="009E7D50">
      <w:pPr>
        <w:pStyle w:val="ListParagraph"/>
        <w:spacing w:before="120" w:after="60"/>
        <w:ind w:left="360"/>
        <w:jc w:val="right"/>
      </w:pPr>
      <w:r w:rsidRPr="00997BA5">
        <w:rPr>
          <w:sz w:val="24"/>
          <w:szCs w:val="24"/>
        </w:rPr>
        <w:t xml:space="preserve">          </w:t>
      </w:r>
      <w:r w:rsidR="00EE4D83">
        <w:rPr>
          <w:sz w:val="24"/>
          <w:szCs w:val="24"/>
        </w:rPr>
        <w:t>December</w:t>
      </w:r>
      <w:r w:rsidRPr="00997BA5">
        <w:rPr>
          <w:sz w:val="24"/>
          <w:szCs w:val="24"/>
        </w:rPr>
        <w:t xml:space="preserve"> </w:t>
      </w:r>
      <w:r w:rsidR="009A445B">
        <w:rPr>
          <w:sz w:val="24"/>
          <w:szCs w:val="24"/>
        </w:rPr>
        <w:t>2017</w:t>
      </w:r>
    </w:p>
    <w:sectPr w:rsidR="005F1678" w:rsidSect="00373630">
      <w:footerReference w:type="even" r:id="rId9"/>
      <w:footerReference w:type="default" r:id="rId10"/>
      <w:pgSz w:w="11907" w:h="16840" w:code="9"/>
      <w:pgMar w:top="1440" w:right="1440" w:bottom="709" w:left="1440" w:header="720" w:footer="4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09E1F" w14:textId="77777777" w:rsidR="00660BE5" w:rsidRDefault="00660BE5" w:rsidP="00DE7D35">
      <w:r>
        <w:separator/>
      </w:r>
    </w:p>
  </w:endnote>
  <w:endnote w:type="continuationSeparator" w:id="0">
    <w:p w14:paraId="33152F82" w14:textId="77777777" w:rsidR="00660BE5" w:rsidRDefault="00660BE5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462F18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57BA9" w14:textId="77777777" w:rsidR="00660BE5" w:rsidRDefault="00660BE5" w:rsidP="00DE7D35">
      <w:r>
        <w:separator/>
      </w:r>
    </w:p>
  </w:footnote>
  <w:footnote w:type="continuationSeparator" w:id="0">
    <w:p w14:paraId="27D6BF7F" w14:textId="77777777" w:rsidR="00660BE5" w:rsidRDefault="00660BE5" w:rsidP="00DE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8A4"/>
    <w:multiLevelType w:val="hybridMultilevel"/>
    <w:tmpl w:val="1DEC60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19"/>
  </w:num>
  <w:num w:numId="4">
    <w:abstractNumId w:val="5"/>
  </w:num>
  <w:num w:numId="5">
    <w:abstractNumId w:val="21"/>
  </w:num>
  <w:num w:numId="6">
    <w:abstractNumId w:val="22"/>
  </w:num>
  <w:num w:numId="7">
    <w:abstractNumId w:val="29"/>
  </w:num>
  <w:num w:numId="8">
    <w:abstractNumId w:val="4"/>
  </w:num>
  <w:num w:numId="9">
    <w:abstractNumId w:val="11"/>
  </w:num>
  <w:num w:numId="10">
    <w:abstractNumId w:val="26"/>
  </w:num>
  <w:num w:numId="11">
    <w:abstractNumId w:val="1"/>
  </w:num>
  <w:num w:numId="12">
    <w:abstractNumId w:val="29"/>
  </w:num>
  <w:num w:numId="13">
    <w:abstractNumId w:val="29"/>
  </w:num>
  <w:num w:numId="14">
    <w:abstractNumId w:val="29"/>
  </w:num>
  <w:num w:numId="15">
    <w:abstractNumId w:val="10"/>
  </w:num>
  <w:num w:numId="16">
    <w:abstractNumId w:val="29"/>
  </w:num>
  <w:num w:numId="17">
    <w:abstractNumId w:val="29"/>
  </w:num>
  <w:num w:numId="18">
    <w:abstractNumId w:val="29"/>
  </w:num>
  <w:num w:numId="19">
    <w:abstractNumId w:val="29"/>
  </w:num>
  <w:num w:numId="20">
    <w:abstractNumId w:val="0"/>
  </w:num>
  <w:num w:numId="21">
    <w:abstractNumId w:val="29"/>
    <w:lvlOverride w:ilvl="0">
      <w:startOverride w:val="6"/>
    </w:lvlOverride>
  </w:num>
  <w:num w:numId="22">
    <w:abstractNumId w:val="29"/>
    <w:lvlOverride w:ilvl="0">
      <w:startOverride w:val="4"/>
    </w:lvlOverride>
    <w:lvlOverride w:ilvl="1">
      <w:startOverride w:val="1"/>
    </w:lvlOverride>
  </w:num>
  <w:num w:numId="23">
    <w:abstractNumId w:val="16"/>
  </w:num>
  <w:num w:numId="24">
    <w:abstractNumId w:val="23"/>
  </w:num>
  <w:num w:numId="25">
    <w:abstractNumId w:val="3"/>
  </w:num>
  <w:num w:numId="26">
    <w:abstractNumId w:val="8"/>
  </w:num>
  <w:num w:numId="27">
    <w:abstractNumId w:val="29"/>
    <w:lvlOverride w:ilvl="0">
      <w:startOverride w:val="2"/>
    </w:lvlOverride>
    <w:lvlOverride w:ilvl="1">
      <w:startOverride w:val="2"/>
    </w:lvlOverride>
  </w:num>
  <w:num w:numId="28">
    <w:abstractNumId w:val="6"/>
  </w:num>
  <w:num w:numId="29">
    <w:abstractNumId w:val="15"/>
  </w:num>
  <w:num w:numId="30">
    <w:abstractNumId w:val="18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8"/>
  </w:num>
  <w:num w:numId="34">
    <w:abstractNumId w:val="7"/>
  </w:num>
  <w:num w:numId="35">
    <w:abstractNumId w:val="14"/>
  </w:num>
  <w:num w:numId="36">
    <w:abstractNumId w:val="27"/>
  </w:num>
  <w:num w:numId="37">
    <w:abstractNumId w:val="2"/>
  </w:num>
  <w:num w:numId="38">
    <w:abstractNumId w:val="24"/>
  </w:num>
  <w:num w:numId="39">
    <w:abstractNumId w:val="20"/>
  </w:num>
  <w:num w:numId="40">
    <w:abstractNumId w:val="9"/>
  </w:num>
  <w:num w:numId="41">
    <w:abstractNumId w:val="29"/>
  </w:num>
  <w:num w:numId="42">
    <w:abstractNumId w:val="2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93BF4"/>
    <w:rsid w:val="00096697"/>
    <w:rsid w:val="00097801"/>
    <w:rsid w:val="000A2860"/>
    <w:rsid w:val="000B2C06"/>
    <w:rsid w:val="000B4828"/>
    <w:rsid w:val="000B5DF2"/>
    <w:rsid w:val="000C235A"/>
    <w:rsid w:val="000D360F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526C0"/>
    <w:rsid w:val="00156FFC"/>
    <w:rsid w:val="00165F53"/>
    <w:rsid w:val="0017001A"/>
    <w:rsid w:val="00172F92"/>
    <w:rsid w:val="0017568D"/>
    <w:rsid w:val="0017754A"/>
    <w:rsid w:val="00182AA3"/>
    <w:rsid w:val="00184CF6"/>
    <w:rsid w:val="00187029"/>
    <w:rsid w:val="00191808"/>
    <w:rsid w:val="001A119E"/>
    <w:rsid w:val="001B7670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6220C"/>
    <w:rsid w:val="00270893"/>
    <w:rsid w:val="002721E1"/>
    <w:rsid w:val="00275BA0"/>
    <w:rsid w:val="00276328"/>
    <w:rsid w:val="00276385"/>
    <w:rsid w:val="002829B2"/>
    <w:rsid w:val="0028512F"/>
    <w:rsid w:val="00294FE9"/>
    <w:rsid w:val="002A370C"/>
    <w:rsid w:val="002A7012"/>
    <w:rsid w:val="002B2EED"/>
    <w:rsid w:val="002B33A0"/>
    <w:rsid w:val="002B5966"/>
    <w:rsid w:val="002B6D40"/>
    <w:rsid w:val="002C419F"/>
    <w:rsid w:val="002D1042"/>
    <w:rsid w:val="002E31AC"/>
    <w:rsid w:val="002F6102"/>
    <w:rsid w:val="002F6ACB"/>
    <w:rsid w:val="002F752E"/>
    <w:rsid w:val="0031059C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73630"/>
    <w:rsid w:val="003819D5"/>
    <w:rsid w:val="00381CD8"/>
    <w:rsid w:val="003834D6"/>
    <w:rsid w:val="003906A5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4079D4"/>
    <w:rsid w:val="00420A17"/>
    <w:rsid w:val="004255ED"/>
    <w:rsid w:val="00444EEB"/>
    <w:rsid w:val="004538A5"/>
    <w:rsid w:val="00453A44"/>
    <w:rsid w:val="004545CA"/>
    <w:rsid w:val="00456A3B"/>
    <w:rsid w:val="00462F18"/>
    <w:rsid w:val="004641DC"/>
    <w:rsid w:val="00471065"/>
    <w:rsid w:val="0048374B"/>
    <w:rsid w:val="00483FB9"/>
    <w:rsid w:val="00490F77"/>
    <w:rsid w:val="004A79EE"/>
    <w:rsid w:val="004C3EAE"/>
    <w:rsid w:val="004C3F50"/>
    <w:rsid w:val="004E0627"/>
    <w:rsid w:val="004E1D5B"/>
    <w:rsid w:val="004E3C0A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51D4"/>
    <w:rsid w:val="00545261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628D"/>
    <w:rsid w:val="005D12E8"/>
    <w:rsid w:val="005D6942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5E36"/>
    <w:rsid w:val="00657AA3"/>
    <w:rsid w:val="00660BE5"/>
    <w:rsid w:val="00663B55"/>
    <w:rsid w:val="0066407C"/>
    <w:rsid w:val="006832C5"/>
    <w:rsid w:val="00690F74"/>
    <w:rsid w:val="00693B1E"/>
    <w:rsid w:val="006940C8"/>
    <w:rsid w:val="00694C2E"/>
    <w:rsid w:val="006952B7"/>
    <w:rsid w:val="006A5444"/>
    <w:rsid w:val="006A696F"/>
    <w:rsid w:val="006C384A"/>
    <w:rsid w:val="006C7BE2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93B65"/>
    <w:rsid w:val="0079572D"/>
    <w:rsid w:val="007A0592"/>
    <w:rsid w:val="007C16C1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005A"/>
    <w:rsid w:val="00834598"/>
    <w:rsid w:val="008358EE"/>
    <w:rsid w:val="00846EBB"/>
    <w:rsid w:val="00846EC5"/>
    <w:rsid w:val="008622BA"/>
    <w:rsid w:val="00863F61"/>
    <w:rsid w:val="00866D20"/>
    <w:rsid w:val="00867F8E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5F2B"/>
    <w:rsid w:val="0096696F"/>
    <w:rsid w:val="009673CC"/>
    <w:rsid w:val="00974E09"/>
    <w:rsid w:val="00981ECE"/>
    <w:rsid w:val="00984405"/>
    <w:rsid w:val="00991146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C57B6"/>
    <w:rsid w:val="00AD0145"/>
    <w:rsid w:val="00AD44CA"/>
    <w:rsid w:val="00AE0FFA"/>
    <w:rsid w:val="00AE5DD1"/>
    <w:rsid w:val="00AE7595"/>
    <w:rsid w:val="00AF19B9"/>
    <w:rsid w:val="00AF5B12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30B0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B04DF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2B22"/>
    <w:rsid w:val="00D13220"/>
    <w:rsid w:val="00D20A9E"/>
    <w:rsid w:val="00D20D57"/>
    <w:rsid w:val="00D21AF1"/>
    <w:rsid w:val="00D275FF"/>
    <w:rsid w:val="00D321EC"/>
    <w:rsid w:val="00D32B1E"/>
    <w:rsid w:val="00D32E42"/>
    <w:rsid w:val="00D33B6F"/>
    <w:rsid w:val="00D35F5F"/>
    <w:rsid w:val="00D365DD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E0122C"/>
    <w:rsid w:val="00E05CC5"/>
    <w:rsid w:val="00E07013"/>
    <w:rsid w:val="00E11E6F"/>
    <w:rsid w:val="00E14938"/>
    <w:rsid w:val="00E157E2"/>
    <w:rsid w:val="00E22079"/>
    <w:rsid w:val="00E24AE5"/>
    <w:rsid w:val="00E25C21"/>
    <w:rsid w:val="00E30308"/>
    <w:rsid w:val="00E3265B"/>
    <w:rsid w:val="00E34E78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23B9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E4D83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B34"/>
    <w:rsid w:val="00F60B71"/>
    <w:rsid w:val="00F61D2D"/>
    <w:rsid w:val="00F641BC"/>
    <w:rsid w:val="00F6578D"/>
    <w:rsid w:val="00F703A5"/>
    <w:rsid w:val="00F716E8"/>
    <w:rsid w:val="00F74823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E5DD0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EC29-2377-4D7C-91D5-BBB51D9D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2161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Hogan, Andrew</cp:lastModifiedBy>
  <cp:revision>6</cp:revision>
  <cp:lastPrinted>2017-12-17T22:11:00Z</cp:lastPrinted>
  <dcterms:created xsi:type="dcterms:W3CDTF">2017-12-17T01:23:00Z</dcterms:created>
  <dcterms:modified xsi:type="dcterms:W3CDTF">2017-12-17T22:19:00Z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