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58733A" w14:textId="77777777" w:rsidR="00E56858" w:rsidRDefault="00E56858" w:rsidP="00EF6626">
      <w:pPr>
        <w:pStyle w:val="Header"/>
        <w:tabs>
          <w:tab w:val="right" w:pos="9128"/>
        </w:tabs>
        <w:spacing w:line="276" w:lineRule="auto"/>
        <w:jc w:val="center"/>
        <w:rPr>
          <w:b/>
          <w:bCs/>
          <w:sz w:val="28"/>
          <w:szCs w:val="28"/>
        </w:rPr>
      </w:pPr>
    </w:p>
    <w:p w14:paraId="0996F6A9" w14:textId="77777777" w:rsidR="008524B2" w:rsidRDefault="008524B2" w:rsidP="00EF6626">
      <w:pPr>
        <w:pStyle w:val="Header"/>
        <w:tabs>
          <w:tab w:val="right" w:pos="9128"/>
        </w:tabs>
        <w:spacing w:line="276" w:lineRule="auto"/>
        <w:jc w:val="center"/>
        <w:rPr>
          <w:b/>
          <w:bCs/>
          <w:sz w:val="28"/>
          <w:szCs w:val="28"/>
        </w:rPr>
      </w:pPr>
      <w:r>
        <w:rPr>
          <w:noProof/>
          <w:lang w:val="en-AU" w:eastAsia="en-AU"/>
        </w:rPr>
        <w:drawing>
          <wp:inline distT="0" distB="0" distL="0" distR="0" wp14:anchorId="64E0D663" wp14:editId="208D77D9">
            <wp:extent cx="1371600" cy="1247140"/>
            <wp:effectExtent l="19050" t="0" r="0" b="0"/>
            <wp:docPr id="1" name="Picture 1" descr="ACTCres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Crest colour"/>
                    <pic:cNvPicPr>
                      <a:picLocks noChangeAspect="1" noChangeArrowheads="1"/>
                    </pic:cNvPicPr>
                  </pic:nvPicPr>
                  <pic:blipFill>
                    <a:blip r:embed="rId8" cstate="print"/>
                    <a:srcRect/>
                    <a:stretch>
                      <a:fillRect/>
                    </a:stretch>
                  </pic:blipFill>
                  <pic:spPr bwMode="auto">
                    <a:xfrm>
                      <a:off x="0" y="0"/>
                      <a:ext cx="1371600" cy="1247140"/>
                    </a:xfrm>
                    <a:prstGeom prst="rect">
                      <a:avLst/>
                    </a:prstGeom>
                    <a:noFill/>
                    <a:ln w="9525">
                      <a:noFill/>
                      <a:miter lim="800000"/>
                      <a:headEnd/>
                      <a:tailEnd/>
                    </a:ln>
                  </pic:spPr>
                </pic:pic>
              </a:graphicData>
            </a:graphic>
          </wp:inline>
        </w:drawing>
      </w:r>
    </w:p>
    <w:p w14:paraId="7F817593" w14:textId="77777777" w:rsidR="008524B2" w:rsidRDefault="008524B2" w:rsidP="00EF6626">
      <w:pPr>
        <w:pStyle w:val="Header"/>
        <w:tabs>
          <w:tab w:val="right" w:pos="9128"/>
        </w:tabs>
        <w:spacing w:line="276" w:lineRule="auto"/>
        <w:ind w:right="-347"/>
        <w:rPr>
          <w:b/>
          <w:bCs/>
          <w:sz w:val="28"/>
          <w:szCs w:val="28"/>
        </w:rPr>
      </w:pPr>
      <w:r w:rsidRPr="0000344A">
        <w:rPr>
          <w:rFonts w:cs="Arial"/>
          <w:noProof/>
          <w:lang w:val="en-US"/>
        </w:rPr>
        <w:tab/>
      </w:r>
    </w:p>
    <w:p w14:paraId="248893D9" w14:textId="77777777" w:rsidR="008524B2" w:rsidRDefault="008524B2" w:rsidP="00EF6626">
      <w:pPr>
        <w:pStyle w:val="Header"/>
        <w:tabs>
          <w:tab w:val="right" w:pos="9128"/>
        </w:tabs>
        <w:spacing w:line="276" w:lineRule="auto"/>
        <w:ind w:right="-347"/>
        <w:jc w:val="center"/>
        <w:rPr>
          <w:b/>
          <w:bCs/>
          <w:sz w:val="28"/>
          <w:szCs w:val="28"/>
        </w:rPr>
      </w:pPr>
      <w:r w:rsidRPr="0000344A">
        <w:rPr>
          <w:b/>
          <w:bCs/>
          <w:sz w:val="28"/>
          <w:szCs w:val="28"/>
        </w:rPr>
        <w:t>AUSTRALIAN CAPITAL TERRITORY</w:t>
      </w:r>
    </w:p>
    <w:p w14:paraId="269CA0A9" w14:textId="22BA10E6" w:rsidR="008524B2" w:rsidRDefault="008524B2" w:rsidP="00EF6626">
      <w:pPr>
        <w:pStyle w:val="Header"/>
        <w:tabs>
          <w:tab w:val="right" w:pos="9128"/>
        </w:tabs>
        <w:spacing w:line="276" w:lineRule="auto"/>
        <w:ind w:right="-347"/>
        <w:jc w:val="center"/>
      </w:pPr>
      <w:r w:rsidRPr="0000344A">
        <w:rPr>
          <w:b/>
          <w:bCs/>
          <w:sz w:val="28"/>
          <w:szCs w:val="28"/>
        </w:rPr>
        <w:t>REMUNERATION TRIBUNAL</w:t>
      </w:r>
      <w:r w:rsidR="00985189">
        <w:rPr>
          <w:b/>
          <w:bCs/>
          <w:sz w:val="28"/>
          <w:szCs w:val="28"/>
        </w:rPr>
        <w:t xml:space="preserve"> </w:t>
      </w:r>
      <w:r w:rsidR="004612D3">
        <w:rPr>
          <w:b/>
          <w:bCs/>
          <w:sz w:val="28"/>
          <w:szCs w:val="28"/>
        </w:rPr>
        <w:t xml:space="preserve"> </w:t>
      </w:r>
      <w:r w:rsidR="00D457CE">
        <w:rPr>
          <w:b/>
          <w:bCs/>
          <w:sz w:val="28"/>
          <w:szCs w:val="28"/>
        </w:rPr>
        <w:t xml:space="preserve">  </w:t>
      </w:r>
      <w:r w:rsidR="00985189">
        <w:rPr>
          <w:b/>
          <w:bCs/>
          <w:sz w:val="28"/>
          <w:szCs w:val="28"/>
        </w:rPr>
        <w:t xml:space="preserve"> </w:t>
      </w:r>
    </w:p>
    <w:p w14:paraId="61CC290B" w14:textId="77777777" w:rsidR="008524B2" w:rsidRDefault="008524B2" w:rsidP="00EF6626">
      <w:pPr>
        <w:jc w:val="center"/>
        <w:rPr>
          <w:rFonts w:ascii="Calibri" w:hAnsi="Calibri"/>
        </w:rPr>
      </w:pPr>
    </w:p>
    <w:p w14:paraId="704F66EE" w14:textId="77777777" w:rsidR="009A625F" w:rsidRDefault="009A625F" w:rsidP="00EF6626">
      <w:pPr>
        <w:pStyle w:val="Heading1"/>
        <w:spacing w:before="0" w:line="276" w:lineRule="auto"/>
        <w:jc w:val="center"/>
        <w:rPr>
          <w:sz w:val="52"/>
          <w:szCs w:val="52"/>
        </w:rPr>
      </w:pPr>
      <w:bookmarkStart w:id="0" w:name="_Toc449513352"/>
      <w:bookmarkStart w:id="1" w:name="_Toc449513576"/>
      <w:bookmarkStart w:id="2" w:name="_Toc450232752"/>
      <w:bookmarkStart w:id="3" w:name="_Toc450232893"/>
      <w:bookmarkStart w:id="4" w:name="_Toc450304233"/>
    </w:p>
    <w:p w14:paraId="312CB3CB" w14:textId="77777777" w:rsidR="009A625F" w:rsidRPr="00F81EDC" w:rsidRDefault="009A625F" w:rsidP="00EF6626">
      <w:pPr>
        <w:jc w:val="center"/>
        <w:rPr>
          <w:b/>
          <w:sz w:val="52"/>
          <w:szCs w:val="52"/>
        </w:rPr>
      </w:pPr>
      <w:r w:rsidRPr="00F81EDC">
        <w:rPr>
          <w:b/>
          <w:sz w:val="52"/>
          <w:szCs w:val="52"/>
        </w:rPr>
        <w:t>Major Review:</w:t>
      </w:r>
    </w:p>
    <w:p w14:paraId="1AFA4BFD" w14:textId="477837C9" w:rsidR="008524B2" w:rsidRPr="00F81EDC" w:rsidRDefault="009A625F" w:rsidP="00EF6626">
      <w:pPr>
        <w:jc w:val="center"/>
        <w:rPr>
          <w:b/>
          <w:sz w:val="52"/>
          <w:szCs w:val="52"/>
        </w:rPr>
      </w:pPr>
      <w:r w:rsidRPr="00F81EDC">
        <w:rPr>
          <w:b/>
          <w:sz w:val="52"/>
          <w:szCs w:val="52"/>
        </w:rPr>
        <w:t xml:space="preserve">ACT Public Service </w:t>
      </w:r>
      <w:r w:rsidR="00C96673">
        <w:rPr>
          <w:b/>
          <w:sz w:val="52"/>
          <w:szCs w:val="52"/>
        </w:rPr>
        <w:t>Senior </w:t>
      </w:r>
      <w:r w:rsidR="00C96673" w:rsidRPr="00F81EDC">
        <w:rPr>
          <w:b/>
          <w:sz w:val="52"/>
          <w:szCs w:val="52"/>
        </w:rPr>
        <w:t>Executive</w:t>
      </w:r>
      <w:r w:rsidR="00C96673">
        <w:rPr>
          <w:b/>
          <w:sz w:val="52"/>
          <w:szCs w:val="52"/>
        </w:rPr>
        <w:t xml:space="preserve"> Service </w:t>
      </w:r>
      <w:r w:rsidR="003E6CA9">
        <w:rPr>
          <w:b/>
          <w:sz w:val="52"/>
          <w:szCs w:val="52"/>
        </w:rPr>
        <w:t>r</w:t>
      </w:r>
      <w:r w:rsidR="003E6CA9" w:rsidRPr="00F81EDC">
        <w:rPr>
          <w:b/>
          <w:sz w:val="52"/>
          <w:szCs w:val="52"/>
        </w:rPr>
        <w:t>emuneration,</w:t>
      </w:r>
      <w:r w:rsidR="003E6CA9">
        <w:rPr>
          <w:b/>
          <w:sz w:val="52"/>
          <w:szCs w:val="52"/>
        </w:rPr>
        <w:t> </w:t>
      </w:r>
      <w:r w:rsidR="002C3698" w:rsidRPr="00F81EDC">
        <w:rPr>
          <w:b/>
          <w:sz w:val="52"/>
          <w:szCs w:val="52"/>
        </w:rPr>
        <w:t>allowances</w:t>
      </w:r>
      <w:r w:rsidRPr="00F81EDC">
        <w:rPr>
          <w:b/>
          <w:sz w:val="52"/>
          <w:szCs w:val="52"/>
        </w:rPr>
        <w:t xml:space="preserve"> and </w:t>
      </w:r>
      <w:r w:rsidR="002C3698" w:rsidRPr="00F81EDC">
        <w:rPr>
          <w:b/>
          <w:sz w:val="52"/>
          <w:szCs w:val="52"/>
        </w:rPr>
        <w:t>other e</w:t>
      </w:r>
      <w:r w:rsidRPr="00F81EDC">
        <w:rPr>
          <w:b/>
          <w:sz w:val="52"/>
          <w:szCs w:val="52"/>
        </w:rPr>
        <w:t>ntitlements</w:t>
      </w:r>
      <w:bookmarkEnd w:id="0"/>
      <w:bookmarkEnd w:id="1"/>
      <w:bookmarkEnd w:id="2"/>
      <w:bookmarkEnd w:id="3"/>
      <w:bookmarkEnd w:id="4"/>
    </w:p>
    <w:p w14:paraId="0F41E934" w14:textId="77777777" w:rsidR="008524B2" w:rsidRPr="00EF6626" w:rsidRDefault="008524B2" w:rsidP="00EF6626">
      <w:pPr>
        <w:jc w:val="center"/>
        <w:rPr>
          <w:sz w:val="48"/>
          <w:szCs w:val="48"/>
        </w:rPr>
      </w:pPr>
    </w:p>
    <w:p w14:paraId="6E9C1D85" w14:textId="77777777" w:rsidR="009A625F" w:rsidRPr="00EF6626" w:rsidRDefault="009A625F" w:rsidP="00EF6626">
      <w:pPr>
        <w:jc w:val="center"/>
        <w:rPr>
          <w:sz w:val="48"/>
          <w:szCs w:val="48"/>
        </w:rPr>
      </w:pPr>
    </w:p>
    <w:p w14:paraId="762568E8" w14:textId="3BBA302C" w:rsidR="008524B2" w:rsidRPr="00F81EDC" w:rsidRDefault="00813E26" w:rsidP="00EF6626">
      <w:pPr>
        <w:jc w:val="center"/>
        <w:rPr>
          <w:b/>
          <w:sz w:val="48"/>
          <w:szCs w:val="48"/>
        </w:rPr>
      </w:pPr>
      <w:r>
        <w:rPr>
          <w:b/>
          <w:sz w:val="48"/>
          <w:szCs w:val="48"/>
        </w:rPr>
        <w:t>Final Report</w:t>
      </w:r>
    </w:p>
    <w:p w14:paraId="14367436" w14:textId="77777777" w:rsidR="00CA4ABD" w:rsidRDefault="00CA4ABD" w:rsidP="00EF6626">
      <w:pPr>
        <w:rPr>
          <w:sz w:val="44"/>
          <w:szCs w:val="44"/>
        </w:rPr>
      </w:pPr>
    </w:p>
    <w:p w14:paraId="34E3C238" w14:textId="6EF28694" w:rsidR="00EF6626" w:rsidRDefault="00C51BB3" w:rsidP="00EF6626">
      <w:pPr>
        <w:jc w:val="right"/>
        <w:rPr>
          <w:sz w:val="24"/>
          <w:szCs w:val="24"/>
        </w:rPr>
      </w:pPr>
      <w:r>
        <w:rPr>
          <w:sz w:val="24"/>
          <w:szCs w:val="24"/>
        </w:rPr>
        <w:t>March 2019</w:t>
      </w:r>
    </w:p>
    <w:p w14:paraId="209EA095" w14:textId="77777777" w:rsidR="00EF6626" w:rsidRDefault="00EF6626">
      <w:pPr>
        <w:rPr>
          <w:sz w:val="24"/>
          <w:szCs w:val="24"/>
        </w:rPr>
      </w:pPr>
      <w:r>
        <w:rPr>
          <w:sz w:val="24"/>
          <w:szCs w:val="24"/>
        </w:rPr>
        <w:br w:type="page"/>
      </w:r>
    </w:p>
    <w:sdt>
      <w:sdtPr>
        <w:rPr>
          <w:rFonts w:asciiTheme="minorHAnsi" w:eastAsiaTheme="minorEastAsia" w:hAnsiTheme="minorHAnsi" w:cstheme="minorBidi"/>
          <w:color w:val="auto"/>
          <w:sz w:val="22"/>
          <w:szCs w:val="22"/>
          <w:lang w:val="en-GB" w:eastAsia="en-GB"/>
        </w:rPr>
        <w:id w:val="1475103815"/>
        <w:docPartObj>
          <w:docPartGallery w:val="Table of Contents"/>
          <w:docPartUnique/>
        </w:docPartObj>
      </w:sdtPr>
      <w:sdtEndPr>
        <w:rPr>
          <w:b/>
          <w:bCs/>
          <w:noProof/>
        </w:rPr>
      </w:sdtEndPr>
      <w:sdtContent>
        <w:p w14:paraId="00833D7D" w14:textId="77777777" w:rsidR="00E66EF6" w:rsidRDefault="00E66EF6" w:rsidP="00C852B0">
          <w:pPr>
            <w:pStyle w:val="TOCHeading"/>
            <w:spacing w:before="0" w:after="120" w:line="240" w:lineRule="auto"/>
          </w:pPr>
          <w:r>
            <w:t>Contents</w:t>
          </w:r>
        </w:p>
        <w:p w14:paraId="5437D910" w14:textId="77777777" w:rsidR="004527DC" w:rsidRDefault="00D63D06">
          <w:pPr>
            <w:pStyle w:val="TOC1"/>
            <w:rPr>
              <w:b w:val="0"/>
              <w:lang w:val="en-AU" w:eastAsia="en-AU"/>
            </w:rPr>
          </w:pPr>
          <w:r>
            <w:rPr>
              <w:noProof w:val="0"/>
            </w:rPr>
            <w:fldChar w:fldCharType="begin"/>
          </w:r>
          <w:r w:rsidR="00E66EF6">
            <w:instrText xml:space="preserve"> TOC \o "1-3" \h \z \u </w:instrText>
          </w:r>
          <w:r>
            <w:rPr>
              <w:noProof w:val="0"/>
            </w:rPr>
            <w:fldChar w:fldCharType="separate"/>
          </w:r>
          <w:hyperlink w:anchor="_Toc2327851" w:history="1">
            <w:r w:rsidR="004527DC" w:rsidRPr="00EE1532">
              <w:rPr>
                <w:rStyle w:val="Hyperlink"/>
              </w:rPr>
              <w:t>Introduction and key findings</w:t>
            </w:r>
            <w:r w:rsidR="004527DC">
              <w:rPr>
                <w:webHidden/>
              </w:rPr>
              <w:tab/>
            </w:r>
            <w:r w:rsidR="004527DC">
              <w:rPr>
                <w:webHidden/>
              </w:rPr>
              <w:fldChar w:fldCharType="begin"/>
            </w:r>
            <w:r w:rsidR="004527DC">
              <w:rPr>
                <w:webHidden/>
              </w:rPr>
              <w:instrText xml:space="preserve"> PAGEREF _Toc2327851 \h </w:instrText>
            </w:r>
            <w:r w:rsidR="004527DC">
              <w:rPr>
                <w:webHidden/>
              </w:rPr>
            </w:r>
            <w:r w:rsidR="004527DC">
              <w:rPr>
                <w:webHidden/>
              </w:rPr>
              <w:fldChar w:fldCharType="separate"/>
            </w:r>
            <w:r w:rsidR="004527DC">
              <w:rPr>
                <w:webHidden/>
              </w:rPr>
              <w:t>3</w:t>
            </w:r>
            <w:r w:rsidR="004527DC">
              <w:rPr>
                <w:webHidden/>
              </w:rPr>
              <w:fldChar w:fldCharType="end"/>
            </w:r>
          </w:hyperlink>
        </w:p>
        <w:p w14:paraId="7D8F20C9" w14:textId="77777777" w:rsidR="004527DC" w:rsidRDefault="00C8495B">
          <w:pPr>
            <w:pStyle w:val="TOC2"/>
            <w:tabs>
              <w:tab w:val="right" w:leader="dot" w:pos="9016"/>
            </w:tabs>
            <w:rPr>
              <w:noProof/>
              <w:lang w:val="en-AU" w:eastAsia="en-AU"/>
            </w:rPr>
          </w:pPr>
          <w:hyperlink w:anchor="_Toc2327852" w:history="1">
            <w:r w:rsidR="004527DC" w:rsidRPr="00EE1532">
              <w:rPr>
                <w:rStyle w:val="Hyperlink"/>
                <w:noProof/>
              </w:rPr>
              <w:t>Introduction</w:t>
            </w:r>
            <w:r w:rsidR="004527DC">
              <w:rPr>
                <w:noProof/>
                <w:webHidden/>
              </w:rPr>
              <w:tab/>
            </w:r>
            <w:r w:rsidR="004527DC">
              <w:rPr>
                <w:noProof/>
                <w:webHidden/>
              </w:rPr>
              <w:fldChar w:fldCharType="begin"/>
            </w:r>
            <w:r w:rsidR="004527DC">
              <w:rPr>
                <w:noProof/>
                <w:webHidden/>
              </w:rPr>
              <w:instrText xml:space="preserve"> PAGEREF _Toc2327852 \h </w:instrText>
            </w:r>
            <w:r w:rsidR="004527DC">
              <w:rPr>
                <w:noProof/>
                <w:webHidden/>
              </w:rPr>
            </w:r>
            <w:r w:rsidR="004527DC">
              <w:rPr>
                <w:noProof/>
                <w:webHidden/>
              </w:rPr>
              <w:fldChar w:fldCharType="separate"/>
            </w:r>
            <w:r w:rsidR="004527DC">
              <w:rPr>
                <w:noProof/>
                <w:webHidden/>
              </w:rPr>
              <w:t>3</w:t>
            </w:r>
            <w:r w:rsidR="004527DC">
              <w:rPr>
                <w:noProof/>
                <w:webHidden/>
              </w:rPr>
              <w:fldChar w:fldCharType="end"/>
            </w:r>
          </w:hyperlink>
        </w:p>
        <w:p w14:paraId="76E9C763" w14:textId="77777777" w:rsidR="004527DC" w:rsidRDefault="00C8495B">
          <w:pPr>
            <w:pStyle w:val="TOC2"/>
            <w:tabs>
              <w:tab w:val="right" w:leader="dot" w:pos="9016"/>
            </w:tabs>
            <w:rPr>
              <w:noProof/>
              <w:lang w:val="en-AU" w:eastAsia="en-AU"/>
            </w:rPr>
          </w:pPr>
          <w:hyperlink w:anchor="_Toc2327853" w:history="1">
            <w:r w:rsidR="004527DC" w:rsidRPr="00EE1532">
              <w:rPr>
                <w:rStyle w:val="Hyperlink"/>
                <w:noProof/>
              </w:rPr>
              <w:t>About the Review</w:t>
            </w:r>
            <w:r w:rsidR="004527DC">
              <w:rPr>
                <w:noProof/>
                <w:webHidden/>
              </w:rPr>
              <w:tab/>
            </w:r>
            <w:r w:rsidR="004527DC">
              <w:rPr>
                <w:noProof/>
                <w:webHidden/>
              </w:rPr>
              <w:fldChar w:fldCharType="begin"/>
            </w:r>
            <w:r w:rsidR="004527DC">
              <w:rPr>
                <w:noProof/>
                <w:webHidden/>
              </w:rPr>
              <w:instrText xml:space="preserve"> PAGEREF _Toc2327853 \h </w:instrText>
            </w:r>
            <w:r w:rsidR="004527DC">
              <w:rPr>
                <w:noProof/>
                <w:webHidden/>
              </w:rPr>
            </w:r>
            <w:r w:rsidR="004527DC">
              <w:rPr>
                <w:noProof/>
                <w:webHidden/>
              </w:rPr>
              <w:fldChar w:fldCharType="separate"/>
            </w:r>
            <w:r w:rsidR="004527DC">
              <w:rPr>
                <w:noProof/>
                <w:webHidden/>
              </w:rPr>
              <w:t>3</w:t>
            </w:r>
            <w:r w:rsidR="004527DC">
              <w:rPr>
                <w:noProof/>
                <w:webHidden/>
              </w:rPr>
              <w:fldChar w:fldCharType="end"/>
            </w:r>
          </w:hyperlink>
        </w:p>
        <w:p w14:paraId="01931149" w14:textId="77777777" w:rsidR="004527DC" w:rsidRDefault="00C8495B">
          <w:pPr>
            <w:pStyle w:val="TOC2"/>
            <w:tabs>
              <w:tab w:val="right" w:leader="dot" w:pos="9016"/>
            </w:tabs>
            <w:rPr>
              <w:noProof/>
              <w:lang w:val="en-AU" w:eastAsia="en-AU"/>
            </w:rPr>
          </w:pPr>
          <w:hyperlink w:anchor="_Toc2327854" w:history="1">
            <w:r w:rsidR="004527DC" w:rsidRPr="00EE1532">
              <w:rPr>
                <w:rStyle w:val="Hyperlink"/>
                <w:noProof/>
              </w:rPr>
              <w:t>Key findings</w:t>
            </w:r>
            <w:r w:rsidR="004527DC">
              <w:rPr>
                <w:noProof/>
                <w:webHidden/>
              </w:rPr>
              <w:tab/>
            </w:r>
            <w:r w:rsidR="004527DC">
              <w:rPr>
                <w:noProof/>
                <w:webHidden/>
              </w:rPr>
              <w:fldChar w:fldCharType="begin"/>
            </w:r>
            <w:r w:rsidR="004527DC">
              <w:rPr>
                <w:noProof/>
                <w:webHidden/>
              </w:rPr>
              <w:instrText xml:space="preserve"> PAGEREF _Toc2327854 \h </w:instrText>
            </w:r>
            <w:r w:rsidR="004527DC">
              <w:rPr>
                <w:noProof/>
                <w:webHidden/>
              </w:rPr>
            </w:r>
            <w:r w:rsidR="004527DC">
              <w:rPr>
                <w:noProof/>
                <w:webHidden/>
              </w:rPr>
              <w:fldChar w:fldCharType="separate"/>
            </w:r>
            <w:r w:rsidR="004527DC">
              <w:rPr>
                <w:noProof/>
                <w:webHidden/>
              </w:rPr>
              <w:t>4</w:t>
            </w:r>
            <w:r w:rsidR="004527DC">
              <w:rPr>
                <w:noProof/>
                <w:webHidden/>
              </w:rPr>
              <w:fldChar w:fldCharType="end"/>
            </w:r>
          </w:hyperlink>
        </w:p>
        <w:p w14:paraId="020ADBCA" w14:textId="77777777" w:rsidR="004527DC" w:rsidRDefault="00C8495B">
          <w:pPr>
            <w:pStyle w:val="TOC1"/>
            <w:rPr>
              <w:b w:val="0"/>
              <w:lang w:val="en-AU" w:eastAsia="en-AU"/>
            </w:rPr>
          </w:pPr>
          <w:hyperlink w:anchor="_Toc2327855" w:history="1">
            <w:r w:rsidR="004527DC" w:rsidRPr="00EE1532">
              <w:rPr>
                <w:rStyle w:val="Hyperlink"/>
              </w:rPr>
              <w:t>ACTPS Senior Executive Service</w:t>
            </w:r>
            <w:r w:rsidR="004527DC">
              <w:rPr>
                <w:webHidden/>
              </w:rPr>
              <w:tab/>
            </w:r>
            <w:r w:rsidR="004527DC">
              <w:rPr>
                <w:webHidden/>
              </w:rPr>
              <w:fldChar w:fldCharType="begin"/>
            </w:r>
            <w:r w:rsidR="004527DC">
              <w:rPr>
                <w:webHidden/>
              </w:rPr>
              <w:instrText xml:space="preserve"> PAGEREF _Toc2327855 \h </w:instrText>
            </w:r>
            <w:r w:rsidR="004527DC">
              <w:rPr>
                <w:webHidden/>
              </w:rPr>
            </w:r>
            <w:r w:rsidR="004527DC">
              <w:rPr>
                <w:webHidden/>
              </w:rPr>
              <w:fldChar w:fldCharType="separate"/>
            </w:r>
            <w:r w:rsidR="004527DC">
              <w:rPr>
                <w:webHidden/>
              </w:rPr>
              <w:t>9</w:t>
            </w:r>
            <w:r w:rsidR="004527DC">
              <w:rPr>
                <w:webHidden/>
              </w:rPr>
              <w:fldChar w:fldCharType="end"/>
            </w:r>
          </w:hyperlink>
        </w:p>
        <w:p w14:paraId="759E85AF" w14:textId="77777777" w:rsidR="004527DC" w:rsidRDefault="00C8495B">
          <w:pPr>
            <w:pStyle w:val="TOC2"/>
            <w:tabs>
              <w:tab w:val="right" w:leader="dot" w:pos="9016"/>
            </w:tabs>
            <w:rPr>
              <w:noProof/>
              <w:lang w:val="en-AU" w:eastAsia="en-AU"/>
            </w:rPr>
          </w:pPr>
          <w:hyperlink w:anchor="_Toc2327856" w:history="1">
            <w:r w:rsidR="004527DC" w:rsidRPr="00EE1532">
              <w:rPr>
                <w:rStyle w:val="Hyperlink"/>
                <w:noProof/>
              </w:rPr>
              <w:t>Overview of the ACT Public Service</w:t>
            </w:r>
            <w:r w:rsidR="004527DC">
              <w:rPr>
                <w:noProof/>
                <w:webHidden/>
              </w:rPr>
              <w:tab/>
            </w:r>
            <w:r w:rsidR="004527DC">
              <w:rPr>
                <w:noProof/>
                <w:webHidden/>
              </w:rPr>
              <w:fldChar w:fldCharType="begin"/>
            </w:r>
            <w:r w:rsidR="004527DC">
              <w:rPr>
                <w:noProof/>
                <w:webHidden/>
              </w:rPr>
              <w:instrText xml:space="preserve"> PAGEREF _Toc2327856 \h </w:instrText>
            </w:r>
            <w:r w:rsidR="004527DC">
              <w:rPr>
                <w:noProof/>
                <w:webHidden/>
              </w:rPr>
            </w:r>
            <w:r w:rsidR="004527DC">
              <w:rPr>
                <w:noProof/>
                <w:webHidden/>
              </w:rPr>
              <w:fldChar w:fldCharType="separate"/>
            </w:r>
            <w:r w:rsidR="004527DC">
              <w:rPr>
                <w:noProof/>
                <w:webHidden/>
              </w:rPr>
              <w:t>9</w:t>
            </w:r>
            <w:r w:rsidR="004527DC">
              <w:rPr>
                <w:noProof/>
                <w:webHidden/>
              </w:rPr>
              <w:fldChar w:fldCharType="end"/>
            </w:r>
          </w:hyperlink>
        </w:p>
        <w:p w14:paraId="5D7B83D8" w14:textId="77777777" w:rsidR="004527DC" w:rsidRDefault="00C8495B">
          <w:pPr>
            <w:pStyle w:val="TOC2"/>
            <w:tabs>
              <w:tab w:val="right" w:leader="dot" w:pos="9016"/>
            </w:tabs>
            <w:rPr>
              <w:noProof/>
              <w:lang w:val="en-AU" w:eastAsia="en-AU"/>
            </w:rPr>
          </w:pPr>
          <w:hyperlink w:anchor="_Toc2327857" w:history="1">
            <w:r w:rsidR="004527DC" w:rsidRPr="00EE1532">
              <w:rPr>
                <w:rStyle w:val="Hyperlink"/>
                <w:noProof/>
              </w:rPr>
              <w:t>ACTPS Executives</w:t>
            </w:r>
            <w:r w:rsidR="004527DC">
              <w:rPr>
                <w:noProof/>
                <w:webHidden/>
              </w:rPr>
              <w:tab/>
            </w:r>
            <w:r w:rsidR="004527DC">
              <w:rPr>
                <w:noProof/>
                <w:webHidden/>
              </w:rPr>
              <w:fldChar w:fldCharType="begin"/>
            </w:r>
            <w:r w:rsidR="004527DC">
              <w:rPr>
                <w:noProof/>
                <w:webHidden/>
              </w:rPr>
              <w:instrText xml:space="preserve"> PAGEREF _Toc2327857 \h </w:instrText>
            </w:r>
            <w:r w:rsidR="004527DC">
              <w:rPr>
                <w:noProof/>
                <w:webHidden/>
              </w:rPr>
            </w:r>
            <w:r w:rsidR="004527DC">
              <w:rPr>
                <w:noProof/>
                <w:webHidden/>
              </w:rPr>
              <w:fldChar w:fldCharType="separate"/>
            </w:r>
            <w:r w:rsidR="004527DC">
              <w:rPr>
                <w:noProof/>
                <w:webHidden/>
              </w:rPr>
              <w:t>9</w:t>
            </w:r>
            <w:r w:rsidR="004527DC">
              <w:rPr>
                <w:noProof/>
                <w:webHidden/>
              </w:rPr>
              <w:fldChar w:fldCharType="end"/>
            </w:r>
          </w:hyperlink>
        </w:p>
        <w:p w14:paraId="667DCAF6" w14:textId="77777777" w:rsidR="004527DC" w:rsidRDefault="00C8495B">
          <w:pPr>
            <w:pStyle w:val="TOC3"/>
            <w:tabs>
              <w:tab w:val="right" w:leader="dot" w:pos="9016"/>
            </w:tabs>
            <w:rPr>
              <w:noProof/>
              <w:lang w:val="en-AU" w:eastAsia="en-AU"/>
            </w:rPr>
          </w:pPr>
          <w:hyperlink w:anchor="_Toc2327858" w:history="1">
            <w:r w:rsidR="004527DC" w:rsidRPr="00EE1532">
              <w:rPr>
                <w:rStyle w:val="Hyperlink"/>
                <w:noProof/>
              </w:rPr>
              <w:t>Executive Classification Structure</w:t>
            </w:r>
            <w:r w:rsidR="004527DC">
              <w:rPr>
                <w:noProof/>
                <w:webHidden/>
              </w:rPr>
              <w:tab/>
            </w:r>
            <w:r w:rsidR="004527DC">
              <w:rPr>
                <w:noProof/>
                <w:webHidden/>
              </w:rPr>
              <w:fldChar w:fldCharType="begin"/>
            </w:r>
            <w:r w:rsidR="004527DC">
              <w:rPr>
                <w:noProof/>
                <w:webHidden/>
              </w:rPr>
              <w:instrText xml:space="preserve"> PAGEREF _Toc2327858 \h </w:instrText>
            </w:r>
            <w:r w:rsidR="004527DC">
              <w:rPr>
                <w:noProof/>
                <w:webHidden/>
              </w:rPr>
            </w:r>
            <w:r w:rsidR="004527DC">
              <w:rPr>
                <w:noProof/>
                <w:webHidden/>
              </w:rPr>
              <w:fldChar w:fldCharType="separate"/>
            </w:r>
            <w:r w:rsidR="004527DC">
              <w:rPr>
                <w:noProof/>
                <w:webHidden/>
              </w:rPr>
              <w:t>11</w:t>
            </w:r>
            <w:r w:rsidR="004527DC">
              <w:rPr>
                <w:noProof/>
                <w:webHidden/>
              </w:rPr>
              <w:fldChar w:fldCharType="end"/>
            </w:r>
          </w:hyperlink>
        </w:p>
        <w:p w14:paraId="02E022E0" w14:textId="77777777" w:rsidR="004527DC" w:rsidRDefault="00C8495B">
          <w:pPr>
            <w:pStyle w:val="TOC3"/>
            <w:tabs>
              <w:tab w:val="right" w:leader="dot" w:pos="9016"/>
            </w:tabs>
            <w:rPr>
              <w:noProof/>
              <w:lang w:val="en-AU" w:eastAsia="en-AU"/>
            </w:rPr>
          </w:pPr>
          <w:hyperlink w:anchor="_Toc2327859" w:history="1">
            <w:r w:rsidR="004527DC" w:rsidRPr="00EE1532">
              <w:rPr>
                <w:rStyle w:val="Hyperlink"/>
                <w:noProof/>
              </w:rPr>
              <w:t>Roles and responsibilities</w:t>
            </w:r>
            <w:r w:rsidR="004527DC">
              <w:rPr>
                <w:noProof/>
                <w:webHidden/>
              </w:rPr>
              <w:tab/>
            </w:r>
            <w:r w:rsidR="004527DC">
              <w:rPr>
                <w:noProof/>
                <w:webHidden/>
              </w:rPr>
              <w:fldChar w:fldCharType="begin"/>
            </w:r>
            <w:r w:rsidR="004527DC">
              <w:rPr>
                <w:noProof/>
                <w:webHidden/>
              </w:rPr>
              <w:instrText xml:space="preserve"> PAGEREF _Toc2327859 \h </w:instrText>
            </w:r>
            <w:r w:rsidR="004527DC">
              <w:rPr>
                <w:noProof/>
                <w:webHidden/>
              </w:rPr>
            </w:r>
            <w:r w:rsidR="004527DC">
              <w:rPr>
                <w:noProof/>
                <w:webHidden/>
              </w:rPr>
              <w:fldChar w:fldCharType="separate"/>
            </w:r>
            <w:r w:rsidR="004527DC">
              <w:rPr>
                <w:noProof/>
                <w:webHidden/>
              </w:rPr>
              <w:t>12</w:t>
            </w:r>
            <w:r w:rsidR="004527DC">
              <w:rPr>
                <w:noProof/>
                <w:webHidden/>
              </w:rPr>
              <w:fldChar w:fldCharType="end"/>
            </w:r>
          </w:hyperlink>
        </w:p>
        <w:p w14:paraId="6BA6A73E" w14:textId="77777777" w:rsidR="004527DC" w:rsidRDefault="00C8495B">
          <w:pPr>
            <w:pStyle w:val="TOC3"/>
            <w:tabs>
              <w:tab w:val="right" w:leader="dot" w:pos="9016"/>
            </w:tabs>
            <w:rPr>
              <w:noProof/>
              <w:lang w:val="en-AU" w:eastAsia="en-AU"/>
            </w:rPr>
          </w:pPr>
          <w:hyperlink w:anchor="_Toc2327860" w:history="1">
            <w:r w:rsidR="004527DC" w:rsidRPr="00EE1532">
              <w:rPr>
                <w:rStyle w:val="Hyperlink"/>
                <w:noProof/>
              </w:rPr>
              <w:t>Shared Capability Framework – Executive Capabilities</w:t>
            </w:r>
            <w:r w:rsidR="004527DC">
              <w:rPr>
                <w:noProof/>
                <w:webHidden/>
              </w:rPr>
              <w:tab/>
            </w:r>
            <w:r w:rsidR="004527DC">
              <w:rPr>
                <w:noProof/>
                <w:webHidden/>
              </w:rPr>
              <w:fldChar w:fldCharType="begin"/>
            </w:r>
            <w:r w:rsidR="004527DC">
              <w:rPr>
                <w:noProof/>
                <w:webHidden/>
              </w:rPr>
              <w:instrText xml:space="preserve"> PAGEREF _Toc2327860 \h </w:instrText>
            </w:r>
            <w:r w:rsidR="004527DC">
              <w:rPr>
                <w:noProof/>
                <w:webHidden/>
              </w:rPr>
            </w:r>
            <w:r w:rsidR="004527DC">
              <w:rPr>
                <w:noProof/>
                <w:webHidden/>
              </w:rPr>
              <w:fldChar w:fldCharType="separate"/>
            </w:r>
            <w:r w:rsidR="004527DC">
              <w:rPr>
                <w:noProof/>
                <w:webHidden/>
              </w:rPr>
              <w:t>15</w:t>
            </w:r>
            <w:r w:rsidR="004527DC">
              <w:rPr>
                <w:noProof/>
                <w:webHidden/>
              </w:rPr>
              <w:fldChar w:fldCharType="end"/>
            </w:r>
          </w:hyperlink>
        </w:p>
        <w:p w14:paraId="736AD462" w14:textId="77777777" w:rsidR="004527DC" w:rsidRDefault="00C8495B">
          <w:pPr>
            <w:pStyle w:val="TOC1"/>
            <w:rPr>
              <w:b w:val="0"/>
              <w:lang w:val="en-AU" w:eastAsia="en-AU"/>
            </w:rPr>
          </w:pPr>
          <w:hyperlink w:anchor="_Toc2327861" w:history="1">
            <w:r w:rsidR="004527DC" w:rsidRPr="00EE1532">
              <w:rPr>
                <w:rStyle w:val="Hyperlink"/>
              </w:rPr>
              <w:t>Key issues and decisions</w:t>
            </w:r>
            <w:r w:rsidR="004527DC">
              <w:rPr>
                <w:webHidden/>
              </w:rPr>
              <w:tab/>
            </w:r>
            <w:r w:rsidR="004527DC">
              <w:rPr>
                <w:webHidden/>
              </w:rPr>
              <w:fldChar w:fldCharType="begin"/>
            </w:r>
            <w:r w:rsidR="004527DC">
              <w:rPr>
                <w:webHidden/>
              </w:rPr>
              <w:instrText xml:space="preserve"> PAGEREF _Toc2327861 \h </w:instrText>
            </w:r>
            <w:r w:rsidR="004527DC">
              <w:rPr>
                <w:webHidden/>
              </w:rPr>
            </w:r>
            <w:r w:rsidR="004527DC">
              <w:rPr>
                <w:webHidden/>
              </w:rPr>
              <w:fldChar w:fldCharType="separate"/>
            </w:r>
            <w:r w:rsidR="004527DC">
              <w:rPr>
                <w:webHidden/>
              </w:rPr>
              <w:t>16</w:t>
            </w:r>
            <w:r w:rsidR="004527DC">
              <w:rPr>
                <w:webHidden/>
              </w:rPr>
              <w:fldChar w:fldCharType="end"/>
            </w:r>
          </w:hyperlink>
        </w:p>
        <w:p w14:paraId="6462A2DE" w14:textId="77777777" w:rsidR="004527DC" w:rsidRDefault="00C8495B">
          <w:pPr>
            <w:pStyle w:val="TOC2"/>
            <w:tabs>
              <w:tab w:val="right" w:leader="dot" w:pos="9016"/>
            </w:tabs>
            <w:rPr>
              <w:noProof/>
              <w:lang w:val="en-AU" w:eastAsia="en-AU"/>
            </w:rPr>
          </w:pPr>
          <w:hyperlink w:anchor="_Toc2327862" w:history="1">
            <w:r w:rsidR="004527DC" w:rsidRPr="00EE1532">
              <w:rPr>
                <w:rStyle w:val="Hyperlink"/>
                <w:noProof/>
              </w:rPr>
              <w:t>Employment arrangements</w:t>
            </w:r>
            <w:r w:rsidR="004527DC">
              <w:rPr>
                <w:noProof/>
                <w:webHidden/>
              </w:rPr>
              <w:tab/>
            </w:r>
            <w:r w:rsidR="004527DC">
              <w:rPr>
                <w:noProof/>
                <w:webHidden/>
              </w:rPr>
              <w:fldChar w:fldCharType="begin"/>
            </w:r>
            <w:r w:rsidR="004527DC">
              <w:rPr>
                <w:noProof/>
                <w:webHidden/>
              </w:rPr>
              <w:instrText xml:space="preserve"> PAGEREF _Toc2327862 \h </w:instrText>
            </w:r>
            <w:r w:rsidR="004527DC">
              <w:rPr>
                <w:noProof/>
                <w:webHidden/>
              </w:rPr>
            </w:r>
            <w:r w:rsidR="004527DC">
              <w:rPr>
                <w:noProof/>
                <w:webHidden/>
              </w:rPr>
              <w:fldChar w:fldCharType="separate"/>
            </w:r>
            <w:r w:rsidR="004527DC">
              <w:rPr>
                <w:noProof/>
                <w:webHidden/>
              </w:rPr>
              <w:t>16</w:t>
            </w:r>
            <w:r w:rsidR="004527DC">
              <w:rPr>
                <w:noProof/>
                <w:webHidden/>
              </w:rPr>
              <w:fldChar w:fldCharType="end"/>
            </w:r>
          </w:hyperlink>
        </w:p>
        <w:p w14:paraId="370F14D0" w14:textId="77777777" w:rsidR="004527DC" w:rsidRDefault="00C8495B">
          <w:pPr>
            <w:pStyle w:val="TOC3"/>
            <w:tabs>
              <w:tab w:val="right" w:leader="dot" w:pos="9016"/>
            </w:tabs>
            <w:rPr>
              <w:noProof/>
              <w:lang w:val="en-AU" w:eastAsia="en-AU"/>
            </w:rPr>
          </w:pPr>
          <w:hyperlink w:anchor="_Toc2327863" w:history="1">
            <w:r w:rsidR="004527DC" w:rsidRPr="00EE1532">
              <w:rPr>
                <w:rStyle w:val="Hyperlink"/>
                <w:noProof/>
              </w:rPr>
              <w:t>Executive contracts</w:t>
            </w:r>
            <w:r w:rsidR="004527DC">
              <w:rPr>
                <w:noProof/>
                <w:webHidden/>
              </w:rPr>
              <w:tab/>
            </w:r>
            <w:r w:rsidR="004527DC">
              <w:rPr>
                <w:noProof/>
                <w:webHidden/>
              </w:rPr>
              <w:fldChar w:fldCharType="begin"/>
            </w:r>
            <w:r w:rsidR="004527DC">
              <w:rPr>
                <w:noProof/>
                <w:webHidden/>
              </w:rPr>
              <w:instrText xml:space="preserve"> PAGEREF _Toc2327863 \h </w:instrText>
            </w:r>
            <w:r w:rsidR="004527DC">
              <w:rPr>
                <w:noProof/>
                <w:webHidden/>
              </w:rPr>
            </w:r>
            <w:r w:rsidR="004527DC">
              <w:rPr>
                <w:noProof/>
                <w:webHidden/>
              </w:rPr>
              <w:fldChar w:fldCharType="separate"/>
            </w:r>
            <w:r w:rsidR="004527DC">
              <w:rPr>
                <w:noProof/>
                <w:webHidden/>
              </w:rPr>
              <w:t>16</w:t>
            </w:r>
            <w:r w:rsidR="004527DC">
              <w:rPr>
                <w:noProof/>
                <w:webHidden/>
              </w:rPr>
              <w:fldChar w:fldCharType="end"/>
            </w:r>
          </w:hyperlink>
        </w:p>
        <w:p w14:paraId="589E3432" w14:textId="77777777" w:rsidR="004527DC" w:rsidRDefault="00C8495B">
          <w:pPr>
            <w:pStyle w:val="TOC3"/>
            <w:tabs>
              <w:tab w:val="right" w:leader="dot" w:pos="9016"/>
            </w:tabs>
            <w:rPr>
              <w:noProof/>
              <w:lang w:val="en-AU" w:eastAsia="en-AU"/>
            </w:rPr>
          </w:pPr>
          <w:hyperlink w:anchor="_Toc2327864" w:history="1">
            <w:r w:rsidR="004527DC" w:rsidRPr="00EE1532">
              <w:rPr>
                <w:rStyle w:val="Hyperlink"/>
                <w:noProof/>
              </w:rPr>
              <w:t>Tabling of long term executives in the Legislative Assembly</w:t>
            </w:r>
            <w:r w:rsidR="004527DC">
              <w:rPr>
                <w:noProof/>
                <w:webHidden/>
              </w:rPr>
              <w:tab/>
            </w:r>
            <w:r w:rsidR="004527DC">
              <w:rPr>
                <w:noProof/>
                <w:webHidden/>
              </w:rPr>
              <w:fldChar w:fldCharType="begin"/>
            </w:r>
            <w:r w:rsidR="004527DC">
              <w:rPr>
                <w:noProof/>
                <w:webHidden/>
              </w:rPr>
              <w:instrText xml:space="preserve"> PAGEREF _Toc2327864 \h </w:instrText>
            </w:r>
            <w:r w:rsidR="004527DC">
              <w:rPr>
                <w:noProof/>
                <w:webHidden/>
              </w:rPr>
            </w:r>
            <w:r w:rsidR="004527DC">
              <w:rPr>
                <w:noProof/>
                <w:webHidden/>
              </w:rPr>
              <w:fldChar w:fldCharType="separate"/>
            </w:r>
            <w:r w:rsidR="004527DC">
              <w:rPr>
                <w:noProof/>
                <w:webHidden/>
              </w:rPr>
              <w:t>17</w:t>
            </w:r>
            <w:r w:rsidR="004527DC">
              <w:rPr>
                <w:noProof/>
                <w:webHidden/>
              </w:rPr>
              <w:fldChar w:fldCharType="end"/>
            </w:r>
          </w:hyperlink>
        </w:p>
        <w:p w14:paraId="48454AB0" w14:textId="77777777" w:rsidR="004527DC" w:rsidRDefault="00C8495B">
          <w:pPr>
            <w:pStyle w:val="TOC3"/>
            <w:tabs>
              <w:tab w:val="right" w:leader="dot" w:pos="9016"/>
            </w:tabs>
            <w:rPr>
              <w:noProof/>
              <w:lang w:val="en-AU" w:eastAsia="en-AU"/>
            </w:rPr>
          </w:pPr>
          <w:hyperlink w:anchor="_Toc2327865" w:history="1">
            <w:r w:rsidR="004527DC" w:rsidRPr="00EE1532">
              <w:rPr>
                <w:rStyle w:val="Hyperlink"/>
                <w:noProof/>
              </w:rPr>
              <w:t>Re-engagements</w:t>
            </w:r>
            <w:r w:rsidR="004527DC">
              <w:rPr>
                <w:noProof/>
                <w:webHidden/>
              </w:rPr>
              <w:tab/>
            </w:r>
            <w:r w:rsidR="004527DC">
              <w:rPr>
                <w:noProof/>
                <w:webHidden/>
              </w:rPr>
              <w:fldChar w:fldCharType="begin"/>
            </w:r>
            <w:r w:rsidR="004527DC">
              <w:rPr>
                <w:noProof/>
                <w:webHidden/>
              </w:rPr>
              <w:instrText xml:space="preserve"> PAGEREF _Toc2327865 \h </w:instrText>
            </w:r>
            <w:r w:rsidR="004527DC">
              <w:rPr>
                <w:noProof/>
                <w:webHidden/>
              </w:rPr>
            </w:r>
            <w:r w:rsidR="004527DC">
              <w:rPr>
                <w:noProof/>
                <w:webHidden/>
              </w:rPr>
              <w:fldChar w:fldCharType="separate"/>
            </w:r>
            <w:r w:rsidR="004527DC">
              <w:rPr>
                <w:noProof/>
                <w:webHidden/>
              </w:rPr>
              <w:t>17</w:t>
            </w:r>
            <w:r w:rsidR="004527DC">
              <w:rPr>
                <w:noProof/>
                <w:webHidden/>
              </w:rPr>
              <w:fldChar w:fldCharType="end"/>
            </w:r>
          </w:hyperlink>
        </w:p>
        <w:p w14:paraId="254F2AB0" w14:textId="77777777" w:rsidR="004527DC" w:rsidRDefault="00C8495B">
          <w:pPr>
            <w:pStyle w:val="TOC3"/>
            <w:tabs>
              <w:tab w:val="right" w:leader="dot" w:pos="9016"/>
            </w:tabs>
            <w:rPr>
              <w:noProof/>
              <w:lang w:val="en-AU" w:eastAsia="en-AU"/>
            </w:rPr>
          </w:pPr>
          <w:hyperlink w:anchor="_Toc2327866" w:history="1">
            <w:r w:rsidR="004527DC" w:rsidRPr="00EE1532">
              <w:rPr>
                <w:rStyle w:val="Hyperlink"/>
                <w:noProof/>
              </w:rPr>
              <w:t>Internal executive comparability and mobility</w:t>
            </w:r>
            <w:r w:rsidR="004527DC">
              <w:rPr>
                <w:noProof/>
                <w:webHidden/>
              </w:rPr>
              <w:tab/>
            </w:r>
            <w:r w:rsidR="004527DC">
              <w:rPr>
                <w:noProof/>
                <w:webHidden/>
              </w:rPr>
              <w:fldChar w:fldCharType="begin"/>
            </w:r>
            <w:r w:rsidR="004527DC">
              <w:rPr>
                <w:noProof/>
                <w:webHidden/>
              </w:rPr>
              <w:instrText xml:space="preserve"> PAGEREF _Toc2327866 \h </w:instrText>
            </w:r>
            <w:r w:rsidR="004527DC">
              <w:rPr>
                <w:noProof/>
                <w:webHidden/>
              </w:rPr>
            </w:r>
            <w:r w:rsidR="004527DC">
              <w:rPr>
                <w:noProof/>
                <w:webHidden/>
              </w:rPr>
              <w:fldChar w:fldCharType="separate"/>
            </w:r>
            <w:r w:rsidR="004527DC">
              <w:rPr>
                <w:noProof/>
                <w:webHidden/>
              </w:rPr>
              <w:t>18</w:t>
            </w:r>
            <w:r w:rsidR="004527DC">
              <w:rPr>
                <w:noProof/>
                <w:webHidden/>
              </w:rPr>
              <w:fldChar w:fldCharType="end"/>
            </w:r>
          </w:hyperlink>
        </w:p>
        <w:p w14:paraId="6925793A" w14:textId="77777777" w:rsidR="004527DC" w:rsidRDefault="00C8495B">
          <w:pPr>
            <w:pStyle w:val="TOC2"/>
            <w:tabs>
              <w:tab w:val="right" w:leader="dot" w:pos="9016"/>
            </w:tabs>
            <w:rPr>
              <w:noProof/>
              <w:lang w:val="en-AU" w:eastAsia="en-AU"/>
            </w:rPr>
          </w:pPr>
          <w:hyperlink w:anchor="_Toc2327867" w:history="1">
            <w:r w:rsidR="004527DC" w:rsidRPr="00EE1532">
              <w:rPr>
                <w:rStyle w:val="Hyperlink"/>
                <w:noProof/>
              </w:rPr>
              <w:t>Remuneration / SES Total Remuneration Package</w:t>
            </w:r>
            <w:r w:rsidR="004527DC">
              <w:rPr>
                <w:noProof/>
                <w:webHidden/>
              </w:rPr>
              <w:tab/>
            </w:r>
            <w:r w:rsidR="004527DC">
              <w:rPr>
                <w:noProof/>
                <w:webHidden/>
              </w:rPr>
              <w:fldChar w:fldCharType="begin"/>
            </w:r>
            <w:r w:rsidR="004527DC">
              <w:rPr>
                <w:noProof/>
                <w:webHidden/>
              </w:rPr>
              <w:instrText xml:space="preserve"> PAGEREF _Toc2327867 \h </w:instrText>
            </w:r>
            <w:r w:rsidR="004527DC">
              <w:rPr>
                <w:noProof/>
                <w:webHidden/>
              </w:rPr>
            </w:r>
            <w:r w:rsidR="004527DC">
              <w:rPr>
                <w:noProof/>
                <w:webHidden/>
              </w:rPr>
              <w:fldChar w:fldCharType="separate"/>
            </w:r>
            <w:r w:rsidR="004527DC">
              <w:rPr>
                <w:noProof/>
                <w:webHidden/>
              </w:rPr>
              <w:t>20</w:t>
            </w:r>
            <w:r w:rsidR="004527DC">
              <w:rPr>
                <w:noProof/>
                <w:webHidden/>
              </w:rPr>
              <w:fldChar w:fldCharType="end"/>
            </w:r>
          </w:hyperlink>
        </w:p>
        <w:p w14:paraId="5DA8975C" w14:textId="77777777" w:rsidR="004527DC" w:rsidRDefault="00C8495B">
          <w:pPr>
            <w:pStyle w:val="TOC3"/>
            <w:tabs>
              <w:tab w:val="right" w:leader="dot" w:pos="9016"/>
            </w:tabs>
            <w:rPr>
              <w:noProof/>
              <w:lang w:val="en-AU" w:eastAsia="en-AU"/>
            </w:rPr>
          </w:pPr>
          <w:hyperlink w:anchor="_Toc2327868" w:history="1">
            <w:r w:rsidR="004527DC" w:rsidRPr="00EE1532">
              <w:rPr>
                <w:rStyle w:val="Hyperlink"/>
                <w:noProof/>
              </w:rPr>
              <w:t>Jurisdictional comparison</w:t>
            </w:r>
            <w:r w:rsidR="004527DC">
              <w:rPr>
                <w:noProof/>
                <w:webHidden/>
              </w:rPr>
              <w:tab/>
            </w:r>
            <w:r w:rsidR="004527DC">
              <w:rPr>
                <w:noProof/>
                <w:webHidden/>
              </w:rPr>
              <w:fldChar w:fldCharType="begin"/>
            </w:r>
            <w:r w:rsidR="004527DC">
              <w:rPr>
                <w:noProof/>
                <w:webHidden/>
              </w:rPr>
              <w:instrText xml:space="preserve"> PAGEREF _Toc2327868 \h </w:instrText>
            </w:r>
            <w:r w:rsidR="004527DC">
              <w:rPr>
                <w:noProof/>
                <w:webHidden/>
              </w:rPr>
            </w:r>
            <w:r w:rsidR="004527DC">
              <w:rPr>
                <w:noProof/>
                <w:webHidden/>
              </w:rPr>
              <w:fldChar w:fldCharType="separate"/>
            </w:r>
            <w:r w:rsidR="004527DC">
              <w:rPr>
                <w:noProof/>
                <w:webHidden/>
              </w:rPr>
              <w:t>25</w:t>
            </w:r>
            <w:r w:rsidR="004527DC">
              <w:rPr>
                <w:noProof/>
                <w:webHidden/>
              </w:rPr>
              <w:fldChar w:fldCharType="end"/>
            </w:r>
          </w:hyperlink>
        </w:p>
        <w:p w14:paraId="27C396D7" w14:textId="77777777" w:rsidR="004527DC" w:rsidRDefault="00C8495B">
          <w:pPr>
            <w:pStyle w:val="TOC3"/>
            <w:tabs>
              <w:tab w:val="right" w:leader="dot" w:pos="9016"/>
            </w:tabs>
            <w:rPr>
              <w:noProof/>
              <w:lang w:val="en-AU" w:eastAsia="en-AU"/>
            </w:rPr>
          </w:pPr>
          <w:hyperlink w:anchor="_Toc2327869" w:history="1">
            <w:r w:rsidR="004527DC" w:rsidRPr="00EE1532">
              <w:rPr>
                <w:rStyle w:val="Hyperlink"/>
                <w:noProof/>
              </w:rPr>
              <w:t>Establishing a differential between the SOGA and Executive Level 1.1</w:t>
            </w:r>
            <w:r w:rsidR="004527DC">
              <w:rPr>
                <w:noProof/>
                <w:webHidden/>
              </w:rPr>
              <w:tab/>
            </w:r>
            <w:r w:rsidR="004527DC">
              <w:rPr>
                <w:noProof/>
                <w:webHidden/>
              </w:rPr>
              <w:fldChar w:fldCharType="begin"/>
            </w:r>
            <w:r w:rsidR="004527DC">
              <w:rPr>
                <w:noProof/>
                <w:webHidden/>
              </w:rPr>
              <w:instrText xml:space="preserve"> PAGEREF _Toc2327869 \h </w:instrText>
            </w:r>
            <w:r w:rsidR="004527DC">
              <w:rPr>
                <w:noProof/>
                <w:webHidden/>
              </w:rPr>
            </w:r>
            <w:r w:rsidR="004527DC">
              <w:rPr>
                <w:noProof/>
                <w:webHidden/>
              </w:rPr>
              <w:fldChar w:fldCharType="separate"/>
            </w:r>
            <w:r w:rsidR="004527DC">
              <w:rPr>
                <w:noProof/>
                <w:webHidden/>
              </w:rPr>
              <w:t>28</w:t>
            </w:r>
            <w:r w:rsidR="004527DC">
              <w:rPr>
                <w:noProof/>
                <w:webHidden/>
              </w:rPr>
              <w:fldChar w:fldCharType="end"/>
            </w:r>
          </w:hyperlink>
        </w:p>
        <w:p w14:paraId="157E7799" w14:textId="77777777" w:rsidR="004527DC" w:rsidRDefault="00C8495B">
          <w:pPr>
            <w:pStyle w:val="TOC3"/>
            <w:tabs>
              <w:tab w:val="right" w:leader="dot" w:pos="9016"/>
            </w:tabs>
            <w:rPr>
              <w:noProof/>
              <w:lang w:val="en-AU" w:eastAsia="en-AU"/>
            </w:rPr>
          </w:pPr>
          <w:hyperlink w:anchor="_Toc2327870" w:history="1">
            <w:r w:rsidR="004527DC" w:rsidRPr="00EE1532">
              <w:rPr>
                <w:rStyle w:val="Hyperlink"/>
                <w:noProof/>
              </w:rPr>
              <w:t>Additional salary in unusual or special circumstances</w:t>
            </w:r>
            <w:r w:rsidR="004527DC">
              <w:rPr>
                <w:noProof/>
                <w:webHidden/>
              </w:rPr>
              <w:tab/>
            </w:r>
            <w:r w:rsidR="004527DC">
              <w:rPr>
                <w:noProof/>
                <w:webHidden/>
              </w:rPr>
              <w:fldChar w:fldCharType="begin"/>
            </w:r>
            <w:r w:rsidR="004527DC">
              <w:rPr>
                <w:noProof/>
                <w:webHidden/>
              </w:rPr>
              <w:instrText xml:space="preserve"> PAGEREF _Toc2327870 \h </w:instrText>
            </w:r>
            <w:r w:rsidR="004527DC">
              <w:rPr>
                <w:noProof/>
                <w:webHidden/>
              </w:rPr>
            </w:r>
            <w:r w:rsidR="004527DC">
              <w:rPr>
                <w:noProof/>
                <w:webHidden/>
              </w:rPr>
              <w:fldChar w:fldCharType="separate"/>
            </w:r>
            <w:r w:rsidR="004527DC">
              <w:rPr>
                <w:noProof/>
                <w:webHidden/>
              </w:rPr>
              <w:t>29</w:t>
            </w:r>
            <w:r w:rsidR="004527DC">
              <w:rPr>
                <w:noProof/>
                <w:webHidden/>
              </w:rPr>
              <w:fldChar w:fldCharType="end"/>
            </w:r>
          </w:hyperlink>
        </w:p>
        <w:p w14:paraId="2FBED29E" w14:textId="77777777" w:rsidR="004527DC" w:rsidRDefault="00C8495B">
          <w:pPr>
            <w:pStyle w:val="TOC3"/>
            <w:tabs>
              <w:tab w:val="right" w:leader="dot" w:pos="9016"/>
            </w:tabs>
            <w:rPr>
              <w:noProof/>
              <w:lang w:val="en-AU" w:eastAsia="en-AU"/>
            </w:rPr>
          </w:pPr>
          <w:hyperlink w:anchor="_Toc2327871" w:history="1">
            <w:r w:rsidR="004527DC" w:rsidRPr="00EE1532">
              <w:rPr>
                <w:rStyle w:val="Hyperlink"/>
                <w:noProof/>
              </w:rPr>
              <w:t>Enterprise Agreement negotiations</w:t>
            </w:r>
            <w:r w:rsidR="004527DC">
              <w:rPr>
                <w:noProof/>
                <w:webHidden/>
              </w:rPr>
              <w:tab/>
            </w:r>
            <w:r w:rsidR="004527DC">
              <w:rPr>
                <w:noProof/>
                <w:webHidden/>
              </w:rPr>
              <w:fldChar w:fldCharType="begin"/>
            </w:r>
            <w:r w:rsidR="004527DC">
              <w:rPr>
                <w:noProof/>
                <w:webHidden/>
              </w:rPr>
              <w:instrText xml:space="preserve"> PAGEREF _Toc2327871 \h </w:instrText>
            </w:r>
            <w:r w:rsidR="004527DC">
              <w:rPr>
                <w:noProof/>
                <w:webHidden/>
              </w:rPr>
            </w:r>
            <w:r w:rsidR="004527DC">
              <w:rPr>
                <w:noProof/>
                <w:webHidden/>
              </w:rPr>
              <w:fldChar w:fldCharType="separate"/>
            </w:r>
            <w:r w:rsidR="004527DC">
              <w:rPr>
                <w:noProof/>
                <w:webHidden/>
              </w:rPr>
              <w:t>30</w:t>
            </w:r>
            <w:r w:rsidR="004527DC">
              <w:rPr>
                <w:noProof/>
                <w:webHidden/>
              </w:rPr>
              <w:fldChar w:fldCharType="end"/>
            </w:r>
          </w:hyperlink>
        </w:p>
        <w:p w14:paraId="46A2CD6B" w14:textId="77777777" w:rsidR="004527DC" w:rsidRDefault="00C8495B">
          <w:pPr>
            <w:pStyle w:val="TOC2"/>
            <w:tabs>
              <w:tab w:val="right" w:leader="dot" w:pos="9016"/>
            </w:tabs>
            <w:rPr>
              <w:noProof/>
              <w:lang w:val="en-AU" w:eastAsia="en-AU"/>
            </w:rPr>
          </w:pPr>
          <w:hyperlink w:anchor="_Toc2327872" w:history="1">
            <w:r w:rsidR="004527DC" w:rsidRPr="00EE1532">
              <w:rPr>
                <w:rStyle w:val="Hyperlink"/>
                <w:noProof/>
              </w:rPr>
              <w:t>Vehicle and parking arrangements</w:t>
            </w:r>
            <w:r w:rsidR="004527DC">
              <w:rPr>
                <w:noProof/>
                <w:webHidden/>
              </w:rPr>
              <w:tab/>
            </w:r>
            <w:r w:rsidR="004527DC">
              <w:rPr>
                <w:noProof/>
                <w:webHidden/>
              </w:rPr>
              <w:fldChar w:fldCharType="begin"/>
            </w:r>
            <w:r w:rsidR="004527DC">
              <w:rPr>
                <w:noProof/>
                <w:webHidden/>
              </w:rPr>
              <w:instrText xml:space="preserve"> PAGEREF _Toc2327872 \h </w:instrText>
            </w:r>
            <w:r w:rsidR="004527DC">
              <w:rPr>
                <w:noProof/>
                <w:webHidden/>
              </w:rPr>
            </w:r>
            <w:r w:rsidR="004527DC">
              <w:rPr>
                <w:noProof/>
                <w:webHidden/>
              </w:rPr>
              <w:fldChar w:fldCharType="separate"/>
            </w:r>
            <w:r w:rsidR="004527DC">
              <w:rPr>
                <w:noProof/>
                <w:webHidden/>
              </w:rPr>
              <w:t>32</w:t>
            </w:r>
            <w:r w:rsidR="004527DC">
              <w:rPr>
                <w:noProof/>
                <w:webHidden/>
              </w:rPr>
              <w:fldChar w:fldCharType="end"/>
            </w:r>
          </w:hyperlink>
        </w:p>
        <w:p w14:paraId="6EAF496D" w14:textId="77777777" w:rsidR="004527DC" w:rsidRDefault="00C8495B">
          <w:pPr>
            <w:pStyle w:val="TOC3"/>
            <w:tabs>
              <w:tab w:val="right" w:leader="dot" w:pos="9016"/>
            </w:tabs>
            <w:rPr>
              <w:noProof/>
              <w:lang w:val="en-AU" w:eastAsia="en-AU"/>
            </w:rPr>
          </w:pPr>
          <w:hyperlink w:anchor="_Toc2327873" w:history="1">
            <w:r w:rsidR="004527DC" w:rsidRPr="00EE1532">
              <w:rPr>
                <w:rStyle w:val="Hyperlink"/>
                <w:noProof/>
              </w:rPr>
              <w:t>Allowance in lieu of a vehicle</w:t>
            </w:r>
            <w:r w:rsidR="004527DC">
              <w:rPr>
                <w:noProof/>
                <w:webHidden/>
              </w:rPr>
              <w:tab/>
            </w:r>
            <w:r w:rsidR="004527DC">
              <w:rPr>
                <w:noProof/>
                <w:webHidden/>
              </w:rPr>
              <w:fldChar w:fldCharType="begin"/>
            </w:r>
            <w:r w:rsidR="004527DC">
              <w:rPr>
                <w:noProof/>
                <w:webHidden/>
              </w:rPr>
              <w:instrText xml:space="preserve"> PAGEREF _Toc2327873 \h </w:instrText>
            </w:r>
            <w:r w:rsidR="004527DC">
              <w:rPr>
                <w:noProof/>
                <w:webHidden/>
              </w:rPr>
            </w:r>
            <w:r w:rsidR="004527DC">
              <w:rPr>
                <w:noProof/>
                <w:webHidden/>
              </w:rPr>
              <w:fldChar w:fldCharType="separate"/>
            </w:r>
            <w:r w:rsidR="004527DC">
              <w:rPr>
                <w:noProof/>
                <w:webHidden/>
              </w:rPr>
              <w:t>32</w:t>
            </w:r>
            <w:r w:rsidR="004527DC">
              <w:rPr>
                <w:noProof/>
                <w:webHidden/>
              </w:rPr>
              <w:fldChar w:fldCharType="end"/>
            </w:r>
          </w:hyperlink>
        </w:p>
        <w:p w14:paraId="55A0C658" w14:textId="77777777" w:rsidR="004527DC" w:rsidRDefault="00C8495B">
          <w:pPr>
            <w:pStyle w:val="TOC3"/>
            <w:tabs>
              <w:tab w:val="right" w:leader="dot" w:pos="9016"/>
            </w:tabs>
            <w:rPr>
              <w:noProof/>
              <w:lang w:val="en-AU" w:eastAsia="en-AU"/>
            </w:rPr>
          </w:pPr>
          <w:hyperlink w:anchor="_Toc2327874" w:history="1">
            <w:r w:rsidR="004527DC" w:rsidRPr="00EE1532">
              <w:rPr>
                <w:rStyle w:val="Hyperlink"/>
                <w:noProof/>
              </w:rPr>
              <w:t>Car parking allowance</w:t>
            </w:r>
            <w:r w:rsidR="004527DC">
              <w:rPr>
                <w:noProof/>
                <w:webHidden/>
              </w:rPr>
              <w:tab/>
            </w:r>
            <w:r w:rsidR="004527DC">
              <w:rPr>
                <w:noProof/>
                <w:webHidden/>
              </w:rPr>
              <w:fldChar w:fldCharType="begin"/>
            </w:r>
            <w:r w:rsidR="004527DC">
              <w:rPr>
                <w:noProof/>
                <w:webHidden/>
              </w:rPr>
              <w:instrText xml:space="preserve"> PAGEREF _Toc2327874 \h </w:instrText>
            </w:r>
            <w:r w:rsidR="004527DC">
              <w:rPr>
                <w:noProof/>
                <w:webHidden/>
              </w:rPr>
            </w:r>
            <w:r w:rsidR="004527DC">
              <w:rPr>
                <w:noProof/>
                <w:webHidden/>
              </w:rPr>
              <w:fldChar w:fldCharType="separate"/>
            </w:r>
            <w:r w:rsidR="004527DC">
              <w:rPr>
                <w:noProof/>
                <w:webHidden/>
              </w:rPr>
              <w:t>33</w:t>
            </w:r>
            <w:r w:rsidR="004527DC">
              <w:rPr>
                <w:noProof/>
                <w:webHidden/>
              </w:rPr>
              <w:fldChar w:fldCharType="end"/>
            </w:r>
          </w:hyperlink>
        </w:p>
        <w:p w14:paraId="13E5FF9A" w14:textId="77777777" w:rsidR="004527DC" w:rsidRDefault="00C8495B">
          <w:pPr>
            <w:pStyle w:val="TOC2"/>
            <w:tabs>
              <w:tab w:val="right" w:leader="dot" w:pos="9016"/>
            </w:tabs>
            <w:rPr>
              <w:noProof/>
              <w:lang w:val="en-AU" w:eastAsia="en-AU"/>
            </w:rPr>
          </w:pPr>
          <w:hyperlink w:anchor="_Toc2327875" w:history="1">
            <w:r w:rsidR="004527DC" w:rsidRPr="00EE1532">
              <w:rPr>
                <w:rStyle w:val="Hyperlink"/>
                <w:noProof/>
              </w:rPr>
              <w:t>Fringe Benefit Tax</w:t>
            </w:r>
            <w:r w:rsidR="004527DC">
              <w:rPr>
                <w:noProof/>
                <w:webHidden/>
              </w:rPr>
              <w:tab/>
            </w:r>
            <w:r w:rsidR="004527DC">
              <w:rPr>
                <w:noProof/>
                <w:webHidden/>
              </w:rPr>
              <w:fldChar w:fldCharType="begin"/>
            </w:r>
            <w:r w:rsidR="004527DC">
              <w:rPr>
                <w:noProof/>
                <w:webHidden/>
              </w:rPr>
              <w:instrText xml:space="preserve"> PAGEREF _Toc2327875 \h </w:instrText>
            </w:r>
            <w:r w:rsidR="004527DC">
              <w:rPr>
                <w:noProof/>
                <w:webHidden/>
              </w:rPr>
            </w:r>
            <w:r w:rsidR="004527DC">
              <w:rPr>
                <w:noProof/>
                <w:webHidden/>
              </w:rPr>
              <w:fldChar w:fldCharType="separate"/>
            </w:r>
            <w:r w:rsidR="004527DC">
              <w:rPr>
                <w:noProof/>
                <w:webHidden/>
              </w:rPr>
              <w:t>34</w:t>
            </w:r>
            <w:r w:rsidR="004527DC">
              <w:rPr>
                <w:noProof/>
                <w:webHidden/>
              </w:rPr>
              <w:fldChar w:fldCharType="end"/>
            </w:r>
          </w:hyperlink>
        </w:p>
        <w:p w14:paraId="798B846B" w14:textId="77777777" w:rsidR="004527DC" w:rsidRDefault="00C8495B">
          <w:pPr>
            <w:pStyle w:val="TOC2"/>
            <w:tabs>
              <w:tab w:val="right" w:leader="dot" w:pos="9016"/>
            </w:tabs>
            <w:rPr>
              <w:noProof/>
              <w:lang w:val="en-AU" w:eastAsia="en-AU"/>
            </w:rPr>
          </w:pPr>
          <w:hyperlink w:anchor="_Toc2327876" w:history="1">
            <w:r w:rsidR="004527DC" w:rsidRPr="00EE1532">
              <w:rPr>
                <w:rStyle w:val="Hyperlink"/>
                <w:noProof/>
              </w:rPr>
              <w:t>Salary Packaging</w:t>
            </w:r>
            <w:r w:rsidR="004527DC">
              <w:rPr>
                <w:noProof/>
                <w:webHidden/>
              </w:rPr>
              <w:tab/>
            </w:r>
            <w:r w:rsidR="004527DC">
              <w:rPr>
                <w:noProof/>
                <w:webHidden/>
              </w:rPr>
              <w:fldChar w:fldCharType="begin"/>
            </w:r>
            <w:r w:rsidR="004527DC">
              <w:rPr>
                <w:noProof/>
                <w:webHidden/>
              </w:rPr>
              <w:instrText xml:space="preserve"> PAGEREF _Toc2327876 \h </w:instrText>
            </w:r>
            <w:r w:rsidR="004527DC">
              <w:rPr>
                <w:noProof/>
                <w:webHidden/>
              </w:rPr>
            </w:r>
            <w:r w:rsidR="004527DC">
              <w:rPr>
                <w:noProof/>
                <w:webHidden/>
              </w:rPr>
              <w:fldChar w:fldCharType="separate"/>
            </w:r>
            <w:r w:rsidR="004527DC">
              <w:rPr>
                <w:noProof/>
                <w:webHidden/>
              </w:rPr>
              <w:t>35</w:t>
            </w:r>
            <w:r w:rsidR="004527DC">
              <w:rPr>
                <w:noProof/>
                <w:webHidden/>
              </w:rPr>
              <w:fldChar w:fldCharType="end"/>
            </w:r>
          </w:hyperlink>
        </w:p>
        <w:p w14:paraId="7863F607" w14:textId="77777777" w:rsidR="004527DC" w:rsidRDefault="00C8495B">
          <w:pPr>
            <w:pStyle w:val="TOC2"/>
            <w:tabs>
              <w:tab w:val="right" w:leader="dot" w:pos="9016"/>
            </w:tabs>
            <w:rPr>
              <w:noProof/>
              <w:lang w:val="en-AU" w:eastAsia="en-AU"/>
            </w:rPr>
          </w:pPr>
          <w:hyperlink w:anchor="_Toc2327877" w:history="1">
            <w:r w:rsidR="004527DC" w:rsidRPr="00EE1532">
              <w:rPr>
                <w:rStyle w:val="Hyperlink"/>
                <w:noProof/>
              </w:rPr>
              <w:t>Relocation Allowance</w:t>
            </w:r>
            <w:r w:rsidR="004527DC">
              <w:rPr>
                <w:noProof/>
                <w:webHidden/>
              </w:rPr>
              <w:tab/>
            </w:r>
            <w:r w:rsidR="004527DC">
              <w:rPr>
                <w:noProof/>
                <w:webHidden/>
              </w:rPr>
              <w:fldChar w:fldCharType="begin"/>
            </w:r>
            <w:r w:rsidR="004527DC">
              <w:rPr>
                <w:noProof/>
                <w:webHidden/>
              </w:rPr>
              <w:instrText xml:space="preserve"> PAGEREF _Toc2327877 \h </w:instrText>
            </w:r>
            <w:r w:rsidR="004527DC">
              <w:rPr>
                <w:noProof/>
                <w:webHidden/>
              </w:rPr>
            </w:r>
            <w:r w:rsidR="004527DC">
              <w:rPr>
                <w:noProof/>
                <w:webHidden/>
              </w:rPr>
              <w:fldChar w:fldCharType="separate"/>
            </w:r>
            <w:r w:rsidR="004527DC">
              <w:rPr>
                <w:noProof/>
                <w:webHidden/>
              </w:rPr>
              <w:t>36</w:t>
            </w:r>
            <w:r w:rsidR="004527DC">
              <w:rPr>
                <w:noProof/>
                <w:webHidden/>
              </w:rPr>
              <w:fldChar w:fldCharType="end"/>
            </w:r>
          </w:hyperlink>
        </w:p>
        <w:p w14:paraId="2DE25FCF" w14:textId="77777777" w:rsidR="004527DC" w:rsidRDefault="00C8495B">
          <w:pPr>
            <w:pStyle w:val="TOC2"/>
            <w:tabs>
              <w:tab w:val="right" w:leader="dot" w:pos="9016"/>
            </w:tabs>
            <w:rPr>
              <w:noProof/>
              <w:lang w:val="en-AU" w:eastAsia="en-AU"/>
            </w:rPr>
          </w:pPr>
          <w:hyperlink w:anchor="_Toc2327878" w:history="1">
            <w:r w:rsidR="004527DC" w:rsidRPr="00EE1532">
              <w:rPr>
                <w:rStyle w:val="Hyperlink"/>
                <w:noProof/>
              </w:rPr>
              <w:t>Leave entitlements</w:t>
            </w:r>
            <w:r w:rsidR="004527DC">
              <w:rPr>
                <w:noProof/>
                <w:webHidden/>
              </w:rPr>
              <w:tab/>
            </w:r>
            <w:r w:rsidR="004527DC">
              <w:rPr>
                <w:noProof/>
                <w:webHidden/>
              </w:rPr>
              <w:fldChar w:fldCharType="begin"/>
            </w:r>
            <w:r w:rsidR="004527DC">
              <w:rPr>
                <w:noProof/>
                <w:webHidden/>
              </w:rPr>
              <w:instrText xml:space="preserve"> PAGEREF _Toc2327878 \h </w:instrText>
            </w:r>
            <w:r w:rsidR="004527DC">
              <w:rPr>
                <w:noProof/>
                <w:webHidden/>
              </w:rPr>
            </w:r>
            <w:r w:rsidR="004527DC">
              <w:rPr>
                <w:noProof/>
                <w:webHidden/>
              </w:rPr>
              <w:fldChar w:fldCharType="separate"/>
            </w:r>
            <w:r w:rsidR="004527DC">
              <w:rPr>
                <w:noProof/>
                <w:webHidden/>
              </w:rPr>
              <w:t>38</w:t>
            </w:r>
            <w:r w:rsidR="004527DC">
              <w:rPr>
                <w:noProof/>
                <w:webHidden/>
              </w:rPr>
              <w:fldChar w:fldCharType="end"/>
            </w:r>
          </w:hyperlink>
        </w:p>
        <w:p w14:paraId="60824603" w14:textId="77777777" w:rsidR="004527DC" w:rsidRDefault="00C8495B">
          <w:pPr>
            <w:pStyle w:val="TOC2"/>
            <w:tabs>
              <w:tab w:val="right" w:leader="dot" w:pos="9016"/>
            </w:tabs>
            <w:rPr>
              <w:noProof/>
              <w:lang w:val="en-AU" w:eastAsia="en-AU"/>
            </w:rPr>
          </w:pPr>
          <w:hyperlink w:anchor="_Toc2327879" w:history="1">
            <w:r w:rsidR="004527DC" w:rsidRPr="00EE1532">
              <w:rPr>
                <w:rStyle w:val="Hyperlink"/>
                <w:noProof/>
              </w:rPr>
              <w:t>Other entitlements</w:t>
            </w:r>
            <w:r w:rsidR="004527DC">
              <w:rPr>
                <w:noProof/>
                <w:webHidden/>
              </w:rPr>
              <w:tab/>
            </w:r>
            <w:r w:rsidR="004527DC">
              <w:rPr>
                <w:noProof/>
                <w:webHidden/>
              </w:rPr>
              <w:fldChar w:fldCharType="begin"/>
            </w:r>
            <w:r w:rsidR="004527DC">
              <w:rPr>
                <w:noProof/>
                <w:webHidden/>
              </w:rPr>
              <w:instrText xml:space="preserve"> PAGEREF _Toc2327879 \h </w:instrText>
            </w:r>
            <w:r w:rsidR="004527DC">
              <w:rPr>
                <w:noProof/>
                <w:webHidden/>
              </w:rPr>
            </w:r>
            <w:r w:rsidR="004527DC">
              <w:rPr>
                <w:noProof/>
                <w:webHidden/>
              </w:rPr>
              <w:fldChar w:fldCharType="separate"/>
            </w:r>
            <w:r w:rsidR="004527DC">
              <w:rPr>
                <w:noProof/>
                <w:webHidden/>
              </w:rPr>
              <w:t>38</w:t>
            </w:r>
            <w:r w:rsidR="004527DC">
              <w:rPr>
                <w:noProof/>
                <w:webHidden/>
              </w:rPr>
              <w:fldChar w:fldCharType="end"/>
            </w:r>
          </w:hyperlink>
        </w:p>
        <w:p w14:paraId="00C4DBAD" w14:textId="77777777" w:rsidR="004527DC" w:rsidRDefault="00C8495B">
          <w:pPr>
            <w:pStyle w:val="TOC2"/>
            <w:tabs>
              <w:tab w:val="right" w:leader="dot" w:pos="9016"/>
            </w:tabs>
            <w:rPr>
              <w:noProof/>
              <w:lang w:val="en-AU" w:eastAsia="en-AU"/>
            </w:rPr>
          </w:pPr>
          <w:hyperlink w:anchor="_Toc2327880" w:history="1">
            <w:r w:rsidR="004527DC" w:rsidRPr="00EE1532">
              <w:rPr>
                <w:rStyle w:val="Hyperlink"/>
                <w:noProof/>
              </w:rPr>
              <w:t>Travelling arrangements</w:t>
            </w:r>
            <w:r w:rsidR="004527DC">
              <w:rPr>
                <w:noProof/>
                <w:webHidden/>
              </w:rPr>
              <w:tab/>
            </w:r>
            <w:r w:rsidR="004527DC">
              <w:rPr>
                <w:noProof/>
                <w:webHidden/>
              </w:rPr>
              <w:fldChar w:fldCharType="begin"/>
            </w:r>
            <w:r w:rsidR="004527DC">
              <w:rPr>
                <w:noProof/>
                <w:webHidden/>
              </w:rPr>
              <w:instrText xml:space="preserve"> PAGEREF _Toc2327880 \h </w:instrText>
            </w:r>
            <w:r w:rsidR="004527DC">
              <w:rPr>
                <w:noProof/>
                <w:webHidden/>
              </w:rPr>
            </w:r>
            <w:r w:rsidR="004527DC">
              <w:rPr>
                <w:noProof/>
                <w:webHidden/>
              </w:rPr>
              <w:fldChar w:fldCharType="separate"/>
            </w:r>
            <w:r w:rsidR="004527DC">
              <w:rPr>
                <w:noProof/>
                <w:webHidden/>
              </w:rPr>
              <w:t>39</w:t>
            </w:r>
            <w:r w:rsidR="004527DC">
              <w:rPr>
                <w:noProof/>
                <w:webHidden/>
              </w:rPr>
              <w:fldChar w:fldCharType="end"/>
            </w:r>
          </w:hyperlink>
        </w:p>
        <w:p w14:paraId="1B2C359F" w14:textId="77777777" w:rsidR="004527DC" w:rsidRDefault="00C8495B">
          <w:pPr>
            <w:pStyle w:val="TOC2"/>
            <w:tabs>
              <w:tab w:val="right" w:leader="dot" w:pos="9016"/>
            </w:tabs>
            <w:rPr>
              <w:noProof/>
              <w:lang w:val="en-AU" w:eastAsia="en-AU"/>
            </w:rPr>
          </w:pPr>
          <w:hyperlink w:anchor="_Toc2327881" w:history="1">
            <w:r w:rsidR="004527DC" w:rsidRPr="00EE1532">
              <w:rPr>
                <w:rStyle w:val="Hyperlink"/>
                <w:noProof/>
              </w:rPr>
              <w:t>Training and professional development</w:t>
            </w:r>
            <w:r w:rsidR="004527DC">
              <w:rPr>
                <w:noProof/>
                <w:webHidden/>
              </w:rPr>
              <w:tab/>
            </w:r>
            <w:r w:rsidR="004527DC">
              <w:rPr>
                <w:noProof/>
                <w:webHidden/>
              </w:rPr>
              <w:fldChar w:fldCharType="begin"/>
            </w:r>
            <w:r w:rsidR="004527DC">
              <w:rPr>
                <w:noProof/>
                <w:webHidden/>
              </w:rPr>
              <w:instrText xml:space="preserve"> PAGEREF _Toc2327881 \h </w:instrText>
            </w:r>
            <w:r w:rsidR="004527DC">
              <w:rPr>
                <w:noProof/>
                <w:webHidden/>
              </w:rPr>
            </w:r>
            <w:r w:rsidR="004527DC">
              <w:rPr>
                <w:noProof/>
                <w:webHidden/>
              </w:rPr>
              <w:fldChar w:fldCharType="separate"/>
            </w:r>
            <w:r w:rsidR="004527DC">
              <w:rPr>
                <w:noProof/>
                <w:webHidden/>
              </w:rPr>
              <w:t>39</w:t>
            </w:r>
            <w:r w:rsidR="004527DC">
              <w:rPr>
                <w:noProof/>
                <w:webHidden/>
              </w:rPr>
              <w:fldChar w:fldCharType="end"/>
            </w:r>
          </w:hyperlink>
        </w:p>
        <w:p w14:paraId="0A11C9F7" w14:textId="77777777" w:rsidR="004527DC" w:rsidRDefault="00C8495B">
          <w:pPr>
            <w:pStyle w:val="TOC1"/>
            <w:rPr>
              <w:b w:val="0"/>
              <w:lang w:val="en-AU" w:eastAsia="en-AU"/>
            </w:rPr>
          </w:pPr>
          <w:hyperlink w:anchor="_Toc2327882" w:history="1">
            <w:r w:rsidR="004527DC" w:rsidRPr="00EE1532">
              <w:rPr>
                <w:rStyle w:val="Hyperlink"/>
              </w:rPr>
              <w:t>Next Steps and Further Action</w:t>
            </w:r>
            <w:r w:rsidR="004527DC">
              <w:rPr>
                <w:webHidden/>
              </w:rPr>
              <w:tab/>
            </w:r>
            <w:r w:rsidR="004527DC">
              <w:rPr>
                <w:webHidden/>
              </w:rPr>
              <w:fldChar w:fldCharType="begin"/>
            </w:r>
            <w:r w:rsidR="004527DC">
              <w:rPr>
                <w:webHidden/>
              </w:rPr>
              <w:instrText xml:space="preserve"> PAGEREF _Toc2327882 \h </w:instrText>
            </w:r>
            <w:r w:rsidR="004527DC">
              <w:rPr>
                <w:webHidden/>
              </w:rPr>
            </w:r>
            <w:r w:rsidR="004527DC">
              <w:rPr>
                <w:webHidden/>
              </w:rPr>
              <w:fldChar w:fldCharType="separate"/>
            </w:r>
            <w:r w:rsidR="004527DC">
              <w:rPr>
                <w:webHidden/>
              </w:rPr>
              <w:t>41</w:t>
            </w:r>
            <w:r w:rsidR="004527DC">
              <w:rPr>
                <w:webHidden/>
              </w:rPr>
              <w:fldChar w:fldCharType="end"/>
            </w:r>
          </w:hyperlink>
        </w:p>
        <w:p w14:paraId="162EBF58" w14:textId="17878A77" w:rsidR="00813E26" w:rsidRDefault="00D63D06" w:rsidP="00EE0CFC">
          <w:pPr>
            <w:pStyle w:val="TOC3"/>
            <w:tabs>
              <w:tab w:val="right" w:leader="dot" w:pos="9016"/>
            </w:tabs>
            <w:ind w:left="0"/>
            <w:rPr>
              <w:rFonts w:ascii="Calibri" w:eastAsia="MS Gothic" w:hAnsi="Calibri" w:cs="Times New Roman"/>
              <w:b/>
              <w:bCs/>
              <w:color w:val="345A8A"/>
              <w:sz w:val="32"/>
              <w:szCs w:val="32"/>
            </w:rPr>
          </w:pPr>
          <w:r>
            <w:rPr>
              <w:b/>
              <w:bCs/>
              <w:noProof/>
            </w:rPr>
            <w:lastRenderedPageBreak/>
            <w:fldChar w:fldCharType="end"/>
          </w:r>
        </w:p>
      </w:sdtContent>
    </w:sdt>
    <w:bookmarkStart w:id="5" w:name="_Toc490469493" w:displacedByCustomXml="prev"/>
    <w:p w14:paraId="1A5FBF11" w14:textId="56FD8EBB" w:rsidR="001C27A8" w:rsidRDefault="00F90F54" w:rsidP="00EE0CFC">
      <w:pPr>
        <w:pStyle w:val="Heading1"/>
        <w:spacing w:before="0" w:line="276" w:lineRule="auto"/>
      </w:pPr>
      <w:bookmarkStart w:id="6" w:name="_Toc2327851"/>
      <w:bookmarkEnd w:id="5"/>
      <w:r>
        <w:t>Introduction</w:t>
      </w:r>
      <w:r w:rsidR="00594FC1">
        <w:t xml:space="preserve"> and key findings</w:t>
      </w:r>
      <w:bookmarkStart w:id="7" w:name="_GoBack"/>
      <w:bookmarkEnd w:id="6"/>
      <w:bookmarkEnd w:id="7"/>
    </w:p>
    <w:p w14:paraId="293A7C86" w14:textId="3638E69A" w:rsidR="001735DA" w:rsidRDefault="001735DA" w:rsidP="001735DA">
      <w:pPr>
        <w:pStyle w:val="Heading2"/>
      </w:pPr>
      <w:bookmarkStart w:id="8" w:name="_Toc2327852"/>
      <w:r>
        <w:t>Introduction</w:t>
      </w:r>
      <w:bookmarkEnd w:id="8"/>
      <w:r>
        <w:t xml:space="preserve"> </w:t>
      </w:r>
    </w:p>
    <w:p w14:paraId="154F684D" w14:textId="28F9725D" w:rsidR="001F5001" w:rsidRDefault="001F5001" w:rsidP="001F5001">
      <w:pPr>
        <w:spacing w:before="120"/>
        <w:rPr>
          <w:rFonts w:ascii="Calibri" w:hAnsi="Calibri"/>
          <w:sz w:val="24"/>
          <w:szCs w:val="24"/>
        </w:rPr>
      </w:pPr>
      <w:r w:rsidRPr="000F59E2">
        <w:rPr>
          <w:rFonts w:ascii="Calibri" w:hAnsi="Calibri"/>
          <w:sz w:val="24"/>
          <w:szCs w:val="24"/>
        </w:rPr>
        <w:t xml:space="preserve">The Australian Capital Territory (ACT) Remuneration Tribunal (the Tribunal) is an independent body established </w:t>
      </w:r>
      <w:r>
        <w:rPr>
          <w:rFonts w:ascii="Calibri" w:hAnsi="Calibri"/>
          <w:sz w:val="24"/>
          <w:szCs w:val="24"/>
        </w:rPr>
        <w:t>under</w:t>
      </w:r>
      <w:r w:rsidRPr="000F59E2">
        <w:rPr>
          <w:rFonts w:ascii="Calibri" w:hAnsi="Calibri"/>
          <w:sz w:val="24"/>
          <w:szCs w:val="24"/>
        </w:rPr>
        <w:t xml:space="preserve"> the </w:t>
      </w:r>
      <w:hyperlink r:id="rId9" w:history="1">
        <w:r w:rsidRPr="000F59E2">
          <w:rPr>
            <w:rStyle w:val="Hyperlink"/>
            <w:rFonts w:ascii="Calibri" w:hAnsi="Calibri"/>
            <w:i/>
            <w:sz w:val="24"/>
            <w:szCs w:val="24"/>
          </w:rPr>
          <w:t>Remuneration Tribunal Act 1995</w:t>
        </w:r>
      </w:hyperlink>
      <w:r w:rsidRPr="000F59E2">
        <w:rPr>
          <w:rFonts w:ascii="Calibri" w:hAnsi="Calibri"/>
          <w:sz w:val="24"/>
          <w:szCs w:val="24"/>
        </w:rPr>
        <w:t xml:space="preserve"> (the Act), to determine remuneration, allowances and entitlements for ACT office holders, appointees and executives in the public service. </w:t>
      </w:r>
    </w:p>
    <w:p w14:paraId="47CF4102" w14:textId="41DC8701" w:rsidR="001F5001" w:rsidRPr="00953C29" w:rsidRDefault="001F5001" w:rsidP="001F5001">
      <w:pPr>
        <w:rPr>
          <w:rFonts w:ascii="Calibri" w:hAnsi="Calibri"/>
          <w:sz w:val="24"/>
          <w:szCs w:val="24"/>
        </w:rPr>
      </w:pPr>
      <w:r w:rsidRPr="00953C29">
        <w:rPr>
          <w:rFonts w:ascii="Calibri" w:hAnsi="Calibri"/>
          <w:sz w:val="24"/>
          <w:szCs w:val="24"/>
        </w:rPr>
        <w:t>The Tribunal is required to review remuneration, allowances and entitlements for certain positions within the ACT, including the Head of Service, Directors</w:t>
      </w:r>
      <w:r w:rsidRPr="00953C29">
        <w:rPr>
          <w:rFonts w:ascii="Calibri" w:hAnsi="Calibri"/>
          <w:sz w:val="24"/>
          <w:szCs w:val="24"/>
        </w:rPr>
        <w:noBreakHyphen/>
        <w:t xml:space="preserve">General and executives within the meaning of the </w:t>
      </w:r>
      <w:r w:rsidRPr="00953C29">
        <w:rPr>
          <w:rFonts w:ascii="Calibri" w:hAnsi="Calibri"/>
          <w:i/>
          <w:sz w:val="24"/>
          <w:szCs w:val="24"/>
        </w:rPr>
        <w:t>Public Sector Management Act 1994</w:t>
      </w:r>
      <w:r w:rsidR="00824DDD">
        <w:rPr>
          <w:rFonts w:ascii="Calibri" w:hAnsi="Calibri"/>
          <w:sz w:val="24"/>
          <w:szCs w:val="24"/>
        </w:rPr>
        <w:t xml:space="preserve"> (PSM Act)</w:t>
      </w:r>
      <w:r w:rsidRPr="00953C29">
        <w:rPr>
          <w:rFonts w:ascii="Calibri" w:hAnsi="Calibri"/>
          <w:sz w:val="24"/>
          <w:szCs w:val="24"/>
        </w:rPr>
        <w:t>, on an annual basis</w:t>
      </w:r>
      <w:r w:rsidRPr="00953C29">
        <w:rPr>
          <w:rStyle w:val="FootnoteReference"/>
          <w:rFonts w:ascii="Calibri" w:hAnsi="Calibri"/>
          <w:sz w:val="24"/>
          <w:szCs w:val="24"/>
        </w:rPr>
        <w:footnoteReference w:id="2"/>
      </w:r>
      <w:r w:rsidRPr="00953C29">
        <w:rPr>
          <w:rFonts w:ascii="Calibri" w:hAnsi="Calibri"/>
          <w:sz w:val="24"/>
          <w:szCs w:val="24"/>
        </w:rPr>
        <w:t>.</w:t>
      </w:r>
    </w:p>
    <w:p w14:paraId="48DF4558" w14:textId="1EE39EB0" w:rsidR="001F5001" w:rsidRPr="00953C29" w:rsidRDefault="001F5001" w:rsidP="001F5001">
      <w:pPr>
        <w:rPr>
          <w:rFonts w:ascii="Calibri" w:hAnsi="Calibri"/>
          <w:sz w:val="24"/>
          <w:szCs w:val="24"/>
        </w:rPr>
      </w:pPr>
      <w:r w:rsidRPr="00953C29">
        <w:rPr>
          <w:rFonts w:ascii="Calibri" w:hAnsi="Calibri"/>
          <w:sz w:val="24"/>
          <w:szCs w:val="24"/>
        </w:rPr>
        <w:t>The annual review of the Head of Service, Directors-General and executives remuneration, allowances and entitlements usually occurs at the Autumn Review (</w:t>
      </w:r>
      <w:r w:rsidR="00C96673">
        <w:rPr>
          <w:rFonts w:ascii="Calibri" w:hAnsi="Calibri"/>
          <w:sz w:val="24"/>
          <w:szCs w:val="24"/>
        </w:rPr>
        <w:t>February/</w:t>
      </w:r>
      <w:r w:rsidRPr="00953C29">
        <w:rPr>
          <w:rFonts w:ascii="Calibri" w:hAnsi="Calibri"/>
          <w:sz w:val="24"/>
          <w:szCs w:val="24"/>
        </w:rPr>
        <w:t xml:space="preserve">March each year), and relevant determinations generally </w:t>
      </w:r>
      <w:r w:rsidR="0045628F">
        <w:rPr>
          <w:rFonts w:ascii="Calibri" w:hAnsi="Calibri"/>
          <w:sz w:val="24"/>
          <w:szCs w:val="24"/>
        </w:rPr>
        <w:t>take</w:t>
      </w:r>
      <w:r w:rsidRPr="00953C29">
        <w:rPr>
          <w:rFonts w:ascii="Calibri" w:hAnsi="Calibri"/>
          <w:sz w:val="24"/>
          <w:szCs w:val="24"/>
        </w:rPr>
        <w:t xml:space="preserve"> effect on 1 July of that year.</w:t>
      </w:r>
    </w:p>
    <w:p w14:paraId="3041603F" w14:textId="7420F19A" w:rsidR="005670C0" w:rsidRPr="00BE7247" w:rsidRDefault="001F5001" w:rsidP="001735DA">
      <w:pPr>
        <w:rPr>
          <w:rFonts w:ascii="Calibri" w:hAnsi="Calibri"/>
          <w:sz w:val="24"/>
          <w:szCs w:val="24"/>
        </w:rPr>
      </w:pPr>
      <w:r w:rsidRPr="00BE7247">
        <w:rPr>
          <w:rFonts w:ascii="Calibri" w:hAnsi="Calibri"/>
          <w:sz w:val="24"/>
          <w:szCs w:val="24"/>
        </w:rPr>
        <w:t xml:space="preserve">The determination for the Head of Service, Directors-General and executives </w:t>
      </w:r>
      <w:r w:rsidR="00824DDD">
        <w:rPr>
          <w:rFonts w:ascii="Calibri" w:hAnsi="Calibri"/>
          <w:sz w:val="24"/>
          <w:szCs w:val="24"/>
        </w:rPr>
        <w:t xml:space="preserve">in place at the time of making this report </w:t>
      </w:r>
      <w:r w:rsidRPr="00BE7247">
        <w:rPr>
          <w:rFonts w:ascii="Calibri" w:hAnsi="Calibri"/>
          <w:sz w:val="24"/>
          <w:szCs w:val="24"/>
        </w:rPr>
        <w:t xml:space="preserve">is </w:t>
      </w:r>
      <w:hyperlink r:id="rId10" w:history="1">
        <w:r w:rsidR="00B26988" w:rsidRPr="00B26988">
          <w:rPr>
            <w:rStyle w:val="Hyperlink"/>
            <w:rFonts w:ascii="Calibri" w:hAnsi="Calibri"/>
            <w:sz w:val="24"/>
            <w:szCs w:val="24"/>
          </w:rPr>
          <w:t xml:space="preserve"> </w:t>
        </w:r>
        <w:r w:rsidRPr="00B26988">
          <w:rPr>
            <w:rStyle w:val="Hyperlink"/>
            <w:rFonts w:ascii="Calibri" w:hAnsi="Calibri"/>
            <w:sz w:val="24"/>
            <w:szCs w:val="24"/>
          </w:rPr>
          <w:t>Determination 9 of 2018</w:t>
        </w:r>
      </w:hyperlink>
      <w:r w:rsidRPr="00BE7247">
        <w:rPr>
          <w:rFonts w:ascii="Calibri" w:hAnsi="Calibri"/>
          <w:sz w:val="24"/>
          <w:szCs w:val="24"/>
        </w:rPr>
        <w:t>, effective from 1 July 201</w:t>
      </w:r>
      <w:r w:rsidR="008365ED" w:rsidRPr="00BE7247">
        <w:rPr>
          <w:rFonts w:ascii="Calibri" w:hAnsi="Calibri"/>
          <w:sz w:val="24"/>
          <w:szCs w:val="24"/>
        </w:rPr>
        <w:t>8</w:t>
      </w:r>
      <w:r w:rsidR="00B26988">
        <w:rPr>
          <w:rFonts w:ascii="Calibri" w:hAnsi="Calibri"/>
          <w:sz w:val="24"/>
          <w:szCs w:val="24"/>
        </w:rPr>
        <w:t xml:space="preserve">, and is provided at </w:t>
      </w:r>
      <w:r w:rsidR="00B26988" w:rsidRPr="00B26988">
        <w:rPr>
          <w:rFonts w:ascii="Calibri" w:hAnsi="Calibri"/>
          <w:sz w:val="24"/>
          <w:szCs w:val="24"/>
          <w:u w:val="single"/>
        </w:rPr>
        <w:t>Attachment A</w:t>
      </w:r>
      <w:r w:rsidR="00B26988" w:rsidRPr="0033150F">
        <w:rPr>
          <w:rFonts w:ascii="Calibri" w:hAnsi="Calibri"/>
          <w:sz w:val="24"/>
          <w:szCs w:val="24"/>
        </w:rPr>
        <w:t>.</w:t>
      </w:r>
      <w:r w:rsidR="00963BBB" w:rsidRPr="00784975">
        <w:rPr>
          <w:rFonts w:ascii="Calibri" w:hAnsi="Calibri"/>
          <w:sz w:val="24"/>
          <w:szCs w:val="24"/>
        </w:rPr>
        <w:t xml:space="preserve"> </w:t>
      </w:r>
      <w:r w:rsidR="00F5713F" w:rsidRPr="00784975">
        <w:rPr>
          <w:rFonts w:ascii="Calibri" w:hAnsi="Calibri"/>
          <w:sz w:val="24"/>
          <w:szCs w:val="24"/>
        </w:rPr>
        <w:t xml:space="preserve">The Tribunal </w:t>
      </w:r>
      <w:r w:rsidR="00E2551D">
        <w:rPr>
          <w:rFonts w:ascii="Calibri" w:hAnsi="Calibri"/>
          <w:sz w:val="24"/>
          <w:szCs w:val="24"/>
        </w:rPr>
        <w:t>has</w:t>
      </w:r>
      <w:r w:rsidR="00F5713F" w:rsidRPr="00784975">
        <w:rPr>
          <w:rFonts w:ascii="Calibri" w:hAnsi="Calibri"/>
          <w:sz w:val="24"/>
          <w:szCs w:val="24"/>
        </w:rPr>
        <w:t xml:space="preserve"> release</w:t>
      </w:r>
      <w:r w:rsidR="00E2551D">
        <w:rPr>
          <w:rFonts w:ascii="Calibri" w:hAnsi="Calibri"/>
          <w:sz w:val="24"/>
          <w:szCs w:val="24"/>
        </w:rPr>
        <w:t>d</w:t>
      </w:r>
      <w:r w:rsidR="00F5713F" w:rsidRPr="00784975">
        <w:rPr>
          <w:rFonts w:ascii="Calibri" w:hAnsi="Calibri"/>
          <w:sz w:val="24"/>
          <w:szCs w:val="24"/>
        </w:rPr>
        <w:t xml:space="preserve"> its 2019 Determination at the same time as </w:t>
      </w:r>
      <w:r w:rsidR="00E2551D">
        <w:rPr>
          <w:rFonts w:ascii="Calibri" w:hAnsi="Calibri"/>
          <w:sz w:val="24"/>
          <w:szCs w:val="24"/>
        </w:rPr>
        <w:t xml:space="preserve">issuing </w:t>
      </w:r>
      <w:r w:rsidR="00F5713F" w:rsidRPr="00784975">
        <w:rPr>
          <w:rFonts w:ascii="Calibri" w:hAnsi="Calibri"/>
          <w:sz w:val="24"/>
          <w:szCs w:val="24"/>
        </w:rPr>
        <w:t>this report.</w:t>
      </w:r>
      <w:r w:rsidR="00824DDD">
        <w:rPr>
          <w:rFonts w:ascii="Calibri" w:hAnsi="Calibri"/>
          <w:sz w:val="24"/>
          <w:szCs w:val="24"/>
        </w:rPr>
        <w:t xml:space="preserve"> This Determination will take effect on 1 July 2019.</w:t>
      </w:r>
    </w:p>
    <w:p w14:paraId="7EF1230C" w14:textId="611E20F8" w:rsidR="001735DA" w:rsidRDefault="001735DA" w:rsidP="001735DA">
      <w:pPr>
        <w:pStyle w:val="Heading2"/>
      </w:pPr>
      <w:bookmarkStart w:id="9" w:name="_Toc2327853"/>
      <w:r>
        <w:t>About the Review</w:t>
      </w:r>
      <w:bookmarkEnd w:id="9"/>
      <w:r>
        <w:t xml:space="preserve">  </w:t>
      </w:r>
    </w:p>
    <w:p w14:paraId="57162089" w14:textId="1FFE8B6B" w:rsidR="005670C0" w:rsidRDefault="005670C0" w:rsidP="005670C0">
      <w:pPr>
        <w:spacing w:before="120"/>
        <w:rPr>
          <w:rFonts w:ascii="Calibri" w:hAnsi="Calibri"/>
          <w:i/>
          <w:sz w:val="24"/>
          <w:szCs w:val="24"/>
        </w:rPr>
      </w:pPr>
      <w:r w:rsidRPr="005F60FA">
        <w:rPr>
          <w:rFonts w:ascii="Calibri" w:hAnsi="Calibri"/>
          <w:sz w:val="24"/>
          <w:szCs w:val="24"/>
        </w:rPr>
        <w:t>As part of its annual Autumn Review in February 2017, the Tribunal decided to undertake a major review of ACT Public Service</w:t>
      </w:r>
      <w:r>
        <w:rPr>
          <w:rFonts w:ascii="Calibri" w:hAnsi="Calibri"/>
          <w:sz w:val="24"/>
          <w:szCs w:val="24"/>
        </w:rPr>
        <w:t xml:space="preserve"> (ACTPS)</w:t>
      </w:r>
      <w:r w:rsidRPr="005F60FA">
        <w:rPr>
          <w:rFonts w:ascii="Calibri" w:hAnsi="Calibri"/>
          <w:sz w:val="24"/>
          <w:szCs w:val="24"/>
        </w:rPr>
        <w:t xml:space="preserve"> </w:t>
      </w:r>
      <w:r w:rsidR="00C96673">
        <w:rPr>
          <w:rFonts w:ascii="Calibri" w:hAnsi="Calibri"/>
          <w:sz w:val="24"/>
          <w:szCs w:val="24"/>
        </w:rPr>
        <w:t>Senior E</w:t>
      </w:r>
      <w:r w:rsidR="00C96673" w:rsidRPr="005F60FA">
        <w:rPr>
          <w:rFonts w:ascii="Calibri" w:hAnsi="Calibri"/>
          <w:sz w:val="24"/>
          <w:szCs w:val="24"/>
        </w:rPr>
        <w:t>xecutive</w:t>
      </w:r>
      <w:r w:rsidR="00C96673">
        <w:rPr>
          <w:rFonts w:ascii="Calibri" w:hAnsi="Calibri"/>
          <w:sz w:val="24"/>
          <w:szCs w:val="24"/>
        </w:rPr>
        <w:t xml:space="preserve"> Service (SES)</w:t>
      </w:r>
      <w:r w:rsidR="00C96673" w:rsidRPr="005F60FA">
        <w:rPr>
          <w:rFonts w:ascii="Calibri" w:hAnsi="Calibri"/>
          <w:sz w:val="24"/>
          <w:szCs w:val="24"/>
        </w:rPr>
        <w:t xml:space="preserve"> </w:t>
      </w:r>
      <w:r w:rsidRPr="005F60FA">
        <w:rPr>
          <w:rFonts w:ascii="Calibri" w:hAnsi="Calibri"/>
          <w:sz w:val="24"/>
          <w:szCs w:val="24"/>
        </w:rPr>
        <w:t>remuneration, allowances and other entitlements to determine whether the current arrangements achieve the flexibility and transparency to attract and retain highly qualified, skilled and experienced people.</w:t>
      </w:r>
      <w:r>
        <w:rPr>
          <w:rFonts w:ascii="Calibri" w:hAnsi="Calibri"/>
          <w:sz w:val="24"/>
          <w:szCs w:val="24"/>
        </w:rPr>
        <w:t xml:space="preserve"> The Tribunal </w:t>
      </w:r>
      <w:r w:rsidR="005001BE">
        <w:rPr>
          <w:rFonts w:ascii="Calibri" w:hAnsi="Calibri"/>
          <w:sz w:val="24"/>
          <w:szCs w:val="24"/>
        </w:rPr>
        <w:t xml:space="preserve">is of the view that </w:t>
      </w:r>
      <w:r>
        <w:rPr>
          <w:rFonts w:ascii="Calibri" w:hAnsi="Calibri"/>
          <w:sz w:val="24"/>
          <w:szCs w:val="24"/>
        </w:rPr>
        <w:t xml:space="preserve">the executive remuneration, allowances and other entitlements </w:t>
      </w:r>
      <w:r w:rsidR="00EE5EC8">
        <w:rPr>
          <w:rFonts w:ascii="Calibri" w:hAnsi="Calibri"/>
          <w:sz w:val="24"/>
          <w:szCs w:val="24"/>
        </w:rPr>
        <w:t>must</w:t>
      </w:r>
      <w:r w:rsidR="005001BE">
        <w:rPr>
          <w:rFonts w:ascii="Calibri" w:hAnsi="Calibri"/>
          <w:sz w:val="24"/>
          <w:szCs w:val="24"/>
        </w:rPr>
        <w:t xml:space="preserve"> </w:t>
      </w:r>
      <w:r>
        <w:rPr>
          <w:rFonts w:ascii="Calibri" w:hAnsi="Calibri"/>
          <w:sz w:val="24"/>
          <w:szCs w:val="24"/>
        </w:rPr>
        <w:t xml:space="preserve">be </w:t>
      </w:r>
      <w:r w:rsidR="0040752F">
        <w:rPr>
          <w:rFonts w:ascii="Calibri" w:hAnsi="Calibri"/>
          <w:sz w:val="24"/>
          <w:szCs w:val="24"/>
        </w:rPr>
        <w:t>competitive</w:t>
      </w:r>
      <w:r w:rsidR="003359E0">
        <w:rPr>
          <w:rFonts w:ascii="Calibri" w:hAnsi="Calibri"/>
          <w:sz w:val="24"/>
          <w:szCs w:val="24"/>
        </w:rPr>
        <w:t xml:space="preserve"> </w:t>
      </w:r>
      <w:r w:rsidR="0040752F">
        <w:rPr>
          <w:rFonts w:ascii="Calibri" w:hAnsi="Calibri"/>
          <w:sz w:val="24"/>
          <w:szCs w:val="24"/>
        </w:rPr>
        <w:t>enough to</w:t>
      </w:r>
      <w:r>
        <w:rPr>
          <w:rFonts w:ascii="Calibri" w:hAnsi="Calibri"/>
          <w:sz w:val="24"/>
          <w:szCs w:val="24"/>
        </w:rPr>
        <w:t xml:space="preserve"> attract and retain quality professionals. ACTPS executives include</w:t>
      </w:r>
      <w:r w:rsidR="00C96673">
        <w:rPr>
          <w:rFonts w:ascii="Calibri" w:hAnsi="Calibri"/>
          <w:sz w:val="24"/>
          <w:szCs w:val="24"/>
        </w:rPr>
        <w:t>s</w:t>
      </w:r>
      <w:r>
        <w:rPr>
          <w:rFonts w:ascii="Calibri" w:hAnsi="Calibri"/>
          <w:sz w:val="24"/>
          <w:szCs w:val="24"/>
        </w:rPr>
        <w:t xml:space="preserve"> the Head </w:t>
      </w:r>
      <w:r w:rsidR="008A5E52">
        <w:rPr>
          <w:rFonts w:ascii="Calibri" w:hAnsi="Calibri"/>
          <w:sz w:val="24"/>
          <w:szCs w:val="24"/>
        </w:rPr>
        <w:t xml:space="preserve">of </w:t>
      </w:r>
      <w:r>
        <w:rPr>
          <w:rFonts w:ascii="Calibri" w:hAnsi="Calibri"/>
          <w:sz w:val="24"/>
          <w:szCs w:val="24"/>
        </w:rPr>
        <w:t>Service, Directors-General and other executives under the</w:t>
      </w:r>
      <w:r w:rsidR="00824DDD">
        <w:rPr>
          <w:rFonts w:ascii="Calibri" w:hAnsi="Calibri"/>
          <w:sz w:val="24"/>
          <w:szCs w:val="24"/>
        </w:rPr>
        <w:t xml:space="preserve"> PSM Act</w:t>
      </w:r>
      <w:r>
        <w:rPr>
          <w:rFonts w:ascii="Calibri" w:hAnsi="Calibri"/>
          <w:i/>
          <w:sz w:val="24"/>
          <w:szCs w:val="24"/>
        </w:rPr>
        <w:t>.</w:t>
      </w:r>
    </w:p>
    <w:p w14:paraId="5B7741A4" w14:textId="033742C5" w:rsidR="00594FC1" w:rsidRPr="00DF4362" w:rsidRDefault="00594FC1" w:rsidP="005670C0">
      <w:pPr>
        <w:spacing w:before="120"/>
        <w:rPr>
          <w:rFonts w:ascii="Calibri" w:hAnsi="Calibri"/>
          <w:sz w:val="24"/>
          <w:szCs w:val="24"/>
        </w:rPr>
      </w:pPr>
      <w:r>
        <w:rPr>
          <w:rFonts w:ascii="Calibri" w:hAnsi="Calibri"/>
          <w:sz w:val="24"/>
          <w:szCs w:val="24"/>
        </w:rPr>
        <w:t xml:space="preserve">As such, this review is solely </w:t>
      </w:r>
      <w:r w:rsidR="00B91F4F">
        <w:rPr>
          <w:rFonts w:ascii="Calibri" w:hAnsi="Calibri"/>
          <w:sz w:val="24"/>
          <w:szCs w:val="24"/>
        </w:rPr>
        <w:t>about</w:t>
      </w:r>
      <w:r w:rsidR="00125C64">
        <w:rPr>
          <w:rFonts w:ascii="Calibri" w:hAnsi="Calibri"/>
          <w:sz w:val="24"/>
          <w:szCs w:val="24"/>
        </w:rPr>
        <w:t xml:space="preserve"> the remuneration, allowances and other entitlements for </w:t>
      </w:r>
      <w:r w:rsidR="00205F4F">
        <w:rPr>
          <w:rFonts w:ascii="Calibri" w:hAnsi="Calibri"/>
          <w:sz w:val="24"/>
          <w:szCs w:val="24"/>
        </w:rPr>
        <w:t xml:space="preserve">the </w:t>
      </w:r>
      <w:r w:rsidR="00125C64">
        <w:rPr>
          <w:rFonts w:ascii="Calibri" w:hAnsi="Calibri"/>
          <w:sz w:val="24"/>
          <w:szCs w:val="24"/>
        </w:rPr>
        <w:t xml:space="preserve">SES and does not pertain to any other positions within the Tribunal’s remit. </w:t>
      </w:r>
    </w:p>
    <w:p w14:paraId="06EB04D6" w14:textId="675FA1F9" w:rsidR="005670C0" w:rsidRPr="00BE7247" w:rsidRDefault="005670C0" w:rsidP="005670C0">
      <w:pPr>
        <w:spacing w:before="120"/>
        <w:rPr>
          <w:rFonts w:ascii="Calibri" w:hAnsi="Calibri"/>
          <w:sz w:val="24"/>
          <w:szCs w:val="24"/>
        </w:rPr>
      </w:pPr>
      <w:r w:rsidRPr="00BE7247">
        <w:rPr>
          <w:rFonts w:ascii="Calibri" w:hAnsi="Calibri"/>
          <w:sz w:val="24"/>
          <w:szCs w:val="24"/>
        </w:rPr>
        <w:t xml:space="preserve">This is the first major review of the remuneration, allowances and other entitlements of ACTPS executives since self-government in 1989. An evaluative review is both timely and </w:t>
      </w:r>
      <w:r w:rsidRPr="00BE7247">
        <w:rPr>
          <w:rFonts w:ascii="Calibri" w:hAnsi="Calibri"/>
          <w:sz w:val="24"/>
          <w:szCs w:val="24"/>
        </w:rPr>
        <w:lastRenderedPageBreak/>
        <w:t xml:space="preserve">necessary to assess whether the current methods used to make determinations and the current remuneration for executives </w:t>
      </w:r>
      <w:r w:rsidR="00CC48AA" w:rsidRPr="00BE7247">
        <w:rPr>
          <w:rFonts w:ascii="Calibri" w:hAnsi="Calibri"/>
          <w:sz w:val="24"/>
          <w:szCs w:val="24"/>
        </w:rPr>
        <w:t>continue to be fit for purpose</w:t>
      </w:r>
      <w:r w:rsidR="00BE7247" w:rsidRPr="00BE7247">
        <w:rPr>
          <w:rFonts w:ascii="Calibri" w:hAnsi="Calibri"/>
          <w:sz w:val="24"/>
          <w:szCs w:val="24"/>
        </w:rPr>
        <w:t>.</w:t>
      </w:r>
    </w:p>
    <w:p w14:paraId="3F92D5D8" w14:textId="4CA4CDEE" w:rsidR="001D19E3" w:rsidRDefault="005670C0" w:rsidP="0050318B">
      <w:pPr>
        <w:keepLines/>
        <w:spacing w:before="120"/>
        <w:rPr>
          <w:rFonts w:ascii="Calibri" w:hAnsi="Calibri"/>
          <w:sz w:val="24"/>
          <w:szCs w:val="24"/>
        </w:rPr>
      </w:pPr>
      <w:r w:rsidRPr="00AC2BA1">
        <w:rPr>
          <w:rFonts w:ascii="Calibri" w:hAnsi="Calibri"/>
          <w:sz w:val="24"/>
          <w:szCs w:val="24"/>
        </w:rPr>
        <w:t>The Review commenced in September 2017 with the release of a discussion paper</w:t>
      </w:r>
      <w:r w:rsidR="00AC2BA1" w:rsidRPr="00AC2BA1">
        <w:rPr>
          <w:rFonts w:ascii="Calibri" w:hAnsi="Calibri"/>
          <w:sz w:val="24"/>
          <w:szCs w:val="24"/>
        </w:rPr>
        <w:t>, which was advertised in the Canberra Times and provided to Directors-General for distribut</w:t>
      </w:r>
      <w:r w:rsidR="00445933">
        <w:rPr>
          <w:rFonts w:ascii="Calibri" w:hAnsi="Calibri"/>
          <w:sz w:val="24"/>
          <w:szCs w:val="24"/>
        </w:rPr>
        <w:t>ion</w:t>
      </w:r>
      <w:r w:rsidR="00AC2BA1" w:rsidRPr="00AC2BA1">
        <w:rPr>
          <w:rFonts w:ascii="Calibri" w:hAnsi="Calibri"/>
          <w:sz w:val="24"/>
          <w:szCs w:val="24"/>
        </w:rPr>
        <w:t xml:space="preserve"> to key stakeholders</w:t>
      </w:r>
      <w:r w:rsidR="00FB650A" w:rsidRPr="00AC2BA1">
        <w:rPr>
          <w:rFonts w:ascii="Calibri" w:hAnsi="Calibri"/>
          <w:sz w:val="24"/>
          <w:szCs w:val="24"/>
        </w:rPr>
        <w:t xml:space="preserve">. </w:t>
      </w:r>
      <w:r w:rsidR="00B26988" w:rsidRPr="00AC2BA1">
        <w:rPr>
          <w:rFonts w:ascii="Calibri" w:hAnsi="Calibri"/>
          <w:sz w:val="24"/>
          <w:szCs w:val="24"/>
        </w:rPr>
        <w:t>This final report should be read in conjunction with the</w:t>
      </w:r>
      <w:r w:rsidR="00646540">
        <w:rPr>
          <w:rFonts w:ascii="Calibri" w:hAnsi="Calibri"/>
          <w:sz w:val="24"/>
          <w:szCs w:val="24"/>
        </w:rPr>
        <w:t xml:space="preserve"> Tribunal’s D</w:t>
      </w:r>
      <w:r w:rsidR="00646540" w:rsidRPr="00AC2BA1">
        <w:rPr>
          <w:rFonts w:ascii="Calibri" w:hAnsi="Calibri"/>
          <w:sz w:val="24"/>
          <w:szCs w:val="24"/>
        </w:rPr>
        <w:t xml:space="preserve">iscussion </w:t>
      </w:r>
      <w:r w:rsidR="00646540">
        <w:rPr>
          <w:rFonts w:ascii="Calibri" w:hAnsi="Calibri"/>
          <w:sz w:val="24"/>
          <w:szCs w:val="24"/>
        </w:rPr>
        <w:t>P</w:t>
      </w:r>
      <w:r w:rsidR="00646540" w:rsidRPr="00AC2BA1">
        <w:rPr>
          <w:rFonts w:ascii="Calibri" w:hAnsi="Calibri"/>
          <w:sz w:val="24"/>
          <w:szCs w:val="24"/>
        </w:rPr>
        <w:t>aper</w:t>
      </w:r>
      <w:r w:rsidR="00457455">
        <w:rPr>
          <w:rFonts w:ascii="Calibri" w:hAnsi="Calibri"/>
          <w:sz w:val="24"/>
          <w:szCs w:val="24"/>
        </w:rPr>
        <w:t>, which is</w:t>
      </w:r>
      <w:r w:rsidR="00646540">
        <w:rPr>
          <w:rFonts w:ascii="Calibri" w:hAnsi="Calibri"/>
          <w:sz w:val="24"/>
          <w:szCs w:val="24"/>
        </w:rPr>
        <w:t xml:space="preserve"> </w:t>
      </w:r>
      <w:r w:rsidR="00445933">
        <w:rPr>
          <w:rFonts w:ascii="Calibri" w:hAnsi="Calibri"/>
          <w:sz w:val="24"/>
          <w:szCs w:val="24"/>
        </w:rPr>
        <w:t>available on the Tribunal’s website</w:t>
      </w:r>
      <w:r w:rsidR="00AC2BA1">
        <w:rPr>
          <w:rFonts w:ascii="Calibri" w:hAnsi="Calibri"/>
          <w:sz w:val="24"/>
          <w:szCs w:val="24"/>
        </w:rPr>
        <w:t xml:space="preserve">. </w:t>
      </w:r>
    </w:p>
    <w:p w14:paraId="012529C9" w14:textId="4CE695CD" w:rsidR="005670C0" w:rsidRDefault="001D19E3" w:rsidP="005670C0">
      <w:pPr>
        <w:spacing w:before="120"/>
        <w:rPr>
          <w:rFonts w:ascii="Calibri" w:hAnsi="Calibri"/>
          <w:sz w:val="24"/>
          <w:szCs w:val="24"/>
        </w:rPr>
      </w:pPr>
      <w:r>
        <w:rPr>
          <w:rFonts w:ascii="Calibri" w:hAnsi="Calibri"/>
          <w:sz w:val="24"/>
          <w:szCs w:val="24"/>
        </w:rPr>
        <w:t>The Tribunal hosted a workshop with executives to gain their perspectives on existing remuneration, allowances and other entitlements and any new incentives that could be introduced to attract and retain high performing professionals in the ACTPS.</w:t>
      </w:r>
      <w:r w:rsidR="00436ED1">
        <w:rPr>
          <w:rFonts w:ascii="Calibri" w:hAnsi="Calibri"/>
          <w:sz w:val="24"/>
          <w:szCs w:val="24"/>
        </w:rPr>
        <w:t xml:space="preserve"> The Tribunal also met with the ACTPS Strategic Board</w:t>
      </w:r>
      <w:r w:rsidR="0046088A">
        <w:rPr>
          <w:rFonts w:ascii="Calibri" w:hAnsi="Calibri"/>
          <w:sz w:val="24"/>
          <w:szCs w:val="24"/>
        </w:rPr>
        <w:t>, made up of all Directors-General and</w:t>
      </w:r>
      <w:r w:rsidR="00436ED1">
        <w:rPr>
          <w:rFonts w:ascii="Calibri" w:hAnsi="Calibri"/>
          <w:sz w:val="24"/>
          <w:szCs w:val="24"/>
        </w:rPr>
        <w:t xml:space="preserve"> chaired by the Head of Service.</w:t>
      </w:r>
    </w:p>
    <w:p w14:paraId="1DCA1F47" w14:textId="479B2156" w:rsidR="00235BA5" w:rsidRDefault="00235BA5" w:rsidP="00235BA5">
      <w:pPr>
        <w:spacing w:before="120"/>
        <w:rPr>
          <w:rFonts w:ascii="Calibri" w:hAnsi="Calibri"/>
          <w:sz w:val="24"/>
          <w:szCs w:val="24"/>
        </w:rPr>
      </w:pPr>
      <w:r>
        <w:rPr>
          <w:rFonts w:ascii="Calibri" w:hAnsi="Calibri"/>
          <w:sz w:val="24"/>
          <w:szCs w:val="24"/>
        </w:rPr>
        <w:t xml:space="preserve">As part of the review, the Tribunal considered the structures and arrangements in place across other jurisdictions, as well as other developments in the ACTPS. Alongside this review, in July 2018, the Government </w:t>
      </w:r>
      <w:r w:rsidRPr="003359E0">
        <w:rPr>
          <w:rFonts w:ascii="Calibri" w:hAnsi="Calibri"/>
          <w:sz w:val="24"/>
          <w:szCs w:val="24"/>
        </w:rPr>
        <w:t>introduce</w:t>
      </w:r>
      <w:r w:rsidR="00C6531E">
        <w:rPr>
          <w:rFonts w:ascii="Calibri" w:hAnsi="Calibri"/>
          <w:sz w:val="24"/>
          <w:szCs w:val="24"/>
        </w:rPr>
        <w:t>d</w:t>
      </w:r>
      <w:r w:rsidRPr="003359E0">
        <w:rPr>
          <w:rFonts w:ascii="Calibri" w:hAnsi="Calibri"/>
          <w:sz w:val="24"/>
          <w:szCs w:val="24"/>
        </w:rPr>
        <w:t xml:space="preserve"> a new four</w:t>
      </w:r>
      <w:r w:rsidR="00B60618">
        <w:rPr>
          <w:rFonts w:ascii="Calibri" w:hAnsi="Calibri"/>
          <w:sz w:val="24"/>
          <w:szCs w:val="24"/>
        </w:rPr>
        <w:t>-</w:t>
      </w:r>
      <w:r w:rsidRPr="003359E0">
        <w:rPr>
          <w:rFonts w:ascii="Calibri" w:hAnsi="Calibri"/>
          <w:sz w:val="24"/>
          <w:szCs w:val="24"/>
        </w:rPr>
        <w:t>band executive classification structure</w:t>
      </w:r>
      <w:r>
        <w:rPr>
          <w:rFonts w:ascii="Calibri" w:hAnsi="Calibri"/>
          <w:sz w:val="24"/>
          <w:szCs w:val="24"/>
        </w:rPr>
        <w:t xml:space="preserve"> which</w:t>
      </w:r>
      <w:r w:rsidRPr="003359E0">
        <w:rPr>
          <w:rFonts w:ascii="Calibri" w:hAnsi="Calibri"/>
          <w:sz w:val="24"/>
          <w:szCs w:val="24"/>
        </w:rPr>
        <w:t xml:space="preserve"> aligns the ACTPS with most other jurisdictions including the </w:t>
      </w:r>
      <w:r w:rsidR="000706E9">
        <w:rPr>
          <w:rFonts w:ascii="Calibri" w:hAnsi="Calibri"/>
          <w:sz w:val="24"/>
          <w:szCs w:val="24"/>
        </w:rPr>
        <w:t>Australian Public Service (</w:t>
      </w:r>
      <w:r w:rsidRPr="003359E0">
        <w:rPr>
          <w:rFonts w:ascii="Calibri" w:hAnsi="Calibri"/>
          <w:sz w:val="24"/>
          <w:szCs w:val="24"/>
        </w:rPr>
        <w:t>APS</w:t>
      </w:r>
      <w:r w:rsidR="000706E9">
        <w:rPr>
          <w:rFonts w:ascii="Calibri" w:hAnsi="Calibri"/>
          <w:sz w:val="24"/>
          <w:szCs w:val="24"/>
        </w:rPr>
        <w:t>)</w:t>
      </w:r>
      <w:r w:rsidRPr="003359E0">
        <w:rPr>
          <w:rFonts w:ascii="Calibri" w:hAnsi="Calibri"/>
          <w:sz w:val="24"/>
          <w:szCs w:val="24"/>
        </w:rPr>
        <w:t>, New South Wales</w:t>
      </w:r>
      <w:r w:rsidR="003F3C5F">
        <w:rPr>
          <w:rFonts w:ascii="Calibri" w:hAnsi="Calibri"/>
          <w:sz w:val="24"/>
          <w:szCs w:val="24"/>
        </w:rPr>
        <w:t xml:space="preserve"> (NSW)</w:t>
      </w:r>
      <w:r w:rsidRPr="003359E0">
        <w:rPr>
          <w:rFonts w:ascii="Calibri" w:hAnsi="Calibri"/>
          <w:sz w:val="24"/>
          <w:szCs w:val="24"/>
        </w:rPr>
        <w:t>, Queensland, Tasmania and Western Australia.</w:t>
      </w:r>
    </w:p>
    <w:p w14:paraId="65649F63" w14:textId="2EBD64FE" w:rsidR="00BE7247" w:rsidRDefault="00235BA5" w:rsidP="005670C0">
      <w:pPr>
        <w:rPr>
          <w:rFonts w:ascii="Calibri" w:hAnsi="Calibri"/>
          <w:color w:val="0070C0"/>
          <w:sz w:val="24"/>
          <w:szCs w:val="24"/>
        </w:rPr>
      </w:pPr>
      <w:r>
        <w:rPr>
          <w:rFonts w:ascii="Calibri" w:hAnsi="Calibri"/>
          <w:sz w:val="24"/>
          <w:szCs w:val="24"/>
        </w:rPr>
        <w:t>T</w:t>
      </w:r>
      <w:r w:rsidR="0002016E" w:rsidRPr="00841FD7">
        <w:rPr>
          <w:rFonts w:ascii="Calibri" w:hAnsi="Calibri"/>
          <w:sz w:val="24"/>
          <w:szCs w:val="24"/>
        </w:rPr>
        <w:t xml:space="preserve">he Tribunal </w:t>
      </w:r>
      <w:r>
        <w:rPr>
          <w:rFonts w:ascii="Calibri" w:hAnsi="Calibri"/>
          <w:sz w:val="24"/>
          <w:szCs w:val="24"/>
        </w:rPr>
        <w:t xml:space="preserve">also </w:t>
      </w:r>
      <w:r w:rsidR="00125C64">
        <w:rPr>
          <w:rFonts w:ascii="Calibri" w:hAnsi="Calibri"/>
          <w:sz w:val="24"/>
          <w:szCs w:val="24"/>
        </w:rPr>
        <w:t>considered</w:t>
      </w:r>
      <w:r w:rsidR="00125C64" w:rsidRPr="00841FD7">
        <w:rPr>
          <w:rFonts w:ascii="Calibri" w:hAnsi="Calibri"/>
          <w:sz w:val="24"/>
          <w:szCs w:val="24"/>
        </w:rPr>
        <w:t xml:space="preserve"> </w:t>
      </w:r>
      <w:r w:rsidR="00EE3CAE" w:rsidRPr="00841FD7">
        <w:rPr>
          <w:rFonts w:ascii="Calibri" w:hAnsi="Calibri"/>
          <w:sz w:val="24"/>
          <w:szCs w:val="24"/>
        </w:rPr>
        <w:t xml:space="preserve">the </w:t>
      </w:r>
      <w:r w:rsidR="00BE7247" w:rsidRPr="00841FD7">
        <w:rPr>
          <w:rFonts w:ascii="Calibri" w:hAnsi="Calibri"/>
          <w:sz w:val="24"/>
          <w:szCs w:val="24"/>
        </w:rPr>
        <w:t xml:space="preserve">remuneration and other entitlements </w:t>
      </w:r>
      <w:r>
        <w:rPr>
          <w:rFonts w:ascii="Calibri" w:hAnsi="Calibri"/>
          <w:sz w:val="24"/>
          <w:szCs w:val="24"/>
        </w:rPr>
        <w:t xml:space="preserve">for public sector executives </w:t>
      </w:r>
      <w:r w:rsidR="00686970">
        <w:rPr>
          <w:rFonts w:ascii="Calibri" w:hAnsi="Calibri"/>
          <w:sz w:val="24"/>
          <w:szCs w:val="24"/>
        </w:rPr>
        <w:t>across</w:t>
      </w:r>
      <w:r>
        <w:rPr>
          <w:rFonts w:ascii="Calibri" w:hAnsi="Calibri"/>
          <w:sz w:val="24"/>
          <w:szCs w:val="24"/>
        </w:rPr>
        <w:t xml:space="preserve"> other jurisdictions</w:t>
      </w:r>
      <w:r w:rsidR="0002016E" w:rsidRPr="00841FD7">
        <w:rPr>
          <w:rFonts w:ascii="Calibri" w:hAnsi="Calibri"/>
          <w:sz w:val="24"/>
          <w:szCs w:val="24"/>
        </w:rPr>
        <w:t>.</w:t>
      </w:r>
      <w:r w:rsidR="00BE7247" w:rsidRPr="00841FD7">
        <w:rPr>
          <w:rFonts w:ascii="Calibri" w:hAnsi="Calibri"/>
          <w:sz w:val="24"/>
          <w:szCs w:val="24"/>
        </w:rPr>
        <w:t xml:space="preserve"> </w:t>
      </w:r>
      <w:r w:rsidR="00A13D3D" w:rsidRPr="00A13D3D">
        <w:rPr>
          <w:rFonts w:ascii="Calibri" w:hAnsi="Calibri"/>
          <w:sz w:val="24"/>
          <w:szCs w:val="24"/>
        </w:rPr>
        <w:t>The Tribunal was cautio</w:t>
      </w:r>
      <w:r w:rsidR="00445933">
        <w:rPr>
          <w:rFonts w:ascii="Calibri" w:hAnsi="Calibri"/>
          <w:sz w:val="24"/>
          <w:szCs w:val="24"/>
        </w:rPr>
        <w:t>u</w:t>
      </w:r>
      <w:r w:rsidR="00A13D3D" w:rsidRPr="00A13D3D">
        <w:rPr>
          <w:rFonts w:ascii="Calibri" w:hAnsi="Calibri"/>
          <w:sz w:val="24"/>
          <w:szCs w:val="24"/>
        </w:rPr>
        <w:t xml:space="preserve">s when comparing ACTPS with other jurisdictions due to the differences in classification structures, methods for assessing work value and diverse benefits offered across the other jurisdictions. However for the Tribunal’s purposes, some comparisons serve as a useful guide to identify the differences or </w:t>
      </w:r>
      <w:r w:rsidR="00983C93" w:rsidRPr="00A13D3D">
        <w:rPr>
          <w:rFonts w:ascii="Calibri" w:hAnsi="Calibri"/>
          <w:sz w:val="24"/>
          <w:szCs w:val="24"/>
        </w:rPr>
        <w:t>similarities</w:t>
      </w:r>
      <w:r w:rsidR="00A13D3D" w:rsidRPr="00A13D3D">
        <w:rPr>
          <w:rFonts w:ascii="Calibri" w:hAnsi="Calibri"/>
          <w:sz w:val="24"/>
          <w:szCs w:val="24"/>
        </w:rPr>
        <w:t xml:space="preserve"> in other </w:t>
      </w:r>
      <w:r w:rsidR="00A13D3D">
        <w:rPr>
          <w:rFonts w:ascii="Calibri" w:hAnsi="Calibri"/>
          <w:sz w:val="24"/>
          <w:szCs w:val="24"/>
        </w:rPr>
        <w:t xml:space="preserve">jurisdictions. </w:t>
      </w:r>
    </w:p>
    <w:p w14:paraId="41E9CEF9" w14:textId="02D48877" w:rsidR="001D19E3" w:rsidRDefault="001D19E3" w:rsidP="001D19E3">
      <w:pPr>
        <w:rPr>
          <w:rFonts w:ascii="Calibri" w:hAnsi="Calibri"/>
          <w:sz w:val="24"/>
          <w:szCs w:val="24"/>
        </w:rPr>
      </w:pPr>
      <w:r w:rsidRPr="00D56807">
        <w:rPr>
          <w:rFonts w:ascii="Calibri" w:hAnsi="Calibri"/>
          <w:sz w:val="24"/>
          <w:szCs w:val="24"/>
        </w:rPr>
        <w:t>Th</w:t>
      </w:r>
      <w:r>
        <w:rPr>
          <w:rFonts w:ascii="Calibri" w:hAnsi="Calibri"/>
          <w:sz w:val="24"/>
          <w:szCs w:val="24"/>
        </w:rPr>
        <w:t>is</w:t>
      </w:r>
      <w:r w:rsidRPr="00D56807">
        <w:rPr>
          <w:rFonts w:ascii="Calibri" w:hAnsi="Calibri"/>
          <w:sz w:val="24"/>
          <w:szCs w:val="24"/>
        </w:rPr>
        <w:t xml:space="preserve"> Review </w:t>
      </w:r>
      <w:r>
        <w:rPr>
          <w:rFonts w:ascii="Calibri" w:hAnsi="Calibri"/>
          <w:sz w:val="24"/>
          <w:szCs w:val="24"/>
        </w:rPr>
        <w:t>was</w:t>
      </w:r>
      <w:r w:rsidRPr="00D56807">
        <w:rPr>
          <w:rFonts w:ascii="Calibri" w:hAnsi="Calibri"/>
          <w:sz w:val="24"/>
          <w:szCs w:val="24"/>
        </w:rPr>
        <w:t xml:space="preserve"> </w:t>
      </w:r>
      <w:r>
        <w:rPr>
          <w:rFonts w:ascii="Calibri" w:hAnsi="Calibri"/>
          <w:sz w:val="24"/>
          <w:szCs w:val="24"/>
        </w:rPr>
        <w:t xml:space="preserve">undertaken in </w:t>
      </w:r>
      <w:r w:rsidRPr="00D56807">
        <w:rPr>
          <w:rFonts w:ascii="Calibri" w:hAnsi="Calibri"/>
          <w:sz w:val="24"/>
          <w:szCs w:val="24"/>
        </w:rPr>
        <w:t>addition to the Tribunal’s scheduled annual reviews and provide</w:t>
      </w:r>
      <w:r>
        <w:rPr>
          <w:rFonts w:ascii="Calibri" w:hAnsi="Calibri"/>
          <w:sz w:val="24"/>
          <w:szCs w:val="24"/>
        </w:rPr>
        <w:t>s</w:t>
      </w:r>
      <w:r w:rsidRPr="00D56807">
        <w:rPr>
          <w:rFonts w:ascii="Calibri" w:hAnsi="Calibri"/>
          <w:sz w:val="24"/>
          <w:szCs w:val="24"/>
        </w:rPr>
        <w:t xml:space="preserve"> analysis of the factors that influence the Tribunal’s decisions</w:t>
      </w:r>
      <w:r w:rsidR="00457455">
        <w:rPr>
          <w:rFonts w:ascii="Calibri" w:hAnsi="Calibri"/>
          <w:sz w:val="24"/>
          <w:szCs w:val="24"/>
        </w:rPr>
        <w:t xml:space="preserve"> about executive remuneration</w:t>
      </w:r>
      <w:r w:rsidRPr="00D56807">
        <w:rPr>
          <w:rFonts w:ascii="Calibri" w:hAnsi="Calibri"/>
          <w:sz w:val="24"/>
          <w:szCs w:val="24"/>
        </w:rPr>
        <w:t>.</w:t>
      </w:r>
    </w:p>
    <w:p w14:paraId="37FD2E34" w14:textId="6C7D0F0D" w:rsidR="001F1A67" w:rsidRDefault="001F1A67" w:rsidP="001F1A67">
      <w:pPr>
        <w:pStyle w:val="Heading2"/>
      </w:pPr>
      <w:bookmarkStart w:id="10" w:name="_Toc2327854"/>
      <w:r>
        <w:t>Key findings</w:t>
      </w:r>
      <w:bookmarkEnd w:id="10"/>
      <w:r>
        <w:t xml:space="preserve"> </w:t>
      </w:r>
    </w:p>
    <w:p w14:paraId="207C8F6C" w14:textId="2E72C77A" w:rsidR="005B37AA" w:rsidRPr="005B40E1" w:rsidRDefault="00445933" w:rsidP="005B40E1">
      <w:pPr>
        <w:rPr>
          <w:rFonts w:ascii="Calibri" w:hAnsi="Calibri"/>
          <w:sz w:val="24"/>
          <w:szCs w:val="24"/>
        </w:rPr>
      </w:pPr>
      <w:r w:rsidRPr="005B40E1">
        <w:rPr>
          <w:rFonts w:ascii="Calibri" w:hAnsi="Calibri"/>
          <w:sz w:val="24"/>
          <w:szCs w:val="24"/>
        </w:rPr>
        <w:t>The key findings and recommendations are:</w:t>
      </w:r>
    </w:p>
    <w:tbl>
      <w:tblPr>
        <w:tblStyle w:val="TableGrid"/>
        <w:tblW w:w="0" w:type="auto"/>
        <w:shd w:val="clear" w:color="auto" w:fill="E5DFEC" w:themeFill="accent4" w:themeFillTint="33"/>
        <w:tblLook w:val="04A0" w:firstRow="1" w:lastRow="0" w:firstColumn="1" w:lastColumn="0" w:noHBand="0" w:noVBand="1"/>
      </w:tblPr>
      <w:tblGrid>
        <w:gridCol w:w="9016"/>
      </w:tblGrid>
      <w:tr w:rsidR="00244E63" w14:paraId="0946B578" w14:textId="77777777" w:rsidTr="00EA4981">
        <w:tc>
          <w:tcPr>
            <w:tcW w:w="9016" w:type="dxa"/>
            <w:shd w:val="clear" w:color="auto" w:fill="E5DFEC" w:themeFill="accent4" w:themeFillTint="33"/>
          </w:tcPr>
          <w:p w14:paraId="0FBAB88D" w14:textId="2E83F1C2" w:rsidR="00244E63" w:rsidRDefault="00244E63" w:rsidP="00457455">
            <w:pPr>
              <w:spacing w:before="120" w:after="120" w:line="276" w:lineRule="auto"/>
              <w:rPr>
                <w:sz w:val="24"/>
                <w:szCs w:val="24"/>
              </w:rPr>
            </w:pPr>
            <w:r w:rsidRPr="007570FB">
              <w:rPr>
                <w:b/>
                <w:color w:val="000000" w:themeColor="text1"/>
                <w:sz w:val="24"/>
                <w:szCs w:val="24"/>
              </w:rPr>
              <w:t>Decision 1</w:t>
            </w:r>
            <w:r w:rsidR="003E6CA9" w:rsidRPr="007570FB">
              <w:rPr>
                <w:b/>
                <w:color w:val="000000" w:themeColor="text1"/>
                <w:sz w:val="24"/>
                <w:szCs w:val="24"/>
              </w:rPr>
              <w:t>:</w:t>
            </w:r>
            <w:r w:rsidR="003E6CA9">
              <w:rPr>
                <w:b/>
                <w:color w:val="000000" w:themeColor="text1"/>
                <w:sz w:val="24"/>
                <w:szCs w:val="24"/>
              </w:rPr>
              <w:t xml:space="preserve"> </w:t>
            </w:r>
            <w:r w:rsidR="003E6CA9">
              <w:rPr>
                <w:sz w:val="24"/>
                <w:szCs w:val="24"/>
              </w:rPr>
              <w:t xml:space="preserve">The Tribunal recommends </w:t>
            </w:r>
            <w:r w:rsidR="003E6CA9" w:rsidRPr="00100B0E">
              <w:rPr>
                <w:sz w:val="24"/>
                <w:szCs w:val="24"/>
              </w:rPr>
              <w:t xml:space="preserve">that it would </w:t>
            </w:r>
            <w:r w:rsidR="003E6CA9">
              <w:rPr>
                <w:sz w:val="24"/>
                <w:szCs w:val="24"/>
              </w:rPr>
              <w:t>be</w:t>
            </w:r>
            <w:r w:rsidR="003E6CA9" w:rsidRPr="00100B0E">
              <w:rPr>
                <w:sz w:val="24"/>
                <w:szCs w:val="24"/>
              </w:rPr>
              <w:t xml:space="preserve"> </w:t>
            </w:r>
            <w:r w:rsidR="003E6CA9" w:rsidRPr="006507D9">
              <w:rPr>
                <w:sz w:val="24"/>
                <w:szCs w:val="24"/>
              </w:rPr>
              <w:t xml:space="preserve">prudent for the ACTPS to review the </w:t>
            </w:r>
            <w:r w:rsidR="003E6CA9">
              <w:rPr>
                <w:sz w:val="24"/>
                <w:szCs w:val="24"/>
              </w:rPr>
              <w:t xml:space="preserve">executive classification </w:t>
            </w:r>
            <w:r w:rsidR="003E6CA9" w:rsidRPr="006507D9">
              <w:rPr>
                <w:sz w:val="24"/>
                <w:szCs w:val="24"/>
              </w:rPr>
              <w:t xml:space="preserve">structure more </w:t>
            </w:r>
            <w:r w:rsidR="00457455">
              <w:rPr>
                <w:sz w:val="24"/>
                <w:szCs w:val="24"/>
              </w:rPr>
              <w:t>frequently</w:t>
            </w:r>
            <w:r w:rsidR="00457455" w:rsidRPr="006507D9">
              <w:rPr>
                <w:sz w:val="24"/>
                <w:szCs w:val="24"/>
              </w:rPr>
              <w:t xml:space="preserve"> </w:t>
            </w:r>
            <w:r w:rsidR="003E6CA9" w:rsidRPr="006507D9">
              <w:rPr>
                <w:sz w:val="24"/>
                <w:szCs w:val="24"/>
              </w:rPr>
              <w:t xml:space="preserve">to ensure that </w:t>
            </w:r>
            <w:r w:rsidR="003E6CA9">
              <w:rPr>
                <w:sz w:val="24"/>
                <w:szCs w:val="24"/>
              </w:rPr>
              <w:t xml:space="preserve">the </w:t>
            </w:r>
            <w:r w:rsidR="003E6CA9" w:rsidRPr="006507D9">
              <w:rPr>
                <w:sz w:val="24"/>
                <w:szCs w:val="24"/>
              </w:rPr>
              <w:t xml:space="preserve">arrangements continue to be appropriate </w:t>
            </w:r>
            <w:r w:rsidR="003E6CA9">
              <w:rPr>
                <w:sz w:val="24"/>
                <w:szCs w:val="24"/>
              </w:rPr>
              <w:t>and contemporary.</w:t>
            </w:r>
          </w:p>
        </w:tc>
      </w:tr>
    </w:tbl>
    <w:p w14:paraId="285B6DCE" w14:textId="2257E821" w:rsidR="008F5C80" w:rsidRDefault="008F5C80" w:rsidP="00F90F54">
      <w:pPr>
        <w:spacing w:after="0" w:line="240" w:lineRule="auto"/>
        <w:rPr>
          <w:color w:val="0070C0"/>
          <w:sz w:val="24"/>
          <w:szCs w:val="24"/>
        </w:rPr>
      </w:pPr>
    </w:p>
    <w:tbl>
      <w:tblPr>
        <w:tblStyle w:val="TableGrid"/>
        <w:tblW w:w="0" w:type="auto"/>
        <w:shd w:val="clear" w:color="auto" w:fill="E5DFEC" w:themeFill="accent4" w:themeFillTint="33"/>
        <w:tblLook w:val="04A0" w:firstRow="1" w:lastRow="0" w:firstColumn="1" w:lastColumn="0" w:noHBand="0" w:noVBand="1"/>
      </w:tblPr>
      <w:tblGrid>
        <w:gridCol w:w="9016"/>
      </w:tblGrid>
      <w:tr w:rsidR="00244E63" w14:paraId="42456B3B" w14:textId="77777777" w:rsidTr="00EA4981">
        <w:tc>
          <w:tcPr>
            <w:tcW w:w="9016" w:type="dxa"/>
            <w:shd w:val="clear" w:color="auto" w:fill="E5DFEC" w:themeFill="accent4" w:themeFillTint="33"/>
          </w:tcPr>
          <w:p w14:paraId="31025A0D" w14:textId="34416925" w:rsidR="00244E63" w:rsidRDefault="00244E63" w:rsidP="00C51BB3">
            <w:pPr>
              <w:spacing w:before="120" w:after="120" w:line="276" w:lineRule="auto"/>
              <w:rPr>
                <w:sz w:val="24"/>
                <w:szCs w:val="24"/>
              </w:rPr>
            </w:pPr>
            <w:r w:rsidRPr="007570FB">
              <w:rPr>
                <w:b/>
                <w:color w:val="000000" w:themeColor="text1"/>
                <w:sz w:val="24"/>
                <w:szCs w:val="24"/>
              </w:rPr>
              <w:t xml:space="preserve">Decision </w:t>
            </w:r>
            <w:r>
              <w:rPr>
                <w:b/>
                <w:color w:val="000000" w:themeColor="text1"/>
                <w:sz w:val="24"/>
                <w:szCs w:val="24"/>
              </w:rPr>
              <w:t>2</w:t>
            </w:r>
            <w:r w:rsidRPr="007570FB">
              <w:rPr>
                <w:b/>
                <w:color w:val="000000" w:themeColor="text1"/>
                <w:sz w:val="24"/>
                <w:szCs w:val="24"/>
              </w:rPr>
              <w:t xml:space="preserve">: </w:t>
            </w:r>
            <w:r w:rsidR="003E6CA9">
              <w:rPr>
                <w:sz w:val="24"/>
                <w:szCs w:val="24"/>
              </w:rPr>
              <w:t xml:space="preserve">The Tribunal notes the fixed-term contractual arrangement currently in place for ACTPS executives and </w:t>
            </w:r>
            <w:r w:rsidR="00C51BB3">
              <w:rPr>
                <w:sz w:val="24"/>
                <w:szCs w:val="24"/>
              </w:rPr>
              <w:t xml:space="preserve">has no reason to determine </w:t>
            </w:r>
            <w:r w:rsidR="003E6CA9">
              <w:rPr>
                <w:sz w:val="24"/>
                <w:szCs w:val="24"/>
              </w:rPr>
              <w:t>that this arrangement is a barrier to attraction and retention.</w:t>
            </w:r>
          </w:p>
        </w:tc>
      </w:tr>
    </w:tbl>
    <w:p w14:paraId="7A3E671F" w14:textId="2A0734F6" w:rsidR="004527DC" w:rsidRDefault="004527DC" w:rsidP="00F90F54">
      <w:pPr>
        <w:spacing w:after="0" w:line="240" w:lineRule="auto"/>
        <w:rPr>
          <w:color w:val="0070C0"/>
          <w:sz w:val="24"/>
          <w:szCs w:val="24"/>
        </w:rPr>
      </w:pPr>
    </w:p>
    <w:p w14:paraId="32E0DA94" w14:textId="77777777" w:rsidR="004527DC" w:rsidRDefault="004527DC" w:rsidP="00F90F54">
      <w:pPr>
        <w:spacing w:after="0" w:line="240" w:lineRule="auto"/>
        <w:rPr>
          <w:color w:val="0070C0"/>
          <w:sz w:val="24"/>
          <w:szCs w:val="24"/>
        </w:rPr>
      </w:pPr>
    </w:p>
    <w:tbl>
      <w:tblPr>
        <w:tblStyle w:val="TableGrid"/>
        <w:tblW w:w="0" w:type="auto"/>
        <w:shd w:val="clear" w:color="auto" w:fill="E5DFEC" w:themeFill="accent4" w:themeFillTint="33"/>
        <w:tblLook w:val="04A0" w:firstRow="1" w:lastRow="0" w:firstColumn="1" w:lastColumn="0" w:noHBand="0" w:noVBand="1"/>
      </w:tblPr>
      <w:tblGrid>
        <w:gridCol w:w="9016"/>
      </w:tblGrid>
      <w:tr w:rsidR="00244E63" w14:paraId="4CD787EF" w14:textId="77777777" w:rsidTr="00EA4981">
        <w:tc>
          <w:tcPr>
            <w:tcW w:w="9016" w:type="dxa"/>
            <w:shd w:val="clear" w:color="auto" w:fill="E5DFEC" w:themeFill="accent4" w:themeFillTint="33"/>
          </w:tcPr>
          <w:p w14:paraId="034D703D" w14:textId="7950FC02" w:rsidR="00244E63" w:rsidRDefault="004527DC" w:rsidP="00244E63">
            <w:pPr>
              <w:spacing w:before="120" w:after="120" w:line="276" w:lineRule="auto"/>
              <w:rPr>
                <w:sz w:val="24"/>
                <w:szCs w:val="24"/>
              </w:rPr>
            </w:pPr>
            <w:r>
              <w:rPr>
                <w:color w:val="0070C0"/>
                <w:sz w:val="24"/>
                <w:szCs w:val="24"/>
              </w:rPr>
              <w:br w:type="page"/>
            </w:r>
            <w:r w:rsidR="00244E63" w:rsidRPr="007570FB">
              <w:rPr>
                <w:b/>
                <w:color w:val="000000" w:themeColor="text1"/>
                <w:sz w:val="24"/>
                <w:szCs w:val="24"/>
              </w:rPr>
              <w:t xml:space="preserve">Decision </w:t>
            </w:r>
            <w:r w:rsidR="00244E63">
              <w:rPr>
                <w:b/>
                <w:color w:val="000000" w:themeColor="text1"/>
                <w:sz w:val="24"/>
                <w:szCs w:val="24"/>
              </w:rPr>
              <w:t>3</w:t>
            </w:r>
            <w:r w:rsidR="00244E63" w:rsidRPr="007570FB">
              <w:rPr>
                <w:b/>
                <w:color w:val="000000" w:themeColor="text1"/>
                <w:sz w:val="24"/>
                <w:szCs w:val="24"/>
              </w:rPr>
              <w:t xml:space="preserve">: </w:t>
            </w:r>
            <w:r w:rsidR="003E6CA9" w:rsidRPr="00261F21">
              <w:rPr>
                <w:sz w:val="24"/>
                <w:szCs w:val="24"/>
              </w:rPr>
              <w:t xml:space="preserve">The Tribunal notes that the </w:t>
            </w:r>
            <w:r w:rsidR="003F3C5F">
              <w:rPr>
                <w:sz w:val="24"/>
                <w:szCs w:val="24"/>
              </w:rPr>
              <w:t xml:space="preserve">ACT </w:t>
            </w:r>
            <w:r w:rsidR="003E6CA9" w:rsidRPr="00261F21">
              <w:rPr>
                <w:sz w:val="24"/>
                <w:szCs w:val="24"/>
              </w:rPr>
              <w:t>Government no longer tables entire executive contract</w:t>
            </w:r>
            <w:r w:rsidR="003E6CA9">
              <w:rPr>
                <w:sz w:val="24"/>
                <w:szCs w:val="24"/>
              </w:rPr>
              <w:t>s</w:t>
            </w:r>
            <w:r w:rsidR="003E6CA9" w:rsidRPr="00261F21">
              <w:rPr>
                <w:sz w:val="24"/>
                <w:szCs w:val="24"/>
              </w:rPr>
              <w:t xml:space="preserve">. The Tribunal considers this requirement to be a matter for the </w:t>
            </w:r>
            <w:r w:rsidR="003F3C5F">
              <w:rPr>
                <w:sz w:val="24"/>
                <w:szCs w:val="24"/>
              </w:rPr>
              <w:t xml:space="preserve">ACT </w:t>
            </w:r>
            <w:r w:rsidR="003E6CA9" w:rsidRPr="00261F21">
              <w:rPr>
                <w:sz w:val="24"/>
                <w:szCs w:val="24"/>
              </w:rPr>
              <w:t>Government and the Legislative Assembly</w:t>
            </w:r>
            <w:r w:rsidR="003E6CA9">
              <w:rPr>
                <w:sz w:val="24"/>
                <w:szCs w:val="24"/>
              </w:rPr>
              <w:t>. The Tribunal does not make any decision in relation to this matter</w:t>
            </w:r>
            <w:r w:rsidR="003E6CA9" w:rsidRPr="00261F21">
              <w:rPr>
                <w:sz w:val="24"/>
                <w:szCs w:val="24"/>
              </w:rPr>
              <w:t>.</w:t>
            </w:r>
          </w:p>
        </w:tc>
      </w:tr>
    </w:tbl>
    <w:p w14:paraId="29A8C7E8" w14:textId="77777777" w:rsidR="00244E63" w:rsidRPr="0040752F" w:rsidRDefault="00244E63" w:rsidP="00DF4362">
      <w:pPr>
        <w:spacing w:after="0" w:line="240" w:lineRule="auto"/>
        <w:rPr>
          <w:color w:val="0070C0"/>
          <w:sz w:val="24"/>
          <w:szCs w:val="24"/>
        </w:rPr>
      </w:pPr>
    </w:p>
    <w:tbl>
      <w:tblPr>
        <w:tblStyle w:val="TableGrid"/>
        <w:tblW w:w="0" w:type="auto"/>
        <w:shd w:val="clear" w:color="auto" w:fill="E5DFEC" w:themeFill="accent4" w:themeFillTint="33"/>
        <w:tblLook w:val="04A0" w:firstRow="1" w:lastRow="0" w:firstColumn="1" w:lastColumn="0" w:noHBand="0" w:noVBand="1"/>
      </w:tblPr>
      <w:tblGrid>
        <w:gridCol w:w="9016"/>
      </w:tblGrid>
      <w:tr w:rsidR="00244E63" w14:paraId="54E82B74" w14:textId="77777777" w:rsidTr="00EA4981">
        <w:tc>
          <w:tcPr>
            <w:tcW w:w="9016" w:type="dxa"/>
            <w:shd w:val="clear" w:color="auto" w:fill="E5DFEC" w:themeFill="accent4" w:themeFillTint="33"/>
          </w:tcPr>
          <w:p w14:paraId="4B09E021" w14:textId="509CCC41" w:rsidR="00244E63" w:rsidRDefault="00244E63" w:rsidP="00457455">
            <w:pPr>
              <w:spacing w:before="120" w:after="120" w:line="276" w:lineRule="auto"/>
              <w:rPr>
                <w:sz w:val="24"/>
                <w:szCs w:val="24"/>
              </w:rPr>
            </w:pPr>
            <w:r w:rsidRPr="007570FB">
              <w:rPr>
                <w:b/>
                <w:color w:val="000000" w:themeColor="text1"/>
                <w:sz w:val="24"/>
                <w:szCs w:val="24"/>
              </w:rPr>
              <w:t xml:space="preserve">Decision </w:t>
            </w:r>
            <w:r>
              <w:rPr>
                <w:b/>
                <w:color w:val="000000" w:themeColor="text1"/>
                <w:sz w:val="24"/>
                <w:szCs w:val="24"/>
              </w:rPr>
              <w:t>4</w:t>
            </w:r>
            <w:r w:rsidRPr="007570FB">
              <w:rPr>
                <w:b/>
                <w:color w:val="000000" w:themeColor="text1"/>
                <w:sz w:val="24"/>
                <w:szCs w:val="24"/>
              </w:rPr>
              <w:t xml:space="preserve">: </w:t>
            </w:r>
            <w:r w:rsidR="00031CA5" w:rsidRPr="00E72415">
              <w:rPr>
                <w:color w:val="000000" w:themeColor="text1"/>
                <w:sz w:val="24"/>
                <w:szCs w:val="24"/>
              </w:rPr>
              <w:t xml:space="preserve">The Tribunal </w:t>
            </w:r>
            <w:r w:rsidR="00031CA5">
              <w:rPr>
                <w:color w:val="000000" w:themeColor="text1"/>
                <w:sz w:val="24"/>
                <w:szCs w:val="24"/>
              </w:rPr>
              <w:t>is of the view</w:t>
            </w:r>
            <w:r w:rsidR="00031CA5" w:rsidRPr="00E72415">
              <w:rPr>
                <w:color w:val="000000" w:themeColor="text1"/>
                <w:sz w:val="24"/>
                <w:szCs w:val="24"/>
              </w:rPr>
              <w:t xml:space="preserve"> </w:t>
            </w:r>
            <w:r w:rsidR="00457455">
              <w:rPr>
                <w:color w:val="000000" w:themeColor="text1"/>
                <w:sz w:val="24"/>
                <w:szCs w:val="24"/>
              </w:rPr>
              <w:t xml:space="preserve">that </w:t>
            </w:r>
            <w:r w:rsidR="00031CA5" w:rsidRPr="00E72415">
              <w:rPr>
                <w:color w:val="000000" w:themeColor="text1"/>
                <w:sz w:val="24"/>
                <w:szCs w:val="24"/>
              </w:rPr>
              <w:t xml:space="preserve">the current re-engagement process </w:t>
            </w:r>
            <w:r w:rsidR="00457455">
              <w:rPr>
                <w:color w:val="000000" w:themeColor="text1"/>
                <w:sz w:val="24"/>
                <w:szCs w:val="24"/>
              </w:rPr>
              <w:t xml:space="preserve">is </w:t>
            </w:r>
            <w:r w:rsidR="00031CA5" w:rsidRPr="00E72415">
              <w:rPr>
                <w:color w:val="000000" w:themeColor="text1"/>
                <w:sz w:val="24"/>
                <w:szCs w:val="24"/>
              </w:rPr>
              <w:t xml:space="preserve">appropriate and makes no recommendations in this area.  </w:t>
            </w:r>
          </w:p>
        </w:tc>
      </w:tr>
    </w:tbl>
    <w:p w14:paraId="334CDC15" w14:textId="77777777" w:rsidR="00963BBB" w:rsidRPr="00F90F54" w:rsidRDefault="00963BBB" w:rsidP="00F90F54">
      <w:pPr>
        <w:spacing w:after="0" w:line="240" w:lineRule="auto"/>
        <w:rPr>
          <w:color w:val="0070C0"/>
          <w:sz w:val="24"/>
          <w:szCs w:val="24"/>
        </w:rPr>
      </w:pPr>
    </w:p>
    <w:tbl>
      <w:tblPr>
        <w:tblStyle w:val="TableGrid"/>
        <w:tblW w:w="0" w:type="auto"/>
        <w:shd w:val="clear" w:color="auto" w:fill="E5DFEC" w:themeFill="accent4" w:themeFillTint="33"/>
        <w:tblLook w:val="04A0" w:firstRow="1" w:lastRow="0" w:firstColumn="1" w:lastColumn="0" w:noHBand="0" w:noVBand="1"/>
      </w:tblPr>
      <w:tblGrid>
        <w:gridCol w:w="9016"/>
      </w:tblGrid>
      <w:tr w:rsidR="00963BBB" w:rsidRPr="00C9551A" w14:paraId="78C9B50E" w14:textId="77777777" w:rsidTr="00E2551D">
        <w:tc>
          <w:tcPr>
            <w:tcW w:w="9016" w:type="dxa"/>
            <w:shd w:val="clear" w:color="auto" w:fill="E5DFEC" w:themeFill="accent4" w:themeFillTint="33"/>
          </w:tcPr>
          <w:p w14:paraId="26A3E660" w14:textId="3ACA088B" w:rsidR="00963BBB" w:rsidRPr="00C9551A" w:rsidRDefault="00963BBB" w:rsidP="003F3C5F">
            <w:pPr>
              <w:spacing w:before="120" w:after="120" w:line="276" w:lineRule="auto"/>
              <w:rPr>
                <w:b/>
                <w:color w:val="000000" w:themeColor="text1"/>
                <w:sz w:val="24"/>
                <w:szCs w:val="24"/>
              </w:rPr>
            </w:pPr>
            <w:r w:rsidRPr="007570FB">
              <w:rPr>
                <w:b/>
                <w:color w:val="000000" w:themeColor="text1"/>
                <w:sz w:val="24"/>
                <w:szCs w:val="24"/>
              </w:rPr>
              <w:t xml:space="preserve">Decision </w:t>
            </w:r>
            <w:r>
              <w:rPr>
                <w:b/>
                <w:color w:val="000000" w:themeColor="text1"/>
                <w:sz w:val="24"/>
                <w:szCs w:val="24"/>
              </w:rPr>
              <w:t>5</w:t>
            </w:r>
            <w:r w:rsidRPr="007570FB">
              <w:rPr>
                <w:b/>
                <w:color w:val="000000" w:themeColor="text1"/>
                <w:sz w:val="24"/>
                <w:szCs w:val="24"/>
              </w:rPr>
              <w:t>:</w:t>
            </w:r>
            <w:r w:rsidRPr="00C9551A">
              <w:rPr>
                <w:b/>
                <w:color w:val="000000" w:themeColor="text1"/>
                <w:sz w:val="24"/>
                <w:szCs w:val="24"/>
              </w:rPr>
              <w:t xml:space="preserve"> </w:t>
            </w:r>
            <w:r w:rsidRPr="00E72415">
              <w:rPr>
                <w:color w:val="000000" w:themeColor="text1"/>
                <w:sz w:val="24"/>
                <w:szCs w:val="24"/>
              </w:rPr>
              <w:t>The Tribunal</w:t>
            </w:r>
            <w:r>
              <w:rPr>
                <w:color w:val="000000" w:themeColor="text1"/>
                <w:sz w:val="24"/>
                <w:szCs w:val="24"/>
              </w:rPr>
              <w:t xml:space="preserve"> notes the new position titling recently introduced by the Head of Service for executives across the ACTPS and </w:t>
            </w:r>
            <w:r w:rsidR="00387F42">
              <w:rPr>
                <w:color w:val="000000" w:themeColor="text1"/>
                <w:sz w:val="24"/>
                <w:szCs w:val="24"/>
              </w:rPr>
              <w:t>agrees</w:t>
            </w:r>
            <w:r>
              <w:rPr>
                <w:color w:val="000000" w:themeColor="text1"/>
                <w:sz w:val="24"/>
                <w:szCs w:val="24"/>
              </w:rPr>
              <w:t xml:space="preserve"> that </w:t>
            </w:r>
            <w:r w:rsidR="003F3C5F">
              <w:rPr>
                <w:color w:val="000000" w:themeColor="text1"/>
                <w:sz w:val="24"/>
                <w:szCs w:val="24"/>
              </w:rPr>
              <w:t xml:space="preserve">this </w:t>
            </w:r>
            <w:r>
              <w:rPr>
                <w:color w:val="000000" w:themeColor="text1"/>
                <w:sz w:val="24"/>
                <w:szCs w:val="24"/>
              </w:rPr>
              <w:t>will enhance consistency and transparency.</w:t>
            </w:r>
            <w:r w:rsidRPr="00E72415">
              <w:rPr>
                <w:color w:val="000000" w:themeColor="text1"/>
                <w:sz w:val="24"/>
                <w:szCs w:val="24"/>
              </w:rPr>
              <w:t xml:space="preserve">  </w:t>
            </w:r>
          </w:p>
        </w:tc>
      </w:tr>
    </w:tbl>
    <w:p w14:paraId="7FB865EE" w14:textId="77777777" w:rsidR="00963BBB" w:rsidRPr="0040752F" w:rsidRDefault="00963BBB" w:rsidP="00F90F54">
      <w:pPr>
        <w:spacing w:after="0" w:line="240" w:lineRule="auto"/>
        <w:rPr>
          <w:color w:val="0070C0"/>
          <w:sz w:val="24"/>
          <w:szCs w:val="24"/>
        </w:rPr>
      </w:pPr>
    </w:p>
    <w:tbl>
      <w:tblPr>
        <w:tblStyle w:val="TableGrid"/>
        <w:tblW w:w="0" w:type="auto"/>
        <w:shd w:val="clear" w:color="auto" w:fill="E5DFEC" w:themeFill="accent4" w:themeFillTint="33"/>
        <w:tblLook w:val="04A0" w:firstRow="1" w:lastRow="0" w:firstColumn="1" w:lastColumn="0" w:noHBand="0" w:noVBand="1"/>
      </w:tblPr>
      <w:tblGrid>
        <w:gridCol w:w="9016"/>
      </w:tblGrid>
      <w:tr w:rsidR="00244E63" w14:paraId="12B00B42" w14:textId="77777777" w:rsidTr="00EA4981">
        <w:tc>
          <w:tcPr>
            <w:tcW w:w="9016" w:type="dxa"/>
            <w:shd w:val="clear" w:color="auto" w:fill="E5DFEC" w:themeFill="accent4" w:themeFillTint="33"/>
          </w:tcPr>
          <w:p w14:paraId="0F5A3500" w14:textId="2A54C8A9" w:rsidR="00244E63" w:rsidRDefault="00244E63" w:rsidP="00F64DD5">
            <w:pPr>
              <w:spacing w:before="120" w:after="120" w:line="276" w:lineRule="auto"/>
              <w:rPr>
                <w:sz w:val="24"/>
                <w:szCs w:val="24"/>
              </w:rPr>
            </w:pPr>
            <w:r w:rsidRPr="007570FB">
              <w:rPr>
                <w:b/>
                <w:color w:val="000000" w:themeColor="text1"/>
                <w:sz w:val="24"/>
                <w:szCs w:val="24"/>
              </w:rPr>
              <w:t xml:space="preserve">Decision </w:t>
            </w:r>
            <w:r w:rsidR="00963BBB">
              <w:rPr>
                <w:b/>
                <w:color w:val="000000" w:themeColor="text1"/>
                <w:sz w:val="24"/>
                <w:szCs w:val="24"/>
              </w:rPr>
              <w:t>6</w:t>
            </w:r>
            <w:r w:rsidRPr="007570FB">
              <w:rPr>
                <w:b/>
                <w:color w:val="000000" w:themeColor="text1"/>
                <w:sz w:val="24"/>
                <w:szCs w:val="24"/>
              </w:rPr>
              <w:t xml:space="preserve">: </w:t>
            </w:r>
            <w:r w:rsidR="003E6CA9">
              <w:rPr>
                <w:sz w:val="24"/>
                <w:szCs w:val="24"/>
              </w:rPr>
              <w:t xml:space="preserve">The Tribunal will continue to monitor the prevailing economic circumstances for the Territory which it considers are important elements of its annual review and determinations </w:t>
            </w:r>
            <w:r w:rsidR="00F64DD5">
              <w:rPr>
                <w:sz w:val="24"/>
                <w:szCs w:val="24"/>
              </w:rPr>
              <w:t xml:space="preserve">about </w:t>
            </w:r>
            <w:r w:rsidR="003E6CA9">
              <w:rPr>
                <w:sz w:val="24"/>
                <w:szCs w:val="24"/>
              </w:rPr>
              <w:t>ACTPS executives.</w:t>
            </w:r>
          </w:p>
        </w:tc>
      </w:tr>
    </w:tbl>
    <w:p w14:paraId="06AC96AE" w14:textId="77777777" w:rsidR="00244E63" w:rsidRPr="0040752F" w:rsidRDefault="00244E63" w:rsidP="00F90F54">
      <w:pPr>
        <w:spacing w:after="0" w:line="240" w:lineRule="auto"/>
        <w:rPr>
          <w:color w:val="0070C0"/>
          <w:sz w:val="24"/>
          <w:szCs w:val="24"/>
        </w:rPr>
      </w:pPr>
    </w:p>
    <w:tbl>
      <w:tblPr>
        <w:tblStyle w:val="TableGrid"/>
        <w:tblW w:w="0" w:type="auto"/>
        <w:shd w:val="clear" w:color="auto" w:fill="E5DFEC" w:themeFill="accent4" w:themeFillTint="33"/>
        <w:tblLook w:val="04A0" w:firstRow="1" w:lastRow="0" w:firstColumn="1" w:lastColumn="0" w:noHBand="0" w:noVBand="1"/>
      </w:tblPr>
      <w:tblGrid>
        <w:gridCol w:w="9016"/>
      </w:tblGrid>
      <w:tr w:rsidR="00244E63" w14:paraId="4DC98FA0" w14:textId="77777777" w:rsidTr="00EA4981">
        <w:tc>
          <w:tcPr>
            <w:tcW w:w="9016" w:type="dxa"/>
            <w:shd w:val="clear" w:color="auto" w:fill="E5DFEC" w:themeFill="accent4" w:themeFillTint="33"/>
          </w:tcPr>
          <w:p w14:paraId="261D516D" w14:textId="73B69788" w:rsidR="00244E63" w:rsidRDefault="00244E63" w:rsidP="003F3C5F">
            <w:pPr>
              <w:spacing w:before="120" w:after="120" w:line="276" w:lineRule="auto"/>
              <w:rPr>
                <w:sz w:val="24"/>
                <w:szCs w:val="24"/>
              </w:rPr>
            </w:pPr>
            <w:r w:rsidRPr="007570FB">
              <w:rPr>
                <w:b/>
                <w:color w:val="000000" w:themeColor="text1"/>
                <w:sz w:val="24"/>
                <w:szCs w:val="24"/>
              </w:rPr>
              <w:t xml:space="preserve">Decision </w:t>
            </w:r>
            <w:r w:rsidR="00963BBB">
              <w:rPr>
                <w:b/>
                <w:color w:val="000000" w:themeColor="text1"/>
                <w:sz w:val="24"/>
                <w:szCs w:val="24"/>
              </w:rPr>
              <w:t>7</w:t>
            </w:r>
            <w:r w:rsidRPr="007570FB">
              <w:rPr>
                <w:b/>
                <w:color w:val="000000" w:themeColor="text1"/>
                <w:sz w:val="24"/>
                <w:szCs w:val="24"/>
              </w:rPr>
              <w:t xml:space="preserve">: </w:t>
            </w:r>
            <w:r w:rsidR="003E6CA9">
              <w:rPr>
                <w:sz w:val="24"/>
                <w:szCs w:val="24"/>
              </w:rPr>
              <w:t xml:space="preserve">The Tribunal </w:t>
            </w:r>
            <w:r w:rsidR="00A84963">
              <w:rPr>
                <w:sz w:val="24"/>
                <w:szCs w:val="24"/>
              </w:rPr>
              <w:t>has</w:t>
            </w:r>
            <w:r w:rsidR="003E6CA9">
              <w:rPr>
                <w:sz w:val="24"/>
                <w:szCs w:val="24"/>
              </w:rPr>
              <w:t xml:space="preserve"> establish</w:t>
            </w:r>
            <w:r w:rsidR="003B67CF">
              <w:rPr>
                <w:sz w:val="24"/>
                <w:szCs w:val="24"/>
              </w:rPr>
              <w:t>ed</w:t>
            </w:r>
            <w:r w:rsidR="003E6CA9">
              <w:rPr>
                <w:sz w:val="24"/>
                <w:szCs w:val="24"/>
              </w:rPr>
              <w:t xml:space="preserve"> a clear</w:t>
            </w:r>
            <w:r w:rsidR="00387F42">
              <w:rPr>
                <w:sz w:val="24"/>
                <w:szCs w:val="24"/>
              </w:rPr>
              <w:t>er</w:t>
            </w:r>
            <w:r w:rsidR="003E6CA9">
              <w:rPr>
                <w:sz w:val="24"/>
                <w:szCs w:val="24"/>
              </w:rPr>
              <w:t xml:space="preserve"> </w:t>
            </w:r>
            <w:r w:rsidR="00F90F54">
              <w:rPr>
                <w:sz w:val="24"/>
                <w:szCs w:val="24"/>
              </w:rPr>
              <w:t xml:space="preserve">remuneration </w:t>
            </w:r>
            <w:r w:rsidR="003E6CA9">
              <w:rPr>
                <w:sz w:val="24"/>
                <w:szCs w:val="24"/>
              </w:rPr>
              <w:t xml:space="preserve">differential between </w:t>
            </w:r>
            <w:r w:rsidR="00154277">
              <w:rPr>
                <w:sz w:val="24"/>
                <w:szCs w:val="24"/>
              </w:rPr>
              <w:t xml:space="preserve">the </w:t>
            </w:r>
            <w:r w:rsidR="00A84963">
              <w:rPr>
                <w:sz w:val="24"/>
                <w:szCs w:val="24"/>
              </w:rPr>
              <w:t xml:space="preserve">executive classification </w:t>
            </w:r>
            <w:r w:rsidR="003E6CA9">
              <w:rPr>
                <w:sz w:val="24"/>
                <w:szCs w:val="24"/>
              </w:rPr>
              <w:t>bands and</w:t>
            </w:r>
            <w:r w:rsidR="00F64DD5">
              <w:rPr>
                <w:sz w:val="24"/>
                <w:szCs w:val="24"/>
              </w:rPr>
              <w:t>,</w:t>
            </w:r>
            <w:r w:rsidR="003E6CA9">
              <w:rPr>
                <w:sz w:val="24"/>
                <w:szCs w:val="24"/>
              </w:rPr>
              <w:t xml:space="preserve"> at the same time, a more consistent progression within a band</w:t>
            </w:r>
            <w:r w:rsidR="003E6CA9" w:rsidRPr="00100B0E">
              <w:rPr>
                <w:sz w:val="24"/>
                <w:szCs w:val="24"/>
              </w:rPr>
              <w:t>.</w:t>
            </w:r>
          </w:p>
        </w:tc>
      </w:tr>
    </w:tbl>
    <w:p w14:paraId="69D7D655" w14:textId="77777777" w:rsidR="00244E63" w:rsidRPr="008F5C80" w:rsidRDefault="00244E63" w:rsidP="00F90F54">
      <w:pPr>
        <w:spacing w:after="0" w:line="240" w:lineRule="auto"/>
        <w:rPr>
          <w:color w:val="0070C0"/>
          <w:sz w:val="24"/>
          <w:szCs w:val="24"/>
        </w:rPr>
      </w:pPr>
    </w:p>
    <w:tbl>
      <w:tblPr>
        <w:tblStyle w:val="TableGrid"/>
        <w:tblW w:w="0" w:type="auto"/>
        <w:shd w:val="clear" w:color="auto" w:fill="E5DFEC" w:themeFill="accent4" w:themeFillTint="33"/>
        <w:tblLook w:val="04A0" w:firstRow="1" w:lastRow="0" w:firstColumn="1" w:lastColumn="0" w:noHBand="0" w:noVBand="1"/>
      </w:tblPr>
      <w:tblGrid>
        <w:gridCol w:w="9016"/>
      </w:tblGrid>
      <w:tr w:rsidR="0040752F" w14:paraId="783D0800" w14:textId="77777777" w:rsidTr="00D95718">
        <w:tc>
          <w:tcPr>
            <w:tcW w:w="9016" w:type="dxa"/>
            <w:shd w:val="clear" w:color="auto" w:fill="E5DFEC" w:themeFill="accent4" w:themeFillTint="33"/>
          </w:tcPr>
          <w:p w14:paraId="6A4BE8A8" w14:textId="02DBFFBF" w:rsidR="003E6CA9" w:rsidRDefault="0040752F" w:rsidP="003E6CA9">
            <w:pPr>
              <w:spacing w:before="120" w:after="120" w:line="276" w:lineRule="auto"/>
              <w:rPr>
                <w:sz w:val="24"/>
                <w:szCs w:val="24"/>
              </w:rPr>
            </w:pPr>
            <w:r w:rsidRPr="007570FB">
              <w:rPr>
                <w:b/>
                <w:color w:val="000000" w:themeColor="text1"/>
                <w:sz w:val="24"/>
                <w:szCs w:val="24"/>
              </w:rPr>
              <w:t xml:space="preserve">Decision </w:t>
            </w:r>
            <w:r w:rsidR="00963BBB">
              <w:rPr>
                <w:b/>
                <w:color w:val="000000" w:themeColor="text1"/>
                <w:sz w:val="24"/>
                <w:szCs w:val="24"/>
              </w:rPr>
              <w:t>8</w:t>
            </w:r>
            <w:r w:rsidRPr="007570FB">
              <w:rPr>
                <w:b/>
                <w:color w:val="000000" w:themeColor="text1"/>
                <w:sz w:val="24"/>
                <w:szCs w:val="24"/>
              </w:rPr>
              <w:t xml:space="preserve">: </w:t>
            </w:r>
            <w:r w:rsidR="003E6CA9">
              <w:rPr>
                <w:sz w:val="24"/>
                <w:szCs w:val="24"/>
              </w:rPr>
              <w:t xml:space="preserve">The Tribunal acknowledges the unique role of the Head of Service and will establish a clear and significant differential between the Head of Service level 4.4 and the other Band 4 levels.  </w:t>
            </w:r>
          </w:p>
          <w:p w14:paraId="0B668D07" w14:textId="74EFEC3B" w:rsidR="0040752F" w:rsidRDefault="003E6CA9" w:rsidP="00F90F54">
            <w:pPr>
              <w:spacing w:before="120" w:after="120" w:line="276" w:lineRule="auto"/>
              <w:rPr>
                <w:sz w:val="24"/>
                <w:szCs w:val="24"/>
              </w:rPr>
            </w:pPr>
            <w:r>
              <w:rPr>
                <w:sz w:val="24"/>
                <w:szCs w:val="24"/>
              </w:rPr>
              <w:t xml:space="preserve">The Tribunal recommends that the ACT Government consider including </w:t>
            </w:r>
            <w:proofErr w:type="gramStart"/>
            <w:r>
              <w:rPr>
                <w:sz w:val="24"/>
                <w:szCs w:val="24"/>
              </w:rPr>
              <w:t>a</w:t>
            </w:r>
            <w:r w:rsidR="006F105A">
              <w:rPr>
                <w:sz w:val="24"/>
                <w:szCs w:val="24"/>
              </w:rPr>
              <w:t>n</w:t>
            </w:r>
            <w:proofErr w:type="gramEnd"/>
            <w:r>
              <w:rPr>
                <w:sz w:val="24"/>
                <w:szCs w:val="24"/>
              </w:rPr>
              <w:t xml:space="preserve"> </w:t>
            </w:r>
            <w:r w:rsidR="00F90F54">
              <w:rPr>
                <w:sz w:val="24"/>
                <w:szCs w:val="24"/>
              </w:rPr>
              <w:t>S</w:t>
            </w:r>
            <w:r w:rsidR="00F76F14">
              <w:rPr>
                <w:sz w:val="24"/>
                <w:szCs w:val="24"/>
              </w:rPr>
              <w:t xml:space="preserve">enior </w:t>
            </w:r>
            <w:r w:rsidR="00F90F54">
              <w:rPr>
                <w:sz w:val="24"/>
                <w:szCs w:val="24"/>
              </w:rPr>
              <w:t>E</w:t>
            </w:r>
            <w:r w:rsidR="00F76F14">
              <w:rPr>
                <w:sz w:val="24"/>
                <w:szCs w:val="24"/>
              </w:rPr>
              <w:t xml:space="preserve">xecutive </w:t>
            </w:r>
            <w:r w:rsidR="00F90F54">
              <w:rPr>
                <w:sz w:val="24"/>
                <w:szCs w:val="24"/>
              </w:rPr>
              <w:t>S</w:t>
            </w:r>
            <w:r w:rsidR="00F76F14">
              <w:rPr>
                <w:sz w:val="24"/>
                <w:szCs w:val="24"/>
              </w:rPr>
              <w:t>ervice</w:t>
            </w:r>
            <w:r w:rsidR="00F90F54">
              <w:rPr>
                <w:sz w:val="24"/>
                <w:szCs w:val="24"/>
              </w:rPr>
              <w:t xml:space="preserve"> </w:t>
            </w:r>
            <w:r>
              <w:rPr>
                <w:sz w:val="24"/>
                <w:szCs w:val="24"/>
              </w:rPr>
              <w:t xml:space="preserve">Band 5 level into the </w:t>
            </w:r>
            <w:r w:rsidR="00387F42">
              <w:rPr>
                <w:sz w:val="24"/>
                <w:szCs w:val="24"/>
              </w:rPr>
              <w:t>executive</w:t>
            </w:r>
            <w:r>
              <w:rPr>
                <w:sz w:val="24"/>
                <w:szCs w:val="24"/>
              </w:rPr>
              <w:t xml:space="preserve"> classification structure to </w:t>
            </w:r>
            <w:r w:rsidR="00F90F54">
              <w:rPr>
                <w:sz w:val="24"/>
                <w:szCs w:val="24"/>
              </w:rPr>
              <w:t xml:space="preserve">better </w:t>
            </w:r>
            <w:r w:rsidR="00387F42">
              <w:rPr>
                <w:sz w:val="24"/>
                <w:szCs w:val="24"/>
              </w:rPr>
              <w:t>recognise</w:t>
            </w:r>
            <w:r>
              <w:rPr>
                <w:sz w:val="24"/>
                <w:szCs w:val="24"/>
              </w:rPr>
              <w:t xml:space="preserve"> the </w:t>
            </w:r>
            <w:r w:rsidR="00594FC1">
              <w:rPr>
                <w:sz w:val="24"/>
                <w:szCs w:val="24"/>
              </w:rPr>
              <w:t>distin</w:t>
            </w:r>
            <w:r w:rsidR="00F90F54">
              <w:rPr>
                <w:sz w:val="24"/>
                <w:szCs w:val="24"/>
              </w:rPr>
              <w:t xml:space="preserve">ct </w:t>
            </w:r>
            <w:r>
              <w:rPr>
                <w:sz w:val="24"/>
                <w:szCs w:val="24"/>
              </w:rPr>
              <w:t>Head of Service role.</w:t>
            </w:r>
          </w:p>
        </w:tc>
      </w:tr>
    </w:tbl>
    <w:p w14:paraId="5868EC9F" w14:textId="77777777" w:rsidR="0040752F" w:rsidRDefault="0040752F" w:rsidP="00F90F54">
      <w:pPr>
        <w:spacing w:after="0" w:line="240" w:lineRule="auto"/>
        <w:rPr>
          <w:color w:val="0070C0"/>
          <w:sz w:val="24"/>
          <w:szCs w:val="24"/>
        </w:rPr>
      </w:pPr>
    </w:p>
    <w:tbl>
      <w:tblPr>
        <w:tblStyle w:val="TableGrid"/>
        <w:tblW w:w="0" w:type="auto"/>
        <w:shd w:val="clear" w:color="auto" w:fill="E5DFEC" w:themeFill="accent4" w:themeFillTint="33"/>
        <w:tblLook w:val="04A0" w:firstRow="1" w:lastRow="0" w:firstColumn="1" w:lastColumn="0" w:noHBand="0" w:noVBand="1"/>
      </w:tblPr>
      <w:tblGrid>
        <w:gridCol w:w="9016"/>
      </w:tblGrid>
      <w:tr w:rsidR="0040752F" w14:paraId="60AD68FE" w14:textId="77777777" w:rsidTr="00D95718">
        <w:tc>
          <w:tcPr>
            <w:tcW w:w="9016" w:type="dxa"/>
            <w:shd w:val="clear" w:color="auto" w:fill="E5DFEC" w:themeFill="accent4" w:themeFillTint="33"/>
          </w:tcPr>
          <w:p w14:paraId="4C4A7D15" w14:textId="4CEF00CD" w:rsidR="0040752F" w:rsidRDefault="0040752F" w:rsidP="00963BBB">
            <w:pPr>
              <w:spacing w:before="120" w:after="120" w:line="276" w:lineRule="auto"/>
              <w:rPr>
                <w:sz w:val="24"/>
                <w:szCs w:val="24"/>
              </w:rPr>
            </w:pPr>
            <w:r w:rsidRPr="007570FB">
              <w:rPr>
                <w:b/>
                <w:color w:val="000000" w:themeColor="text1"/>
                <w:sz w:val="24"/>
                <w:szCs w:val="24"/>
              </w:rPr>
              <w:t xml:space="preserve">Decision </w:t>
            </w:r>
            <w:r w:rsidR="00963BBB">
              <w:rPr>
                <w:b/>
                <w:color w:val="000000" w:themeColor="text1"/>
                <w:sz w:val="24"/>
                <w:szCs w:val="24"/>
              </w:rPr>
              <w:t>9</w:t>
            </w:r>
            <w:r w:rsidRPr="007570FB">
              <w:rPr>
                <w:b/>
                <w:color w:val="000000" w:themeColor="text1"/>
                <w:sz w:val="24"/>
                <w:szCs w:val="24"/>
              </w:rPr>
              <w:t xml:space="preserve">: </w:t>
            </w:r>
            <w:r w:rsidR="003E6CA9">
              <w:rPr>
                <w:sz w:val="24"/>
                <w:szCs w:val="24"/>
              </w:rPr>
              <w:t>The Tribunal, in its annual determinations, will monitor the competitiveness of the ACTPS executive with other jurisdictions, particularly the APS and NSW.</w:t>
            </w:r>
          </w:p>
        </w:tc>
      </w:tr>
    </w:tbl>
    <w:p w14:paraId="77A1B45B" w14:textId="77777777" w:rsidR="0040752F" w:rsidRPr="0040752F" w:rsidRDefault="0040752F" w:rsidP="00F90F54">
      <w:pPr>
        <w:spacing w:after="0" w:line="240" w:lineRule="auto"/>
        <w:rPr>
          <w:color w:val="0070C0"/>
          <w:sz w:val="24"/>
          <w:szCs w:val="24"/>
        </w:rPr>
      </w:pPr>
    </w:p>
    <w:tbl>
      <w:tblPr>
        <w:tblStyle w:val="TableGrid"/>
        <w:tblW w:w="0" w:type="auto"/>
        <w:shd w:val="clear" w:color="auto" w:fill="E5DFEC" w:themeFill="accent4" w:themeFillTint="33"/>
        <w:tblLook w:val="04A0" w:firstRow="1" w:lastRow="0" w:firstColumn="1" w:lastColumn="0" w:noHBand="0" w:noVBand="1"/>
      </w:tblPr>
      <w:tblGrid>
        <w:gridCol w:w="9016"/>
      </w:tblGrid>
      <w:tr w:rsidR="0040752F" w14:paraId="052C375E" w14:textId="77777777" w:rsidTr="00D95718">
        <w:tc>
          <w:tcPr>
            <w:tcW w:w="9016" w:type="dxa"/>
            <w:shd w:val="clear" w:color="auto" w:fill="E5DFEC" w:themeFill="accent4" w:themeFillTint="33"/>
          </w:tcPr>
          <w:p w14:paraId="11911055" w14:textId="11A2B637" w:rsidR="0040752F" w:rsidRDefault="0040752F" w:rsidP="005641D3">
            <w:pPr>
              <w:spacing w:before="120" w:after="120" w:line="276" w:lineRule="auto"/>
              <w:rPr>
                <w:sz w:val="24"/>
                <w:szCs w:val="24"/>
              </w:rPr>
            </w:pPr>
            <w:r w:rsidRPr="007570FB">
              <w:rPr>
                <w:b/>
                <w:color w:val="000000" w:themeColor="text1"/>
                <w:sz w:val="24"/>
                <w:szCs w:val="24"/>
              </w:rPr>
              <w:t xml:space="preserve">Decision </w:t>
            </w:r>
            <w:r w:rsidR="00963BBB">
              <w:rPr>
                <w:b/>
                <w:color w:val="000000" w:themeColor="text1"/>
                <w:sz w:val="24"/>
                <w:szCs w:val="24"/>
              </w:rPr>
              <w:t>10</w:t>
            </w:r>
            <w:r w:rsidRPr="007570FB">
              <w:rPr>
                <w:b/>
                <w:color w:val="000000" w:themeColor="text1"/>
                <w:sz w:val="24"/>
                <w:szCs w:val="24"/>
              </w:rPr>
              <w:t xml:space="preserve">: </w:t>
            </w:r>
            <w:r w:rsidR="003E6CA9">
              <w:rPr>
                <w:sz w:val="24"/>
                <w:szCs w:val="24"/>
              </w:rPr>
              <w:t xml:space="preserve">The Tribunal </w:t>
            </w:r>
            <w:r w:rsidR="003E6CA9" w:rsidRPr="00100B0E">
              <w:rPr>
                <w:sz w:val="24"/>
                <w:szCs w:val="24"/>
              </w:rPr>
              <w:t xml:space="preserve">will </w:t>
            </w:r>
            <w:r w:rsidR="003E6CA9">
              <w:rPr>
                <w:sz w:val="24"/>
                <w:szCs w:val="24"/>
              </w:rPr>
              <w:t xml:space="preserve">continue to </w:t>
            </w:r>
            <w:r w:rsidR="003E6CA9" w:rsidRPr="00100B0E">
              <w:rPr>
                <w:sz w:val="24"/>
                <w:szCs w:val="24"/>
              </w:rPr>
              <w:t xml:space="preserve">monitor the </w:t>
            </w:r>
            <w:r w:rsidR="00390E4D">
              <w:rPr>
                <w:sz w:val="24"/>
                <w:szCs w:val="24"/>
              </w:rPr>
              <w:t xml:space="preserve">Senior Officer Grade A </w:t>
            </w:r>
            <w:r w:rsidR="003E6CA9" w:rsidRPr="00100B0E">
              <w:rPr>
                <w:sz w:val="24"/>
                <w:szCs w:val="24"/>
              </w:rPr>
              <w:t>salary</w:t>
            </w:r>
            <w:r w:rsidR="003E6CA9">
              <w:rPr>
                <w:sz w:val="24"/>
                <w:szCs w:val="24"/>
              </w:rPr>
              <w:t xml:space="preserve"> on a regular basis</w:t>
            </w:r>
            <w:r w:rsidR="003E6CA9" w:rsidRPr="00100B0E">
              <w:rPr>
                <w:sz w:val="24"/>
                <w:szCs w:val="24"/>
              </w:rPr>
              <w:t xml:space="preserve"> </w:t>
            </w:r>
            <w:r w:rsidR="00594FC1">
              <w:rPr>
                <w:sz w:val="24"/>
                <w:szCs w:val="24"/>
              </w:rPr>
              <w:t xml:space="preserve">in order </w:t>
            </w:r>
            <w:r w:rsidR="003E6CA9">
              <w:rPr>
                <w:sz w:val="24"/>
                <w:szCs w:val="24"/>
              </w:rPr>
              <w:t>to maintain an appropriate differential and relativity, between it and the base of the ACTPS executive salary.</w:t>
            </w:r>
          </w:p>
        </w:tc>
      </w:tr>
    </w:tbl>
    <w:p w14:paraId="0C54C441" w14:textId="7A078441" w:rsidR="0040752F" w:rsidRPr="0040752F" w:rsidRDefault="0040752F" w:rsidP="00F90F54">
      <w:pPr>
        <w:spacing w:after="0" w:line="240" w:lineRule="auto"/>
        <w:rPr>
          <w:color w:val="0070C0"/>
          <w:sz w:val="24"/>
          <w:szCs w:val="24"/>
        </w:rPr>
      </w:pPr>
    </w:p>
    <w:tbl>
      <w:tblPr>
        <w:tblStyle w:val="TableGrid"/>
        <w:tblW w:w="0" w:type="auto"/>
        <w:shd w:val="clear" w:color="auto" w:fill="E5DFEC" w:themeFill="accent4" w:themeFillTint="33"/>
        <w:tblLook w:val="04A0" w:firstRow="1" w:lastRow="0" w:firstColumn="1" w:lastColumn="0" w:noHBand="0" w:noVBand="1"/>
      </w:tblPr>
      <w:tblGrid>
        <w:gridCol w:w="9016"/>
      </w:tblGrid>
      <w:tr w:rsidR="0040752F" w14:paraId="458CFD0C" w14:textId="77777777" w:rsidTr="00D95718">
        <w:tc>
          <w:tcPr>
            <w:tcW w:w="9016" w:type="dxa"/>
            <w:shd w:val="clear" w:color="auto" w:fill="E5DFEC" w:themeFill="accent4" w:themeFillTint="33"/>
          </w:tcPr>
          <w:p w14:paraId="2AF9A072" w14:textId="4E033B6F" w:rsidR="0040752F" w:rsidRDefault="0040752F" w:rsidP="00963BBB">
            <w:pPr>
              <w:spacing w:before="120" w:after="120" w:line="276" w:lineRule="auto"/>
              <w:rPr>
                <w:sz w:val="24"/>
                <w:szCs w:val="24"/>
              </w:rPr>
            </w:pPr>
            <w:r w:rsidRPr="007570FB">
              <w:rPr>
                <w:b/>
                <w:color w:val="000000" w:themeColor="text1"/>
                <w:sz w:val="24"/>
                <w:szCs w:val="24"/>
              </w:rPr>
              <w:lastRenderedPageBreak/>
              <w:t xml:space="preserve">Decision </w:t>
            </w:r>
            <w:r w:rsidR="00963BBB">
              <w:rPr>
                <w:b/>
                <w:color w:val="000000" w:themeColor="text1"/>
                <w:sz w:val="24"/>
                <w:szCs w:val="24"/>
              </w:rPr>
              <w:t>11</w:t>
            </w:r>
            <w:r w:rsidRPr="007570FB">
              <w:rPr>
                <w:b/>
                <w:color w:val="000000" w:themeColor="text1"/>
                <w:sz w:val="24"/>
                <w:szCs w:val="24"/>
              </w:rPr>
              <w:t xml:space="preserve">: </w:t>
            </w:r>
            <w:r w:rsidR="003E6CA9">
              <w:rPr>
                <w:sz w:val="24"/>
                <w:szCs w:val="24"/>
              </w:rPr>
              <w:t>The Tribunal is of the view that there should be full transparency and visibility on the use of the additional salary provisions for executives. As these provisions are</w:t>
            </w:r>
            <w:r w:rsidR="003E6CA9" w:rsidRPr="00F802D6">
              <w:rPr>
                <w:sz w:val="24"/>
                <w:szCs w:val="24"/>
              </w:rPr>
              <w:t xml:space="preserve"> in the PSM Standard</w:t>
            </w:r>
            <w:r w:rsidR="003E6CA9">
              <w:rPr>
                <w:sz w:val="24"/>
                <w:szCs w:val="24"/>
              </w:rPr>
              <w:t>s</w:t>
            </w:r>
            <w:r w:rsidR="003E6CA9" w:rsidRPr="00F802D6">
              <w:rPr>
                <w:sz w:val="24"/>
                <w:szCs w:val="24"/>
              </w:rPr>
              <w:t xml:space="preserve">, </w:t>
            </w:r>
            <w:r w:rsidR="003E6CA9">
              <w:rPr>
                <w:sz w:val="24"/>
                <w:szCs w:val="24"/>
              </w:rPr>
              <w:t>this</w:t>
            </w:r>
            <w:r w:rsidR="003E6CA9" w:rsidRPr="00F802D6">
              <w:rPr>
                <w:sz w:val="24"/>
                <w:szCs w:val="24"/>
              </w:rPr>
              <w:t xml:space="preserve"> is a matter for the Government.</w:t>
            </w:r>
          </w:p>
        </w:tc>
      </w:tr>
    </w:tbl>
    <w:p w14:paraId="4CD481B6" w14:textId="77777777" w:rsidR="0040752F" w:rsidRPr="0040752F" w:rsidRDefault="0040752F" w:rsidP="00F90F54">
      <w:pPr>
        <w:spacing w:after="0" w:line="240" w:lineRule="auto"/>
        <w:rPr>
          <w:color w:val="0070C0"/>
          <w:sz w:val="24"/>
          <w:szCs w:val="24"/>
        </w:rPr>
      </w:pPr>
    </w:p>
    <w:tbl>
      <w:tblPr>
        <w:tblStyle w:val="TableGrid"/>
        <w:tblW w:w="0" w:type="auto"/>
        <w:shd w:val="clear" w:color="auto" w:fill="E5DFEC" w:themeFill="accent4" w:themeFillTint="33"/>
        <w:tblLook w:val="04A0" w:firstRow="1" w:lastRow="0" w:firstColumn="1" w:lastColumn="0" w:noHBand="0" w:noVBand="1"/>
      </w:tblPr>
      <w:tblGrid>
        <w:gridCol w:w="9016"/>
      </w:tblGrid>
      <w:tr w:rsidR="0040752F" w14:paraId="62FC2E98" w14:textId="77777777" w:rsidTr="00D95718">
        <w:tc>
          <w:tcPr>
            <w:tcW w:w="9016" w:type="dxa"/>
            <w:shd w:val="clear" w:color="auto" w:fill="E5DFEC" w:themeFill="accent4" w:themeFillTint="33"/>
          </w:tcPr>
          <w:p w14:paraId="0F81007B" w14:textId="6D0BE6D1" w:rsidR="0040752F" w:rsidRDefault="0040752F" w:rsidP="00963BBB">
            <w:pPr>
              <w:spacing w:before="120" w:after="120" w:line="276" w:lineRule="auto"/>
              <w:rPr>
                <w:sz w:val="24"/>
                <w:szCs w:val="24"/>
              </w:rPr>
            </w:pPr>
            <w:r w:rsidRPr="007570FB">
              <w:rPr>
                <w:b/>
                <w:color w:val="000000" w:themeColor="text1"/>
                <w:sz w:val="24"/>
                <w:szCs w:val="24"/>
              </w:rPr>
              <w:t xml:space="preserve">Decision </w:t>
            </w:r>
            <w:r w:rsidR="00963BBB">
              <w:rPr>
                <w:b/>
                <w:color w:val="000000" w:themeColor="text1"/>
                <w:sz w:val="24"/>
                <w:szCs w:val="24"/>
              </w:rPr>
              <w:t>12</w:t>
            </w:r>
            <w:r w:rsidRPr="007570FB">
              <w:rPr>
                <w:b/>
                <w:color w:val="000000" w:themeColor="text1"/>
                <w:sz w:val="24"/>
                <w:szCs w:val="24"/>
              </w:rPr>
              <w:t xml:space="preserve">: </w:t>
            </w:r>
            <w:r w:rsidR="003E6CA9">
              <w:rPr>
                <w:sz w:val="24"/>
                <w:szCs w:val="24"/>
              </w:rPr>
              <w:t>As part of the annual review of executive base salaries, the Tribunal will monitor the relativities between executive base salaries and the salaries for the non-executive ACTPS, as determined through the Enterprise Agreements.</w:t>
            </w:r>
          </w:p>
        </w:tc>
      </w:tr>
    </w:tbl>
    <w:p w14:paraId="7F947B18" w14:textId="77777777" w:rsidR="0040752F" w:rsidRPr="0040752F" w:rsidRDefault="0040752F" w:rsidP="00F90F54">
      <w:pPr>
        <w:spacing w:after="0" w:line="240" w:lineRule="auto"/>
        <w:rPr>
          <w:color w:val="0070C0"/>
          <w:sz w:val="24"/>
          <w:szCs w:val="24"/>
        </w:rPr>
      </w:pPr>
    </w:p>
    <w:tbl>
      <w:tblPr>
        <w:tblStyle w:val="TableGrid"/>
        <w:tblW w:w="0" w:type="auto"/>
        <w:shd w:val="clear" w:color="auto" w:fill="E5DFEC" w:themeFill="accent4" w:themeFillTint="33"/>
        <w:tblLook w:val="04A0" w:firstRow="1" w:lastRow="0" w:firstColumn="1" w:lastColumn="0" w:noHBand="0" w:noVBand="1"/>
      </w:tblPr>
      <w:tblGrid>
        <w:gridCol w:w="9016"/>
      </w:tblGrid>
      <w:tr w:rsidR="0040752F" w14:paraId="228738DF" w14:textId="77777777" w:rsidTr="00D95718">
        <w:tc>
          <w:tcPr>
            <w:tcW w:w="9016" w:type="dxa"/>
            <w:shd w:val="clear" w:color="auto" w:fill="E5DFEC" w:themeFill="accent4" w:themeFillTint="33"/>
          </w:tcPr>
          <w:p w14:paraId="75C7BC04" w14:textId="6F2FFD05" w:rsidR="00594FC1" w:rsidRDefault="0040752F" w:rsidP="003E6CA9">
            <w:pPr>
              <w:spacing w:before="120"/>
              <w:rPr>
                <w:sz w:val="24"/>
                <w:szCs w:val="24"/>
              </w:rPr>
            </w:pPr>
            <w:r w:rsidRPr="007570FB">
              <w:rPr>
                <w:b/>
                <w:color w:val="000000" w:themeColor="text1"/>
                <w:sz w:val="24"/>
                <w:szCs w:val="24"/>
              </w:rPr>
              <w:t xml:space="preserve">Decision </w:t>
            </w:r>
            <w:r w:rsidR="00963BBB">
              <w:rPr>
                <w:b/>
                <w:color w:val="000000" w:themeColor="text1"/>
                <w:sz w:val="24"/>
                <w:szCs w:val="24"/>
              </w:rPr>
              <w:t>13</w:t>
            </w:r>
            <w:r w:rsidRPr="007570FB">
              <w:rPr>
                <w:b/>
                <w:color w:val="000000" w:themeColor="text1"/>
                <w:sz w:val="24"/>
                <w:szCs w:val="24"/>
              </w:rPr>
              <w:t xml:space="preserve">: </w:t>
            </w:r>
            <w:r w:rsidR="003E6CA9">
              <w:rPr>
                <w:sz w:val="24"/>
                <w:szCs w:val="24"/>
              </w:rPr>
              <w:t xml:space="preserve">The Tribunal acknowledges that the </w:t>
            </w:r>
            <w:r w:rsidR="003F3C5F">
              <w:rPr>
                <w:sz w:val="24"/>
                <w:szCs w:val="24"/>
              </w:rPr>
              <w:t xml:space="preserve">ACT </w:t>
            </w:r>
            <w:r w:rsidR="003E6CA9">
              <w:rPr>
                <w:sz w:val="24"/>
                <w:szCs w:val="24"/>
              </w:rPr>
              <w:t>Government has responsibility for vehicle arrangements</w:t>
            </w:r>
            <w:r w:rsidR="00F64DD5">
              <w:rPr>
                <w:sz w:val="24"/>
                <w:szCs w:val="24"/>
              </w:rPr>
              <w:t>,</w:t>
            </w:r>
            <w:r w:rsidR="003E6CA9">
              <w:rPr>
                <w:sz w:val="24"/>
                <w:szCs w:val="24"/>
              </w:rPr>
              <w:t xml:space="preserve"> including the allowance in lieu of an executive vehicle</w:t>
            </w:r>
            <w:r w:rsidR="00F64DD5">
              <w:rPr>
                <w:sz w:val="24"/>
                <w:szCs w:val="24"/>
              </w:rPr>
              <w:t>,</w:t>
            </w:r>
            <w:r w:rsidR="003E6CA9">
              <w:rPr>
                <w:sz w:val="24"/>
                <w:szCs w:val="24"/>
              </w:rPr>
              <w:t xml:space="preserve"> and </w:t>
            </w:r>
            <w:r w:rsidR="00F64DD5">
              <w:rPr>
                <w:sz w:val="24"/>
                <w:szCs w:val="24"/>
              </w:rPr>
              <w:t xml:space="preserve">that </w:t>
            </w:r>
            <w:r w:rsidR="003E6CA9">
              <w:rPr>
                <w:sz w:val="24"/>
                <w:szCs w:val="24"/>
              </w:rPr>
              <w:t xml:space="preserve">this is outside the Tribunal’s jurisdiction. </w:t>
            </w:r>
            <w:r w:rsidR="00E2551D">
              <w:rPr>
                <w:sz w:val="24"/>
                <w:szCs w:val="24"/>
              </w:rPr>
              <w:br/>
            </w:r>
          </w:p>
          <w:p w14:paraId="4B0A0402" w14:textId="58FFBDF6" w:rsidR="003E6CA9" w:rsidRDefault="003E6CA9" w:rsidP="00DF4362">
            <w:pPr>
              <w:rPr>
                <w:sz w:val="24"/>
                <w:szCs w:val="24"/>
              </w:rPr>
            </w:pPr>
            <w:r>
              <w:rPr>
                <w:sz w:val="24"/>
                <w:szCs w:val="24"/>
              </w:rPr>
              <w:t>These arrangements are outlined in the PSM Standards. Notwithstanding this, t</w:t>
            </w:r>
            <w:r w:rsidRPr="008F6284">
              <w:rPr>
                <w:sz w:val="24"/>
                <w:szCs w:val="24"/>
              </w:rPr>
              <w:t xml:space="preserve">he Tribunal </w:t>
            </w:r>
            <w:r>
              <w:rPr>
                <w:sz w:val="24"/>
                <w:szCs w:val="24"/>
              </w:rPr>
              <w:t xml:space="preserve">recommends </w:t>
            </w:r>
            <w:r w:rsidR="00896563">
              <w:rPr>
                <w:sz w:val="24"/>
                <w:szCs w:val="24"/>
              </w:rPr>
              <w:t xml:space="preserve">to </w:t>
            </w:r>
            <w:r>
              <w:rPr>
                <w:sz w:val="24"/>
                <w:szCs w:val="24"/>
              </w:rPr>
              <w:t>the ACT Government</w:t>
            </w:r>
            <w:r w:rsidR="003B67CF">
              <w:rPr>
                <w:sz w:val="24"/>
                <w:szCs w:val="24"/>
              </w:rPr>
              <w:t xml:space="preserve"> that it</w:t>
            </w:r>
            <w:r>
              <w:rPr>
                <w:sz w:val="24"/>
                <w:szCs w:val="24"/>
              </w:rPr>
              <w:t>:</w:t>
            </w:r>
          </w:p>
          <w:p w14:paraId="30A3243A" w14:textId="77777777" w:rsidR="003E6CA9" w:rsidRPr="00594FC1" w:rsidRDefault="003E6CA9" w:rsidP="00DF4362">
            <w:pPr>
              <w:pStyle w:val="ListParagraph"/>
              <w:numPr>
                <w:ilvl w:val="0"/>
                <w:numId w:val="24"/>
              </w:numPr>
              <w:spacing w:before="120"/>
              <w:ind w:left="774" w:hanging="461"/>
              <w:rPr>
                <w:sz w:val="24"/>
                <w:szCs w:val="24"/>
              </w:rPr>
            </w:pPr>
            <w:r w:rsidRPr="00594FC1">
              <w:rPr>
                <w:sz w:val="24"/>
                <w:szCs w:val="24"/>
              </w:rPr>
              <w:t xml:space="preserve">review and adjust rates on an annual basis; </w:t>
            </w:r>
          </w:p>
          <w:p w14:paraId="7DB183A2" w14:textId="6CF4F739" w:rsidR="003E6CA9" w:rsidRPr="00721055" w:rsidRDefault="003E6CA9" w:rsidP="003E6CA9">
            <w:pPr>
              <w:pStyle w:val="ListParagraph"/>
              <w:numPr>
                <w:ilvl w:val="0"/>
                <w:numId w:val="24"/>
              </w:numPr>
              <w:ind w:left="774" w:hanging="461"/>
              <w:rPr>
                <w:sz w:val="24"/>
                <w:szCs w:val="24"/>
              </w:rPr>
            </w:pPr>
            <w:r w:rsidRPr="00721055">
              <w:rPr>
                <w:sz w:val="24"/>
                <w:szCs w:val="24"/>
              </w:rPr>
              <w:t>increase the rates to ensure competitiveness with the rates offered in the APS</w:t>
            </w:r>
            <w:r>
              <w:rPr>
                <w:sz w:val="24"/>
                <w:szCs w:val="24"/>
              </w:rPr>
              <w:t xml:space="preserve">; </w:t>
            </w:r>
          </w:p>
          <w:p w14:paraId="689D0E27" w14:textId="2A352603" w:rsidR="00594FC1" w:rsidRDefault="003E6CA9" w:rsidP="00784975">
            <w:pPr>
              <w:pStyle w:val="ListParagraph"/>
              <w:numPr>
                <w:ilvl w:val="0"/>
                <w:numId w:val="24"/>
              </w:numPr>
              <w:ind w:left="774" w:hanging="461"/>
              <w:rPr>
                <w:sz w:val="24"/>
                <w:szCs w:val="24"/>
              </w:rPr>
            </w:pPr>
            <w:r w:rsidRPr="00721055">
              <w:rPr>
                <w:sz w:val="24"/>
                <w:szCs w:val="24"/>
              </w:rPr>
              <w:t>apply one rate of allowance for all executives rather than different allowance rates for each band</w:t>
            </w:r>
            <w:r w:rsidR="00F64DD5">
              <w:rPr>
                <w:sz w:val="24"/>
                <w:szCs w:val="24"/>
              </w:rPr>
              <w:t xml:space="preserve"> (t</w:t>
            </w:r>
            <w:r w:rsidRPr="00721055">
              <w:rPr>
                <w:sz w:val="24"/>
                <w:szCs w:val="24"/>
              </w:rPr>
              <w:t xml:space="preserve">his approach would be consistent with the arrangements for </w:t>
            </w:r>
            <w:r w:rsidR="005641D3" w:rsidRPr="00721055">
              <w:rPr>
                <w:sz w:val="24"/>
                <w:szCs w:val="24"/>
              </w:rPr>
              <w:t>M</w:t>
            </w:r>
            <w:r w:rsidR="005641D3">
              <w:rPr>
                <w:sz w:val="24"/>
                <w:szCs w:val="24"/>
              </w:rPr>
              <w:t>embers of the Legislative Assembly</w:t>
            </w:r>
            <w:r w:rsidR="005641D3" w:rsidRPr="00721055">
              <w:rPr>
                <w:sz w:val="24"/>
                <w:szCs w:val="24"/>
              </w:rPr>
              <w:t xml:space="preserve"> </w:t>
            </w:r>
            <w:r w:rsidR="005641D3">
              <w:rPr>
                <w:sz w:val="24"/>
                <w:szCs w:val="24"/>
              </w:rPr>
              <w:t>(</w:t>
            </w:r>
            <w:r w:rsidRPr="00721055">
              <w:rPr>
                <w:sz w:val="24"/>
                <w:szCs w:val="24"/>
              </w:rPr>
              <w:t>MLAs</w:t>
            </w:r>
            <w:r w:rsidR="00F64DD5">
              <w:rPr>
                <w:sz w:val="24"/>
                <w:szCs w:val="24"/>
              </w:rPr>
              <w:t>)</w:t>
            </w:r>
            <w:r w:rsidR="00594FC1">
              <w:rPr>
                <w:sz w:val="24"/>
                <w:szCs w:val="24"/>
              </w:rPr>
              <w:t>; and</w:t>
            </w:r>
            <w:r w:rsidR="00594FC1" w:rsidRPr="00721055">
              <w:rPr>
                <w:sz w:val="24"/>
                <w:szCs w:val="24"/>
              </w:rPr>
              <w:t xml:space="preserve"> </w:t>
            </w:r>
          </w:p>
          <w:p w14:paraId="1A17EA61" w14:textId="5400063F" w:rsidR="0040752F" w:rsidRDefault="00594FC1" w:rsidP="00896563">
            <w:pPr>
              <w:pStyle w:val="ListParagraph"/>
              <w:numPr>
                <w:ilvl w:val="0"/>
                <w:numId w:val="24"/>
              </w:numPr>
              <w:spacing w:after="120"/>
              <w:ind w:left="771" w:hanging="459"/>
              <w:rPr>
                <w:sz w:val="24"/>
                <w:szCs w:val="24"/>
              </w:rPr>
            </w:pPr>
            <w:proofErr w:type="gramStart"/>
            <w:r w:rsidRPr="00721055">
              <w:rPr>
                <w:sz w:val="24"/>
                <w:szCs w:val="24"/>
              </w:rPr>
              <w:t>consider</w:t>
            </w:r>
            <w:proofErr w:type="gramEnd"/>
            <w:r w:rsidRPr="00721055">
              <w:rPr>
                <w:sz w:val="24"/>
                <w:szCs w:val="24"/>
              </w:rPr>
              <w:t xml:space="preserve"> amending the PSM Standards to remove the provision of a vehicle and replace </w:t>
            </w:r>
            <w:r w:rsidR="00F64DD5">
              <w:rPr>
                <w:sz w:val="24"/>
                <w:szCs w:val="24"/>
              </w:rPr>
              <w:t xml:space="preserve">it </w:t>
            </w:r>
            <w:r w:rsidRPr="00721055">
              <w:rPr>
                <w:sz w:val="24"/>
                <w:szCs w:val="24"/>
              </w:rPr>
              <w:t xml:space="preserve">with </w:t>
            </w:r>
            <w:r w:rsidR="00F64DD5">
              <w:rPr>
                <w:sz w:val="24"/>
                <w:szCs w:val="24"/>
              </w:rPr>
              <w:t>an</w:t>
            </w:r>
            <w:r w:rsidR="00F64DD5" w:rsidRPr="00721055">
              <w:rPr>
                <w:sz w:val="24"/>
                <w:szCs w:val="24"/>
              </w:rPr>
              <w:t xml:space="preserve"> </w:t>
            </w:r>
            <w:r w:rsidRPr="00721055">
              <w:rPr>
                <w:sz w:val="24"/>
                <w:szCs w:val="24"/>
              </w:rPr>
              <w:t>allowance in lieu, similar to the arrangements for MLAs</w:t>
            </w:r>
            <w:r>
              <w:rPr>
                <w:sz w:val="24"/>
                <w:szCs w:val="24"/>
              </w:rPr>
              <w:t>.</w:t>
            </w:r>
          </w:p>
        </w:tc>
      </w:tr>
    </w:tbl>
    <w:p w14:paraId="389D8E3E" w14:textId="77777777" w:rsidR="0040752F" w:rsidRDefault="0040752F" w:rsidP="00F90F54">
      <w:pPr>
        <w:spacing w:after="0" w:line="240" w:lineRule="auto"/>
        <w:rPr>
          <w:color w:val="0070C0"/>
          <w:sz w:val="24"/>
          <w:szCs w:val="24"/>
        </w:rPr>
      </w:pPr>
    </w:p>
    <w:tbl>
      <w:tblPr>
        <w:tblStyle w:val="TableGrid"/>
        <w:tblW w:w="0" w:type="auto"/>
        <w:shd w:val="clear" w:color="auto" w:fill="E5DFEC" w:themeFill="accent4" w:themeFillTint="33"/>
        <w:tblLook w:val="04A0" w:firstRow="1" w:lastRow="0" w:firstColumn="1" w:lastColumn="0" w:noHBand="0" w:noVBand="1"/>
      </w:tblPr>
      <w:tblGrid>
        <w:gridCol w:w="9016"/>
      </w:tblGrid>
      <w:tr w:rsidR="0040752F" w14:paraId="6F64FD5B" w14:textId="77777777" w:rsidTr="00D95718">
        <w:tc>
          <w:tcPr>
            <w:tcW w:w="9016" w:type="dxa"/>
            <w:shd w:val="clear" w:color="auto" w:fill="E5DFEC" w:themeFill="accent4" w:themeFillTint="33"/>
          </w:tcPr>
          <w:p w14:paraId="0F66A217" w14:textId="152BFC84" w:rsidR="0040752F" w:rsidRDefault="0040752F" w:rsidP="00963BBB">
            <w:pPr>
              <w:spacing w:before="120" w:after="120" w:line="276" w:lineRule="auto"/>
              <w:rPr>
                <w:sz w:val="24"/>
                <w:szCs w:val="24"/>
              </w:rPr>
            </w:pPr>
            <w:r w:rsidRPr="007570FB">
              <w:rPr>
                <w:b/>
                <w:color w:val="000000" w:themeColor="text1"/>
                <w:sz w:val="24"/>
                <w:szCs w:val="24"/>
              </w:rPr>
              <w:t xml:space="preserve">Decision </w:t>
            </w:r>
            <w:r w:rsidR="00963BBB">
              <w:rPr>
                <w:b/>
                <w:color w:val="000000" w:themeColor="text1"/>
                <w:sz w:val="24"/>
                <w:szCs w:val="24"/>
              </w:rPr>
              <w:t>14</w:t>
            </w:r>
            <w:r w:rsidRPr="007570FB">
              <w:rPr>
                <w:b/>
                <w:color w:val="000000" w:themeColor="text1"/>
                <w:sz w:val="24"/>
                <w:szCs w:val="24"/>
              </w:rPr>
              <w:t xml:space="preserve">: </w:t>
            </w:r>
            <w:r w:rsidR="00931D6A">
              <w:rPr>
                <w:sz w:val="24"/>
                <w:szCs w:val="24"/>
              </w:rPr>
              <w:t xml:space="preserve">As </w:t>
            </w:r>
            <w:r w:rsidR="00251912">
              <w:rPr>
                <w:sz w:val="24"/>
                <w:szCs w:val="24"/>
              </w:rPr>
              <w:t xml:space="preserve">the </w:t>
            </w:r>
            <w:r w:rsidR="00931D6A">
              <w:rPr>
                <w:sz w:val="24"/>
                <w:szCs w:val="24"/>
              </w:rPr>
              <w:t>allowance in lieu of a car park is set in the PSM Standards, it is a matter for the Government. However, the Tribunal is of the view that the allowance in lieu of a car park should be established based on the current average cost of a car park and adjusted taking into account C</w:t>
            </w:r>
            <w:r w:rsidR="00390E4D">
              <w:rPr>
                <w:sz w:val="24"/>
                <w:szCs w:val="24"/>
              </w:rPr>
              <w:t xml:space="preserve">onsumer </w:t>
            </w:r>
            <w:r w:rsidR="00931D6A">
              <w:rPr>
                <w:sz w:val="24"/>
                <w:szCs w:val="24"/>
              </w:rPr>
              <w:t>P</w:t>
            </w:r>
            <w:r w:rsidR="00390E4D">
              <w:rPr>
                <w:sz w:val="24"/>
                <w:szCs w:val="24"/>
              </w:rPr>
              <w:t xml:space="preserve">rice </w:t>
            </w:r>
            <w:r w:rsidR="00931D6A">
              <w:rPr>
                <w:sz w:val="24"/>
                <w:szCs w:val="24"/>
              </w:rPr>
              <w:t>I</w:t>
            </w:r>
            <w:r w:rsidR="00390E4D">
              <w:rPr>
                <w:sz w:val="24"/>
                <w:szCs w:val="24"/>
              </w:rPr>
              <w:t>ndex</w:t>
            </w:r>
            <w:r w:rsidR="00931D6A">
              <w:rPr>
                <w:sz w:val="24"/>
                <w:szCs w:val="24"/>
              </w:rPr>
              <w:t xml:space="preserve"> increases.</w:t>
            </w:r>
          </w:p>
        </w:tc>
      </w:tr>
    </w:tbl>
    <w:p w14:paraId="10588452" w14:textId="77777777" w:rsidR="0040752F" w:rsidRPr="0040752F" w:rsidRDefault="0040752F" w:rsidP="00F90F54">
      <w:pPr>
        <w:spacing w:after="0" w:line="240" w:lineRule="auto"/>
        <w:rPr>
          <w:color w:val="0070C0"/>
          <w:sz w:val="24"/>
          <w:szCs w:val="24"/>
        </w:rPr>
      </w:pPr>
    </w:p>
    <w:tbl>
      <w:tblPr>
        <w:tblStyle w:val="TableGrid"/>
        <w:tblW w:w="0" w:type="auto"/>
        <w:shd w:val="clear" w:color="auto" w:fill="E5DFEC" w:themeFill="accent4" w:themeFillTint="33"/>
        <w:tblLook w:val="04A0" w:firstRow="1" w:lastRow="0" w:firstColumn="1" w:lastColumn="0" w:noHBand="0" w:noVBand="1"/>
      </w:tblPr>
      <w:tblGrid>
        <w:gridCol w:w="9016"/>
      </w:tblGrid>
      <w:tr w:rsidR="0040752F" w14:paraId="56C02BF0" w14:textId="77777777" w:rsidTr="00D95718">
        <w:tc>
          <w:tcPr>
            <w:tcW w:w="9016" w:type="dxa"/>
            <w:shd w:val="clear" w:color="auto" w:fill="E5DFEC" w:themeFill="accent4" w:themeFillTint="33"/>
          </w:tcPr>
          <w:p w14:paraId="2ED905CC" w14:textId="537577BC" w:rsidR="0040752F" w:rsidRDefault="0040752F" w:rsidP="00963BBB">
            <w:pPr>
              <w:spacing w:before="120" w:after="120" w:line="276" w:lineRule="auto"/>
              <w:rPr>
                <w:sz w:val="24"/>
                <w:szCs w:val="24"/>
              </w:rPr>
            </w:pPr>
            <w:r w:rsidRPr="007570FB">
              <w:rPr>
                <w:b/>
                <w:color w:val="000000" w:themeColor="text1"/>
                <w:sz w:val="24"/>
                <w:szCs w:val="24"/>
              </w:rPr>
              <w:t xml:space="preserve">Decision </w:t>
            </w:r>
            <w:r w:rsidR="00963BBB">
              <w:rPr>
                <w:b/>
                <w:color w:val="000000" w:themeColor="text1"/>
                <w:sz w:val="24"/>
                <w:szCs w:val="24"/>
              </w:rPr>
              <w:t>15</w:t>
            </w:r>
            <w:r w:rsidRPr="007570FB">
              <w:rPr>
                <w:b/>
                <w:color w:val="000000" w:themeColor="text1"/>
                <w:sz w:val="24"/>
                <w:szCs w:val="24"/>
              </w:rPr>
              <w:t xml:space="preserve">: </w:t>
            </w:r>
            <w:r w:rsidR="003E6CA9" w:rsidRPr="007F684F">
              <w:rPr>
                <w:sz w:val="24"/>
                <w:szCs w:val="24"/>
              </w:rPr>
              <w:t xml:space="preserve">The Tribunal </w:t>
            </w:r>
            <w:r w:rsidR="003E6CA9">
              <w:rPr>
                <w:sz w:val="24"/>
                <w:szCs w:val="24"/>
              </w:rPr>
              <w:t>will</w:t>
            </w:r>
            <w:r w:rsidR="003E6CA9" w:rsidRPr="007F684F">
              <w:rPr>
                <w:sz w:val="24"/>
                <w:szCs w:val="24"/>
              </w:rPr>
              <w:t xml:space="preserve"> </w:t>
            </w:r>
            <w:r w:rsidR="003E6CA9">
              <w:rPr>
                <w:sz w:val="24"/>
                <w:szCs w:val="24"/>
              </w:rPr>
              <w:t>include</w:t>
            </w:r>
            <w:r w:rsidR="003E6CA9" w:rsidRPr="007F684F">
              <w:rPr>
                <w:sz w:val="24"/>
                <w:szCs w:val="24"/>
              </w:rPr>
              <w:t xml:space="preserve"> a reference in the next determination for ACTPS executives which will refer to the conditions set in the PSM Standards and Enterprise Agreements to assist executives in having a full and complete understanding of their remuneration and entitlements in one central location.</w:t>
            </w:r>
          </w:p>
        </w:tc>
      </w:tr>
    </w:tbl>
    <w:p w14:paraId="2562854F" w14:textId="77777777" w:rsidR="0040752F" w:rsidRPr="0040752F" w:rsidRDefault="0040752F" w:rsidP="00F90F54">
      <w:pPr>
        <w:spacing w:after="0" w:line="240" w:lineRule="auto"/>
        <w:rPr>
          <w:color w:val="0070C0"/>
          <w:sz w:val="24"/>
          <w:szCs w:val="24"/>
        </w:rPr>
      </w:pPr>
    </w:p>
    <w:tbl>
      <w:tblPr>
        <w:tblStyle w:val="TableGrid"/>
        <w:tblW w:w="0" w:type="auto"/>
        <w:shd w:val="clear" w:color="auto" w:fill="E5DFEC" w:themeFill="accent4" w:themeFillTint="33"/>
        <w:tblLook w:val="04A0" w:firstRow="1" w:lastRow="0" w:firstColumn="1" w:lastColumn="0" w:noHBand="0" w:noVBand="1"/>
      </w:tblPr>
      <w:tblGrid>
        <w:gridCol w:w="9016"/>
      </w:tblGrid>
      <w:tr w:rsidR="0040752F" w14:paraId="6B2A2651" w14:textId="77777777" w:rsidTr="00D95718">
        <w:tc>
          <w:tcPr>
            <w:tcW w:w="9016" w:type="dxa"/>
            <w:shd w:val="clear" w:color="auto" w:fill="E5DFEC" w:themeFill="accent4" w:themeFillTint="33"/>
          </w:tcPr>
          <w:p w14:paraId="4FA0E97C" w14:textId="0B9D3B39" w:rsidR="0040752F" w:rsidRDefault="0040752F" w:rsidP="00963BBB">
            <w:pPr>
              <w:spacing w:before="120" w:after="120" w:line="276" w:lineRule="auto"/>
              <w:rPr>
                <w:sz w:val="24"/>
                <w:szCs w:val="24"/>
              </w:rPr>
            </w:pPr>
            <w:r w:rsidRPr="007570FB">
              <w:rPr>
                <w:b/>
                <w:color w:val="000000" w:themeColor="text1"/>
                <w:sz w:val="24"/>
                <w:szCs w:val="24"/>
              </w:rPr>
              <w:t xml:space="preserve">Decision </w:t>
            </w:r>
            <w:r w:rsidR="00963BBB">
              <w:rPr>
                <w:b/>
                <w:color w:val="000000" w:themeColor="text1"/>
                <w:sz w:val="24"/>
                <w:szCs w:val="24"/>
              </w:rPr>
              <w:t>16</w:t>
            </w:r>
            <w:r w:rsidRPr="007570FB">
              <w:rPr>
                <w:b/>
                <w:color w:val="000000" w:themeColor="text1"/>
                <w:sz w:val="24"/>
                <w:szCs w:val="24"/>
              </w:rPr>
              <w:t xml:space="preserve">: </w:t>
            </w:r>
            <w:r w:rsidR="003E6CA9">
              <w:rPr>
                <w:rFonts w:ascii="Calibri" w:hAnsi="Calibri" w:cs="Times New Roman"/>
                <w:sz w:val="24"/>
                <w:szCs w:val="24"/>
                <w:lang w:eastAsia="en-AU"/>
              </w:rPr>
              <w:t xml:space="preserve">The Tribunal has decided to increase the </w:t>
            </w:r>
            <w:r w:rsidR="00390E4D">
              <w:rPr>
                <w:rFonts w:ascii="Calibri" w:hAnsi="Calibri" w:cs="Times New Roman"/>
                <w:sz w:val="24"/>
                <w:szCs w:val="24"/>
                <w:lang w:eastAsia="en-AU"/>
              </w:rPr>
              <w:t>Fringe Benefits Tax (</w:t>
            </w:r>
            <w:r w:rsidR="003E6CA9">
              <w:rPr>
                <w:rFonts w:ascii="Calibri" w:hAnsi="Calibri" w:cs="Times New Roman"/>
                <w:sz w:val="24"/>
                <w:szCs w:val="24"/>
                <w:lang w:eastAsia="en-AU"/>
              </w:rPr>
              <w:t>FBT</w:t>
            </w:r>
            <w:r w:rsidR="00390E4D">
              <w:rPr>
                <w:rFonts w:ascii="Calibri" w:hAnsi="Calibri" w:cs="Times New Roman"/>
                <w:sz w:val="24"/>
                <w:szCs w:val="24"/>
                <w:lang w:eastAsia="en-AU"/>
              </w:rPr>
              <w:t>)</w:t>
            </w:r>
            <w:r w:rsidR="003E6CA9">
              <w:rPr>
                <w:rFonts w:ascii="Calibri" w:hAnsi="Calibri" w:cs="Times New Roman"/>
                <w:sz w:val="24"/>
                <w:szCs w:val="24"/>
                <w:lang w:eastAsia="en-AU"/>
              </w:rPr>
              <w:t xml:space="preserve"> payment. The payment will </w:t>
            </w:r>
            <w:r w:rsidR="003E6CA9" w:rsidRPr="00FF72A1">
              <w:rPr>
                <w:rFonts w:ascii="Calibri" w:hAnsi="Calibri" w:cs="Times New Roman"/>
                <w:sz w:val="24"/>
                <w:szCs w:val="24"/>
                <w:lang w:eastAsia="en-AU"/>
              </w:rPr>
              <w:t xml:space="preserve">be </w:t>
            </w:r>
            <w:r w:rsidR="003E6CA9">
              <w:rPr>
                <w:rFonts w:ascii="Calibri" w:hAnsi="Calibri" w:cs="Times New Roman"/>
                <w:sz w:val="24"/>
                <w:szCs w:val="24"/>
                <w:lang w:eastAsia="en-AU"/>
              </w:rPr>
              <w:t xml:space="preserve">made </w:t>
            </w:r>
            <w:r w:rsidR="003E6CA9" w:rsidRPr="00FF72A1">
              <w:rPr>
                <w:rFonts w:ascii="Calibri" w:hAnsi="Calibri" w:cs="Times New Roman"/>
                <w:sz w:val="24"/>
                <w:szCs w:val="24"/>
                <w:lang w:eastAsia="en-AU"/>
              </w:rPr>
              <w:t>on a fortnightly basis</w:t>
            </w:r>
            <w:r w:rsidR="003E6CA9">
              <w:rPr>
                <w:rFonts w:ascii="Calibri" w:hAnsi="Calibri" w:cs="Times New Roman"/>
                <w:sz w:val="24"/>
                <w:szCs w:val="24"/>
                <w:lang w:eastAsia="en-AU"/>
              </w:rPr>
              <w:t xml:space="preserve"> for executives that receive the allowance in lieu of a vehicle</w:t>
            </w:r>
            <w:r w:rsidR="003E6CA9" w:rsidRPr="00FF72A1">
              <w:rPr>
                <w:rFonts w:ascii="Calibri" w:hAnsi="Calibri" w:cs="Times New Roman"/>
                <w:sz w:val="24"/>
                <w:szCs w:val="24"/>
                <w:lang w:eastAsia="en-AU"/>
              </w:rPr>
              <w:t xml:space="preserve">. </w:t>
            </w:r>
            <w:r w:rsidR="003E6CA9">
              <w:rPr>
                <w:rFonts w:ascii="Calibri" w:hAnsi="Calibri" w:cs="Times New Roman"/>
                <w:sz w:val="24"/>
                <w:szCs w:val="24"/>
                <w:lang w:eastAsia="en-AU"/>
              </w:rPr>
              <w:t>The Tribunal will monitor this rate on an annual basis.</w:t>
            </w:r>
          </w:p>
        </w:tc>
      </w:tr>
    </w:tbl>
    <w:p w14:paraId="4B0CDD52" w14:textId="5BA81411" w:rsidR="00C2556A" w:rsidRDefault="00C2556A" w:rsidP="00F90F54">
      <w:pPr>
        <w:spacing w:after="0" w:line="240" w:lineRule="auto"/>
        <w:rPr>
          <w:color w:val="0070C0"/>
          <w:sz w:val="24"/>
          <w:szCs w:val="24"/>
        </w:rPr>
      </w:pPr>
    </w:p>
    <w:p w14:paraId="5A16B793" w14:textId="77777777" w:rsidR="00C2556A" w:rsidRDefault="00C2556A">
      <w:pPr>
        <w:rPr>
          <w:color w:val="0070C0"/>
          <w:sz w:val="24"/>
          <w:szCs w:val="24"/>
        </w:rPr>
      </w:pPr>
      <w:r>
        <w:rPr>
          <w:color w:val="0070C0"/>
          <w:sz w:val="24"/>
          <w:szCs w:val="24"/>
        </w:rPr>
        <w:br w:type="page"/>
      </w:r>
    </w:p>
    <w:p w14:paraId="264FBA3A" w14:textId="77777777" w:rsidR="0040752F" w:rsidRPr="0040752F" w:rsidRDefault="0040752F" w:rsidP="00F90F54">
      <w:pPr>
        <w:spacing w:after="0" w:line="240" w:lineRule="auto"/>
        <w:rPr>
          <w:color w:val="0070C0"/>
          <w:sz w:val="24"/>
          <w:szCs w:val="24"/>
        </w:rPr>
      </w:pPr>
    </w:p>
    <w:tbl>
      <w:tblPr>
        <w:tblStyle w:val="TableGrid"/>
        <w:tblW w:w="0" w:type="auto"/>
        <w:shd w:val="clear" w:color="auto" w:fill="E5DFEC" w:themeFill="accent4" w:themeFillTint="33"/>
        <w:tblLook w:val="04A0" w:firstRow="1" w:lastRow="0" w:firstColumn="1" w:lastColumn="0" w:noHBand="0" w:noVBand="1"/>
      </w:tblPr>
      <w:tblGrid>
        <w:gridCol w:w="9016"/>
      </w:tblGrid>
      <w:tr w:rsidR="0040752F" w14:paraId="00F708EB" w14:textId="77777777" w:rsidTr="00D95718">
        <w:tc>
          <w:tcPr>
            <w:tcW w:w="9016" w:type="dxa"/>
            <w:shd w:val="clear" w:color="auto" w:fill="E5DFEC" w:themeFill="accent4" w:themeFillTint="33"/>
          </w:tcPr>
          <w:p w14:paraId="47938235" w14:textId="37733DEB" w:rsidR="0040752F" w:rsidRDefault="0040752F" w:rsidP="00F64DD5">
            <w:pPr>
              <w:spacing w:before="120" w:after="120" w:line="276" w:lineRule="auto"/>
              <w:rPr>
                <w:sz w:val="24"/>
                <w:szCs w:val="24"/>
              </w:rPr>
            </w:pPr>
            <w:r w:rsidRPr="007570FB">
              <w:rPr>
                <w:b/>
                <w:color w:val="000000" w:themeColor="text1"/>
                <w:sz w:val="24"/>
                <w:szCs w:val="24"/>
              </w:rPr>
              <w:t xml:space="preserve">Decision </w:t>
            </w:r>
            <w:r w:rsidR="00963BBB">
              <w:rPr>
                <w:b/>
                <w:color w:val="000000" w:themeColor="text1"/>
                <w:sz w:val="24"/>
                <w:szCs w:val="24"/>
              </w:rPr>
              <w:t>17</w:t>
            </w:r>
            <w:r w:rsidRPr="007570FB">
              <w:rPr>
                <w:b/>
                <w:color w:val="000000" w:themeColor="text1"/>
                <w:sz w:val="24"/>
                <w:szCs w:val="24"/>
              </w:rPr>
              <w:t>:</w:t>
            </w:r>
            <w:r w:rsidR="00125C64">
              <w:rPr>
                <w:rFonts w:ascii="Calibri" w:hAnsi="Calibri" w:cs="Times New Roman"/>
                <w:sz w:val="24"/>
                <w:szCs w:val="24"/>
                <w:lang w:eastAsia="en-AU"/>
              </w:rPr>
              <w:t xml:space="preserve"> </w:t>
            </w:r>
            <w:r w:rsidR="006F105A" w:rsidRPr="006F105A">
              <w:rPr>
                <w:rFonts w:ascii="Calibri" w:hAnsi="Calibri" w:cs="Times New Roman"/>
                <w:sz w:val="24"/>
                <w:szCs w:val="24"/>
                <w:lang w:eastAsia="en-AU"/>
              </w:rPr>
              <w:t xml:space="preserve">The Tribunal </w:t>
            </w:r>
            <w:r w:rsidR="00F64DD5">
              <w:rPr>
                <w:rFonts w:ascii="Calibri" w:hAnsi="Calibri" w:cs="Times New Roman"/>
                <w:sz w:val="24"/>
                <w:szCs w:val="24"/>
                <w:lang w:eastAsia="en-AU"/>
              </w:rPr>
              <w:t>does</w:t>
            </w:r>
            <w:r w:rsidR="00F64DD5" w:rsidRPr="006F105A">
              <w:rPr>
                <w:rFonts w:ascii="Calibri" w:hAnsi="Calibri" w:cs="Times New Roman"/>
                <w:sz w:val="24"/>
                <w:szCs w:val="24"/>
                <w:lang w:eastAsia="en-AU"/>
              </w:rPr>
              <w:t xml:space="preserve"> </w:t>
            </w:r>
            <w:r w:rsidR="006F105A" w:rsidRPr="006F105A">
              <w:rPr>
                <w:rFonts w:ascii="Calibri" w:hAnsi="Calibri" w:cs="Times New Roman"/>
                <w:sz w:val="24"/>
                <w:szCs w:val="24"/>
                <w:lang w:eastAsia="en-AU"/>
              </w:rPr>
              <w:t>not recommend any changes to salary packaging arrangements as a result of this review. However, given that the ACTPS Salary Packaging Policy has been in place since 2015, the Tribunal is of the view that it is timely to undertake a review and recommends that the review should be conducted in conjunction with a review of the Shared Services Salary Packaging Manual to ensure consistency in these policy requirements is maintained across the ACTPS.</w:t>
            </w:r>
          </w:p>
        </w:tc>
      </w:tr>
    </w:tbl>
    <w:p w14:paraId="76E3C380" w14:textId="77777777" w:rsidR="0040752F" w:rsidRPr="00680FCC" w:rsidRDefault="0040752F" w:rsidP="00F90F54">
      <w:pPr>
        <w:spacing w:after="0" w:line="240" w:lineRule="auto"/>
        <w:rPr>
          <w:color w:val="0070C0"/>
          <w:sz w:val="24"/>
          <w:szCs w:val="24"/>
        </w:rPr>
      </w:pPr>
    </w:p>
    <w:tbl>
      <w:tblPr>
        <w:tblStyle w:val="TableGrid"/>
        <w:tblW w:w="0" w:type="auto"/>
        <w:shd w:val="clear" w:color="auto" w:fill="E5DFEC" w:themeFill="accent4" w:themeFillTint="33"/>
        <w:tblLook w:val="04A0" w:firstRow="1" w:lastRow="0" w:firstColumn="1" w:lastColumn="0" w:noHBand="0" w:noVBand="1"/>
      </w:tblPr>
      <w:tblGrid>
        <w:gridCol w:w="9016"/>
      </w:tblGrid>
      <w:tr w:rsidR="0040752F" w14:paraId="3943DE77" w14:textId="77777777" w:rsidTr="00D95718">
        <w:tc>
          <w:tcPr>
            <w:tcW w:w="9016" w:type="dxa"/>
            <w:shd w:val="clear" w:color="auto" w:fill="E5DFEC" w:themeFill="accent4" w:themeFillTint="33"/>
          </w:tcPr>
          <w:p w14:paraId="6F732FE8" w14:textId="77777777" w:rsidR="00931D6A" w:rsidRDefault="0040752F" w:rsidP="00931D6A">
            <w:pPr>
              <w:spacing w:before="120"/>
              <w:rPr>
                <w:sz w:val="24"/>
                <w:szCs w:val="24"/>
              </w:rPr>
            </w:pPr>
            <w:r w:rsidRPr="007570FB">
              <w:rPr>
                <w:b/>
                <w:color w:val="000000" w:themeColor="text1"/>
                <w:sz w:val="24"/>
                <w:szCs w:val="24"/>
              </w:rPr>
              <w:t xml:space="preserve">Decision </w:t>
            </w:r>
            <w:r w:rsidR="00963BBB">
              <w:rPr>
                <w:b/>
                <w:color w:val="000000" w:themeColor="text1"/>
                <w:sz w:val="24"/>
                <w:szCs w:val="24"/>
              </w:rPr>
              <w:t>18</w:t>
            </w:r>
            <w:r w:rsidRPr="007570FB">
              <w:rPr>
                <w:b/>
                <w:color w:val="000000" w:themeColor="text1"/>
                <w:sz w:val="24"/>
                <w:szCs w:val="24"/>
              </w:rPr>
              <w:t xml:space="preserve">: </w:t>
            </w:r>
            <w:r w:rsidR="00931D6A">
              <w:rPr>
                <w:sz w:val="24"/>
                <w:szCs w:val="24"/>
              </w:rPr>
              <w:t>The Tribunal will monitor and review the relocation allowance each year</w:t>
            </w:r>
            <w:r w:rsidR="00931D6A" w:rsidRPr="00E56858">
              <w:rPr>
                <w:sz w:val="24"/>
                <w:szCs w:val="24"/>
              </w:rPr>
              <w:t xml:space="preserve">. </w:t>
            </w:r>
          </w:p>
          <w:p w14:paraId="1AD0045B" w14:textId="3EE030D8" w:rsidR="0040752F" w:rsidRDefault="00931D6A" w:rsidP="005641D3">
            <w:pPr>
              <w:spacing w:before="120" w:after="120" w:line="276" w:lineRule="auto"/>
              <w:rPr>
                <w:sz w:val="24"/>
                <w:szCs w:val="24"/>
              </w:rPr>
            </w:pPr>
            <w:r>
              <w:rPr>
                <w:sz w:val="24"/>
                <w:szCs w:val="24"/>
              </w:rPr>
              <w:t xml:space="preserve">The Tribunal will include a repayment provision in its Determination if an executive leaves the ACTPS. Under the new arrangements, executives that leave the ACTPS within the first six months will be required to pay back 100 per cent of the relocation allowance. Executives that leave the ACTPS within 12 months will be required to pay back 50 per cent of the relocation allowance. This would be consistent with the repayment of </w:t>
            </w:r>
            <w:r w:rsidRPr="001C19E7">
              <w:rPr>
                <w:rFonts w:ascii="Calibri" w:hAnsi="Calibri" w:cs="Calibri"/>
                <w:sz w:val="24"/>
                <w:szCs w:val="24"/>
                <w:lang w:val="en-AU"/>
              </w:rPr>
              <w:t>reimbursement of reasonable relocation expenses</w:t>
            </w:r>
            <w:r>
              <w:rPr>
                <w:sz w:val="24"/>
                <w:szCs w:val="24"/>
              </w:rPr>
              <w:t xml:space="preserve"> provision that applies to non-executive employees in the </w:t>
            </w:r>
            <w:r w:rsidRPr="006A4280">
              <w:rPr>
                <w:sz w:val="24"/>
                <w:szCs w:val="24"/>
              </w:rPr>
              <w:t xml:space="preserve">ACT Public Service Administrative and Related Classifications Enterprise Agreement </w:t>
            </w:r>
            <w:r w:rsidR="005641D3">
              <w:rPr>
                <w:sz w:val="24"/>
                <w:szCs w:val="24"/>
              </w:rPr>
              <w:t>2018</w:t>
            </w:r>
            <w:r w:rsidRPr="006A4280">
              <w:rPr>
                <w:sz w:val="24"/>
                <w:szCs w:val="24"/>
              </w:rPr>
              <w:t>-</w:t>
            </w:r>
            <w:r>
              <w:rPr>
                <w:sz w:val="24"/>
                <w:szCs w:val="24"/>
              </w:rPr>
              <w:t>2021.</w:t>
            </w:r>
            <w:r w:rsidRPr="006A4280">
              <w:rPr>
                <w:sz w:val="24"/>
                <w:szCs w:val="24"/>
              </w:rPr>
              <w:t xml:space="preserve"> </w:t>
            </w:r>
            <w:r>
              <w:rPr>
                <w:sz w:val="24"/>
                <w:szCs w:val="24"/>
              </w:rPr>
              <w:t xml:space="preserve"> </w:t>
            </w:r>
          </w:p>
        </w:tc>
      </w:tr>
    </w:tbl>
    <w:p w14:paraId="7BBA590A" w14:textId="77777777" w:rsidR="0040752F" w:rsidRPr="00680FCC" w:rsidRDefault="0040752F" w:rsidP="00F90F54">
      <w:pPr>
        <w:spacing w:after="0" w:line="240" w:lineRule="auto"/>
        <w:rPr>
          <w:color w:val="0070C0"/>
          <w:sz w:val="24"/>
          <w:szCs w:val="24"/>
        </w:rPr>
      </w:pPr>
    </w:p>
    <w:tbl>
      <w:tblPr>
        <w:tblStyle w:val="TableGrid"/>
        <w:tblW w:w="0" w:type="auto"/>
        <w:shd w:val="clear" w:color="auto" w:fill="E5DFEC" w:themeFill="accent4" w:themeFillTint="33"/>
        <w:tblLook w:val="04A0" w:firstRow="1" w:lastRow="0" w:firstColumn="1" w:lastColumn="0" w:noHBand="0" w:noVBand="1"/>
      </w:tblPr>
      <w:tblGrid>
        <w:gridCol w:w="9016"/>
      </w:tblGrid>
      <w:tr w:rsidR="0040752F" w14:paraId="32F18E4A" w14:textId="77777777" w:rsidTr="00D95718">
        <w:tc>
          <w:tcPr>
            <w:tcW w:w="9016" w:type="dxa"/>
            <w:shd w:val="clear" w:color="auto" w:fill="E5DFEC" w:themeFill="accent4" w:themeFillTint="33"/>
          </w:tcPr>
          <w:p w14:paraId="36F6BE5C" w14:textId="3E97DB29" w:rsidR="0040752F" w:rsidRDefault="0040752F" w:rsidP="00B91F4F">
            <w:pPr>
              <w:spacing w:before="120" w:after="120" w:line="276" w:lineRule="auto"/>
              <w:rPr>
                <w:sz w:val="24"/>
                <w:szCs w:val="24"/>
              </w:rPr>
            </w:pPr>
            <w:r w:rsidRPr="007570FB">
              <w:rPr>
                <w:b/>
                <w:color w:val="000000" w:themeColor="text1"/>
                <w:sz w:val="24"/>
                <w:szCs w:val="24"/>
              </w:rPr>
              <w:t xml:space="preserve">Decision </w:t>
            </w:r>
            <w:r w:rsidR="00963BBB">
              <w:rPr>
                <w:b/>
                <w:color w:val="000000" w:themeColor="text1"/>
                <w:sz w:val="24"/>
                <w:szCs w:val="24"/>
              </w:rPr>
              <w:t>19</w:t>
            </w:r>
            <w:r w:rsidRPr="007570FB">
              <w:rPr>
                <w:b/>
                <w:color w:val="000000" w:themeColor="text1"/>
                <w:sz w:val="24"/>
                <w:szCs w:val="24"/>
              </w:rPr>
              <w:t xml:space="preserve">: </w:t>
            </w:r>
            <w:r w:rsidR="000706E9">
              <w:rPr>
                <w:sz w:val="24"/>
                <w:szCs w:val="24"/>
              </w:rPr>
              <w:t xml:space="preserve">The Tribunal notes that the executive leave entitlements are consistent with other jurisdictions, and in some cases (such </w:t>
            </w:r>
            <w:r w:rsidR="000706E9" w:rsidRPr="009C29C4">
              <w:rPr>
                <w:sz w:val="24"/>
                <w:szCs w:val="24"/>
              </w:rPr>
              <w:t xml:space="preserve">as personal leave and </w:t>
            </w:r>
            <w:r w:rsidR="000706E9">
              <w:rPr>
                <w:sz w:val="24"/>
                <w:szCs w:val="24"/>
              </w:rPr>
              <w:t>paid maternity leave) are more beneficial. The Tribunal’s Determination is currently silent on leave entitlements</w:t>
            </w:r>
            <w:r w:rsidR="000706E9" w:rsidRPr="00F46041">
              <w:rPr>
                <w:sz w:val="24"/>
                <w:szCs w:val="24"/>
              </w:rPr>
              <w:t xml:space="preserve">. The Tribunal </w:t>
            </w:r>
            <w:r w:rsidR="00B91F4F">
              <w:rPr>
                <w:sz w:val="24"/>
                <w:szCs w:val="24"/>
              </w:rPr>
              <w:t>is of the view</w:t>
            </w:r>
            <w:r w:rsidR="00F64DD5">
              <w:rPr>
                <w:sz w:val="24"/>
                <w:szCs w:val="24"/>
              </w:rPr>
              <w:t xml:space="preserve"> that</w:t>
            </w:r>
            <w:r w:rsidR="00B91F4F" w:rsidRPr="00F46041">
              <w:rPr>
                <w:sz w:val="24"/>
                <w:szCs w:val="24"/>
              </w:rPr>
              <w:t xml:space="preserve"> </w:t>
            </w:r>
            <w:r w:rsidR="000706E9" w:rsidRPr="00F46041">
              <w:rPr>
                <w:sz w:val="24"/>
                <w:szCs w:val="24"/>
              </w:rPr>
              <w:t xml:space="preserve">the inclusion of a clause </w:t>
            </w:r>
            <w:r w:rsidR="000706E9">
              <w:rPr>
                <w:sz w:val="24"/>
                <w:szCs w:val="24"/>
              </w:rPr>
              <w:t>about</w:t>
            </w:r>
            <w:r w:rsidR="000706E9" w:rsidRPr="00F46041">
              <w:rPr>
                <w:sz w:val="24"/>
                <w:szCs w:val="24"/>
              </w:rPr>
              <w:t xml:space="preserve"> leave entitlements within the section on employer</w:t>
            </w:r>
            <w:r w:rsidR="00F64DD5">
              <w:rPr>
                <w:sz w:val="24"/>
                <w:szCs w:val="24"/>
              </w:rPr>
              <w:t>-</w:t>
            </w:r>
            <w:r w:rsidR="000706E9" w:rsidRPr="00F46041">
              <w:rPr>
                <w:sz w:val="24"/>
                <w:szCs w:val="24"/>
              </w:rPr>
              <w:t xml:space="preserve">provided benefits will </w:t>
            </w:r>
            <w:r w:rsidR="000706E9">
              <w:rPr>
                <w:sz w:val="24"/>
                <w:szCs w:val="24"/>
              </w:rPr>
              <w:t>clarify the entitlements in one central location</w:t>
            </w:r>
            <w:r w:rsidR="000706E9" w:rsidRPr="00F46041">
              <w:rPr>
                <w:sz w:val="24"/>
                <w:szCs w:val="24"/>
              </w:rPr>
              <w:t>.</w:t>
            </w:r>
          </w:p>
        </w:tc>
      </w:tr>
    </w:tbl>
    <w:p w14:paraId="527C2E99" w14:textId="77777777" w:rsidR="00F921C8" w:rsidRPr="00680FCC" w:rsidRDefault="00F921C8" w:rsidP="00F90F54">
      <w:pPr>
        <w:spacing w:after="0" w:line="240" w:lineRule="auto"/>
        <w:rPr>
          <w:color w:val="0070C0"/>
          <w:sz w:val="24"/>
          <w:szCs w:val="24"/>
        </w:rPr>
      </w:pPr>
    </w:p>
    <w:tbl>
      <w:tblPr>
        <w:tblStyle w:val="TableGrid"/>
        <w:tblW w:w="0" w:type="auto"/>
        <w:shd w:val="clear" w:color="auto" w:fill="E5DFEC" w:themeFill="accent4" w:themeFillTint="33"/>
        <w:tblLook w:val="04A0" w:firstRow="1" w:lastRow="0" w:firstColumn="1" w:lastColumn="0" w:noHBand="0" w:noVBand="1"/>
      </w:tblPr>
      <w:tblGrid>
        <w:gridCol w:w="9016"/>
      </w:tblGrid>
      <w:tr w:rsidR="00F921C8" w14:paraId="09B7CE70" w14:textId="77777777" w:rsidTr="00F921C8">
        <w:tc>
          <w:tcPr>
            <w:tcW w:w="9016" w:type="dxa"/>
            <w:shd w:val="clear" w:color="auto" w:fill="E5DFEC" w:themeFill="accent4" w:themeFillTint="33"/>
          </w:tcPr>
          <w:p w14:paraId="01147ACD" w14:textId="39BEB2CC" w:rsidR="00F921C8" w:rsidRDefault="00F921C8" w:rsidP="003F3C5F">
            <w:pPr>
              <w:spacing w:before="120" w:after="120" w:line="276" w:lineRule="auto"/>
              <w:rPr>
                <w:sz w:val="24"/>
                <w:szCs w:val="24"/>
              </w:rPr>
            </w:pPr>
            <w:r w:rsidRPr="007570FB">
              <w:rPr>
                <w:b/>
                <w:color w:val="000000" w:themeColor="text1"/>
                <w:sz w:val="24"/>
                <w:szCs w:val="24"/>
              </w:rPr>
              <w:t xml:space="preserve">Decision </w:t>
            </w:r>
            <w:r w:rsidR="00963BBB">
              <w:rPr>
                <w:b/>
                <w:color w:val="000000" w:themeColor="text1"/>
                <w:sz w:val="24"/>
                <w:szCs w:val="24"/>
              </w:rPr>
              <w:t>20</w:t>
            </w:r>
            <w:r w:rsidRPr="007570FB">
              <w:rPr>
                <w:b/>
                <w:color w:val="000000" w:themeColor="text1"/>
                <w:sz w:val="24"/>
                <w:szCs w:val="24"/>
              </w:rPr>
              <w:t xml:space="preserve">: </w:t>
            </w:r>
            <w:r w:rsidR="000706E9">
              <w:rPr>
                <w:sz w:val="24"/>
                <w:szCs w:val="24"/>
              </w:rPr>
              <w:t xml:space="preserve">The Tribunal considers that the provision of other </w:t>
            </w:r>
            <w:r w:rsidR="0079486A">
              <w:rPr>
                <w:sz w:val="24"/>
                <w:szCs w:val="24"/>
              </w:rPr>
              <w:t xml:space="preserve">executive </w:t>
            </w:r>
            <w:r w:rsidR="000706E9">
              <w:rPr>
                <w:sz w:val="24"/>
                <w:szCs w:val="24"/>
              </w:rPr>
              <w:t xml:space="preserve">entitlements is a matter for the relevant </w:t>
            </w:r>
            <w:r w:rsidR="003F3C5F">
              <w:rPr>
                <w:sz w:val="24"/>
                <w:szCs w:val="24"/>
              </w:rPr>
              <w:t xml:space="preserve">Directorate </w:t>
            </w:r>
            <w:r w:rsidR="000706E9">
              <w:rPr>
                <w:sz w:val="24"/>
                <w:szCs w:val="24"/>
              </w:rPr>
              <w:t>and the Head of Service</w:t>
            </w:r>
            <w:r w:rsidR="00F66E49">
              <w:rPr>
                <w:sz w:val="24"/>
                <w:szCs w:val="24"/>
              </w:rPr>
              <w:t>.</w:t>
            </w:r>
            <w:r w:rsidR="000706E9">
              <w:rPr>
                <w:sz w:val="24"/>
                <w:szCs w:val="24"/>
              </w:rPr>
              <w:t xml:space="preserve"> </w:t>
            </w:r>
            <w:r w:rsidR="00F66E49">
              <w:rPr>
                <w:sz w:val="24"/>
                <w:szCs w:val="24"/>
              </w:rPr>
              <w:t>H</w:t>
            </w:r>
            <w:r w:rsidR="000706E9">
              <w:rPr>
                <w:sz w:val="24"/>
                <w:szCs w:val="24"/>
              </w:rPr>
              <w:t xml:space="preserve">owever </w:t>
            </w:r>
            <w:r w:rsidR="00F66E49">
              <w:rPr>
                <w:sz w:val="24"/>
                <w:szCs w:val="24"/>
              </w:rPr>
              <w:t xml:space="preserve">its </w:t>
            </w:r>
            <w:r w:rsidR="000706E9">
              <w:rPr>
                <w:sz w:val="24"/>
                <w:szCs w:val="24"/>
              </w:rPr>
              <w:t xml:space="preserve">strong view </w:t>
            </w:r>
            <w:r w:rsidR="00F66E49">
              <w:rPr>
                <w:sz w:val="24"/>
                <w:szCs w:val="24"/>
              </w:rPr>
              <w:t xml:space="preserve">is </w:t>
            </w:r>
            <w:r w:rsidR="000706E9">
              <w:rPr>
                <w:sz w:val="24"/>
                <w:szCs w:val="24"/>
              </w:rPr>
              <w:t xml:space="preserve">that there should be consistency in </w:t>
            </w:r>
            <w:r w:rsidR="00B91F4F">
              <w:rPr>
                <w:sz w:val="24"/>
                <w:szCs w:val="24"/>
              </w:rPr>
              <w:t xml:space="preserve">the </w:t>
            </w:r>
            <w:r w:rsidR="000706E9">
              <w:rPr>
                <w:sz w:val="24"/>
                <w:szCs w:val="24"/>
              </w:rPr>
              <w:t>application of these entitlements and arrangements.</w:t>
            </w:r>
          </w:p>
        </w:tc>
      </w:tr>
    </w:tbl>
    <w:p w14:paraId="6B77487F" w14:textId="77777777" w:rsidR="00F921C8" w:rsidRPr="00680FCC" w:rsidRDefault="00F921C8" w:rsidP="00F90F54">
      <w:pPr>
        <w:spacing w:after="0" w:line="240" w:lineRule="auto"/>
        <w:rPr>
          <w:color w:val="0070C0"/>
          <w:sz w:val="24"/>
          <w:szCs w:val="24"/>
        </w:rPr>
      </w:pPr>
    </w:p>
    <w:tbl>
      <w:tblPr>
        <w:tblStyle w:val="TableGrid"/>
        <w:tblW w:w="0" w:type="auto"/>
        <w:shd w:val="clear" w:color="auto" w:fill="E5DFEC" w:themeFill="accent4" w:themeFillTint="33"/>
        <w:tblLook w:val="04A0" w:firstRow="1" w:lastRow="0" w:firstColumn="1" w:lastColumn="0" w:noHBand="0" w:noVBand="1"/>
      </w:tblPr>
      <w:tblGrid>
        <w:gridCol w:w="9016"/>
      </w:tblGrid>
      <w:tr w:rsidR="00F921C8" w14:paraId="4E190A49" w14:textId="77777777" w:rsidTr="00F921C8">
        <w:tc>
          <w:tcPr>
            <w:tcW w:w="9016" w:type="dxa"/>
            <w:shd w:val="clear" w:color="auto" w:fill="E5DFEC" w:themeFill="accent4" w:themeFillTint="33"/>
          </w:tcPr>
          <w:p w14:paraId="5DC0F237" w14:textId="66277628" w:rsidR="00F921C8" w:rsidRDefault="00F921C8" w:rsidP="0079486A">
            <w:pPr>
              <w:spacing w:before="120" w:after="120" w:line="276" w:lineRule="auto"/>
              <w:rPr>
                <w:sz w:val="24"/>
                <w:szCs w:val="24"/>
              </w:rPr>
            </w:pPr>
            <w:r w:rsidRPr="007570FB">
              <w:rPr>
                <w:b/>
                <w:color w:val="000000" w:themeColor="text1"/>
                <w:sz w:val="24"/>
                <w:szCs w:val="24"/>
              </w:rPr>
              <w:t xml:space="preserve">Decision </w:t>
            </w:r>
            <w:r w:rsidR="00963BBB">
              <w:rPr>
                <w:b/>
                <w:color w:val="000000" w:themeColor="text1"/>
                <w:sz w:val="24"/>
                <w:szCs w:val="24"/>
              </w:rPr>
              <w:t>21</w:t>
            </w:r>
            <w:r w:rsidRPr="007570FB">
              <w:rPr>
                <w:b/>
                <w:color w:val="000000" w:themeColor="text1"/>
                <w:sz w:val="24"/>
                <w:szCs w:val="24"/>
              </w:rPr>
              <w:t xml:space="preserve">: </w:t>
            </w:r>
            <w:r w:rsidR="000706E9">
              <w:rPr>
                <w:sz w:val="24"/>
                <w:szCs w:val="24"/>
              </w:rPr>
              <w:t xml:space="preserve">The Tribunal acknowledges that the Government has responsibility for travel arrangements which are contained in the PSM Standards and </w:t>
            </w:r>
            <w:r w:rsidR="00FA2964">
              <w:rPr>
                <w:sz w:val="24"/>
                <w:szCs w:val="24"/>
              </w:rPr>
              <w:t xml:space="preserve">are </w:t>
            </w:r>
            <w:r w:rsidR="000706E9">
              <w:rPr>
                <w:sz w:val="24"/>
                <w:szCs w:val="24"/>
              </w:rPr>
              <w:t xml:space="preserve">outside the Tribunal’s jurisdiction. Notwithstanding this, the Tribunal </w:t>
            </w:r>
            <w:r w:rsidR="0079486A">
              <w:rPr>
                <w:sz w:val="24"/>
                <w:szCs w:val="24"/>
              </w:rPr>
              <w:t xml:space="preserve">recommends </w:t>
            </w:r>
            <w:r w:rsidR="000706E9">
              <w:rPr>
                <w:sz w:val="24"/>
                <w:szCs w:val="24"/>
              </w:rPr>
              <w:t>to the Government that it would be beneficial to consider a small allowance for international travel purposes consistent with the ATO</w:t>
            </w:r>
            <w:r w:rsidR="00FA2964">
              <w:rPr>
                <w:sz w:val="24"/>
                <w:szCs w:val="24"/>
              </w:rPr>
              <w:t>’s</w:t>
            </w:r>
            <w:r w:rsidR="000706E9">
              <w:rPr>
                <w:sz w:val="24"/>
                <w:szCs w:val="24"/>
              </w:rPr>
              <w:t xml:space="preserve"> determinations.</w:t>
            </w:r>
          </w:p>
        </w:tc>
      </w:tr>
    </w:tbl>
    <w:p w14:paraId="3C01A735" w14:textId="15CB11E8" w:rsidR="00F921C8" w:rsidRPr="00680FCC" w:rsidRDefault="00F921C8" w:rsidP="00F90F54">
      <w:pPr>
        <w:spacing w:after="0" w:line="240" w:lineRule="auto"/>
        <w:rPr>
          <w:color w:val="0070C0"/>
          <w:sz w:val="24"/>
          <w:szCs w:val="24"/>
        </w:rPr>
      </w:pPr>
    </w:p>
    <w:tbl>
      <w:tblPr>
        <w:tblStyle w:val="TableGrid"/>
        <w:tblW w:w="0" w:type="auto"/>
        <w:shd w:val="clear" w:color="auto" w:fill="E5DFEC" w:themeFill="accent4" w:themeFillTint="33"/>
        <w:tblLook w:val="04A0" w:firstRow="1" w:lastRow="0" w:firstColumn="1" w:lastColumn="0" w:noHBand="0" w:noVBand="1"/>
      </w:tblPr>
      <w:tblGrid>
        <w:gridCol w:w="9016"/>
      </w:tblGrid>
      <w:tr w:rsidR="00F921C8" w14:paraId="765188A5" w14:textId="77777777" w:rsidTr="00F921C8">
        <w:tc>
          <w:tcPr>
            <w:tcW w:w="9016" w:type="dxa"/>
            <w:shd w:val="clear" w:color="auto" w:fill="E5DFEC" w:themeFill="accent4" w:themeFillTint="33"/>
          </w:tcPr>
          <w:p w14:paraId="267875F2" w14:textId="771D1FA0" w:rsidR="00F921C8" w:rsidRDefault="00F921C8" w:rsidP="00963BBB">
            <w:pPr>
              <w:spacing w:before="120" w:after="120" w:line="276" w:lineRule="auto"/>
              <w:rPr>
                <w:sz w:val="24"/>
                <w:szCs w:val="24"/>
              </w:rPr>
            </w:pPr>
            <w:r w:rsidRPr="007570FB">
              <w:rPr>
                <w:b/>
                <w:color w:val="000000" w:themeColor="text1"/>
                <w:sz w:val="24"/>
                <w:szCs w:val="24"/>
              </w:rPr>
              <w:lastRenderedPageBreak/>
              <w:t xml:space="preserve">Decision </w:t>
            </w:r>
            <w:r w:rsidR="00963BBB">
              <w:rPr>
                <w:b/>
                <w:color w:val="000000" w:themeColor="text1"/>
                <w:sz w:val="24"/>
                <w:szCs w:val="24"/>
              </w:rPr>
              <w:t>22</w:t>
            </w:r>
            <w:r w:rsidRPr="007570FB">
              <w:rPr>
                <w:b/>
                <w:color w:val="000000" w:themeColor="text1"/>
                <w:sz w:val="24"/>
                <w:szCs w:val="24"/>
              </w:rPr>
              <w:t xml:space="preserve">: </w:t>
            </w:r>
            <w:r w:rsidR="000706E9" w:rsidRPr="00037E4B">
              <w:rPr>
                <w:sz w:val="24"/>
                <w:szCs w:val="24"/>
              </w:rPr>
              <w:t>The Tribunal note</w:t>
            </w:r>
            <w:r w:rsidR="000706E9">
              <w:rPr>
                <w:sz w:val="24"/>
                <w:szCs w:val="24"/>
              </w:rPr>
              <w:t>s</w:t>
            </w:r>
            <w:r w:rsidR="000706E9" w:rsidRPr="00037E4B">
              <w:rPr>
                <w:sz w:val="24"/>
                <w:szCs w:val="24"/>
              </w:rPr>
              <w:t xml:space="preserve"> that the current </w:t>
            </w:r>
            <w:r w:rsidR="000706E9">
              <w:rPr>
                <w:sz w:val="24"/>
                <w:szCs w:val="24"/>
              </w:rPr>
              <w:t>training and professional development</w:t>
            </w:r>
            <w:r w:rsidR="000706E9" w:rsidRPr="00037E4B">
              <w:rPr>
                <w:sz w:val="24"/>
                <w:szCs w:val="24"/>
              </w:rPr>
              <w:t xml:space="preserve"> opportunities appear appropriate, reasonable and contemporary.</w:t>
            </w:r>
            <w:r w:rsidR="000706E9">
              <w:rPr>
                <w:sz w:val="24"/>
                <w:szCs w:val="24"/>
              </w:rPr>
              <w:t xml:space="preserve"> The Tribunal makes no recommendations about this matter at this time.</w:t>
            </w:r>
          </w:p>
        </w:tc>
      </w:tr>
    </w:tbl>
    <w:p w14:paraId="0196D618" w14:textId="335347D2" w:rsidR="00F9341F" w:rsidRDefault="00F9341F" w:rsidP="00784975">
      <w:pPr>
        <w:spacing w:after="0" w:line="240" w:lineRule="auto"/>
        <w:rPr>
          <w:rFonts w:ascii="Calibri" w:eastAsia="MS Gothic" w:hAnsi="Calibri" w:cs="Times New Roman"/>
          <w:b/>
          <w:bCs/>
          <w:color w:val="345A8A"/>
          <w:sz w:val="32"/>
          <w:szCs w:val="32"/>
        </w:rPr>
      </w:pPr>
    </w:p>
    <w:p w14:paraId="4EB858D6" w14:textId="77777777" w:rsidR="00125C64" w:rsidRDefault="00125C64">
      <w:pPr>
        <w:rPr>
          <w:rFonts w:ascii="Calibri" w:eastAsia="MS Gothic" w:hAnsi="Calibri" w:cs="Times New Roman"/>
          <w:b/>
          <w:bCs/>
          <w:color w:val="345A8A"/>
          <w:sz w:val="32"/>
          <w:szCs w:val="32"/>
        </w:rPr>
      </w:pPr>
      <w:r>
        <w:br w:type="page"/>
      </w:r>
    </w:p>
    <w:p w14:paraId="15D0EF69" w14:textId="58CD1556" w:rsidR="004E1E4D" w:rsidRPr="001F0A42" w:rsidRDefault="004E1E4D" w:rsidP="00784975">
      <w:pPr>
        <w:pStyle w:val="Heading1"/>
        <w:spacing w:before="0"/>
      </w:pPr>
      <w:bookmarkStart w:id="11" w:name="_Toc2327855"/>
      <w:r w:rsidRPr="001F0A42">
        <w:lastRenderedPageBreak/>
        <w:t>ACTPS Senior Executive Service</w:t>
      </w:r>
      <w:bookmarkEnd w:id="11"/>
    </w:p>
    <w:p w14:paraId="5E498CC1" w14:textId="7D359CAC" w:rsidR="004E1E4D" w:rsidRDefault="004E1E4D" w:rsidP="00436ED1">
      <w:pPr>
        <w:pStyle w:val="Heading2"/>
        <w:spacing w:before="120"/>
      </w:pPr>
      <w:bookmarkStart w:id="12" w:name="_Toc2327856"/>
      <w:bookmarkStart w:id="13" w:name="_Toc490469497"/>
      <w:r>
        <w:t>Overview of the ACT Public Service</w:t>
      </w:r>
      <w:bookmarkEnd w:id="12"/>
      <w:r>
        <w:t xml:space="preserve"> </w:t>
      </w:r>
    </w:p>
    <w:bookmarkEnd w:id="13"/>
    <w:p w14:paraId="3613D95C" w14:textId="6DB8AF53" w:rsidR="00A5622B" w:rsidRDefault="00A5622B" w:rsidP="00436ED1">
      <w:pPr>
        <w:spacing w:after="0"/>
        <w:rPr>
          <w:sz w:val="24"/>
          <w:szCs w:val="24"/>
        </w:rPr>
      </w:pPr>
      <w:r w:rsidRPr="00A221B5">
        <w:rPr>
          <w:sz w:val="24"/>
          <w:szCs w:val="24"/>
        </w:rPr>
        <w:t xml:space="preserve">The ACT Public Service </w:t>
      </w:r>
      <w:r>
        <w:rPr>
          <w:sz w:val="24"/>
          <w:szCs w:val="24"/>
        </w:rPr>
        <w:t xml:space="preserve">(ACTPS) </w:t>
      </w:r>
      <w:r w:rsidRPr="00A221B5">
        <w:rPr>
          <w:sz w:val="24"/>
          <w:szCs w:val="24"/>
        </w:rPr>
        <w:t xml:space="preserve">is a unique </w:t>
      </w:r>
      <w:r>
        <w:rPr>
          <w:sz w:val="24"/>
          <w:szCs w:val="24"/>
        </w:rPr>
        <w:t>jurisdiction</w:t>
      </w:r>
      <w:r w:rsidRPr="00A221B5">
        <w:rPr>
          <w:sz w:val="24"/>
          <w:szCs w:val="24"/>
        </w:rPr>
        <w:t xml:space="preserve"> that combines both state and municipal roles into one level of government. It is responsible for and delivers services across many areas, including but not limited to, health, education, administration</w:t>
      </w:r>
      <w:r>
        <w:rPr>
          <w:sz w:val="24"/>
          <w:szCs w:val="24"/>
        </w:rPr>
        <w:t xml:space="preserve"> of justice and local government functions such as roads</w:t>
      </w:r>
      <w:r w:rsidRPr="00A221B5">
        <w:rPr>
          <w:sz w:val="24"/>
          <w:szCs w:val="24"/>
        </w:rPr>
        <w:t xml:space="preserve"> infrastructure, parks</w:t>
      </w:r>
      <w:r>
        <w:rPr>
          <w:sz w:val="24"/>
          <w:szCs w:val="24"/>
        </w:rPr>
        <w:t>, libraries, waste collection</w:t>
      </w:r>
      <w:r w:rsidRPr="00A221B5">
        <w:rPr>
          <w:sz w:val="24"/>
          <w:szCs w:val="24"/>
        </w:rPr>
        <w:t xml:space="preserve"> and community services. </w:t>
      </w:r>
      <w:r w:rsidRPr="00034B7F">
        <w:rPr>
          <w:sz w:val="24"/>
          <w:szCs w:val="24"/>
        </w:rPr>
        <w:t xml:space="preserve">The </w:t>
      </w:r>
      <w:r>
        <w:rPr>
          <w:sz w:val="24"/>
          <w:szCs w:val="24"/>
        </w:rPr>
        <w:t>ACTPS</w:t>
      </w:r>
      <w:r w:rsidRPr="00034B7F">
        <w:rPr>
          <w:sz w:val="24"/>
          <w:szCs w:val="24"/>
        </w:rPr>
        <w:t xml:space="preserve"> employs over </w:t>
      </w:r>
      <w:r w:rsidR="00983C93" w:rsidRPr="00E70612">
        <w:rPr>
          <w:color w:val="000000" w:themeColor="text1"/>
          <w:sz w:val="24"/>
          <w:szCs w:val="24"/>
        </w:rPr>
        <w:t>22,</w:t>
      </w:r>
      <w:r w:rsidR="00983C93" w:rsidRPr="00CB29B7">
        <w:rPr>
          <w:sz w:val="24"/>
          <w:szCs w:val="24"/>
        </w:rPr>
        <w:t>230 people</w:t>
      </w:r>
      <w:r w:rsidRPr="00CB29B7">
        <w:rPr>
          <w:sz w:val="24"/>
          <w:szCs w:val="24"/>
        </w:rPr>
        <w:t xml:space="preserve"> who </w:t>
      </w:r>
      <w:r w:rsidRPr="00034B7F">
        <w:rPr>
          <w:sz w:val="24"/>
          <w:szCs w:val="24"/>
        </w:rPr>
        <w:t xml:space="preserve">directly and indirectly provide public services to the Canberra </w:t>
      </w:r>
      <w:r>
        <w:rPr>
          <w:sz w:val="24"/>
          <w:szCs w:val="24"/>
        </w:rPr>
        <w:t>c</w:t>
      </w:r>
      <w:r w:rsidRPr="00034B7F">
        <w:rPr>
          <w:sz w:val="24"/>
          <w:szCs w:val="24"/>
        </w:rPr>
        <w:t>ommunity</w:t>
      </w:r>
      <w:r>
        <w:rPr>
          <w:sz w:val="24"/>
          <w:szCs w:val="24"/>
        </w:rPr>
        <w:t xml:space="preserve"> and surrounding regions</w:t>
      </w:r>
      <w:r w:rsidRPr="00034B7F">
        <w:rPr>
          <w:sz w:val="24"/>
          <w:szCs w:val="24"/>
        </w:rPr>
        <w:t xml:space="preserve"> on a daily basis.</w:t>
      </w:r>
      <w:r>
        <w:rPr>
          <w:sz w:val="24"/>
          <w:szCs w:val="24"/>
        </w:rPr>
        <w:t xml:space="preserve"> The ACTPS is structured into </w:t>
      </w:r>
      <w:r w:rsidR="00A6571D">
        <w:rPr>
          <w:sz w:val="24"/>
          <w:szCs w:val="24"/>
        </w:rPr>
        <w:t xml:space="preserve">eight </w:t>
      </w:r>
      <w:r>
        <w:rPr>
          <w:sz w:val="24"/>
          <w:szCs w:val="24"/>
        </w:rPr>
        <w:t>directorates and a number of agencies. The directorates are as follows:</w:t>
      </w:r>
    </w:p>
    <w:p w14:paraId="5BA91EC9" w14:textId="77777777" w:rsidR="00FA2964" w:rsidRDefault="00FA2964" w:rsidP="00FA2964">
      <w:pPr>
        <w:pStyle w:val="ListParagraph"/>
        <w:numPr>
          <w:ilvl w:val="0"/>
          <w:numId w:val="10"/>
        </w:numPr>
        <w:spacing w:line="276" w:lineRule="auto"/>
        <w:rPr>
          <w:sz w:val="24"/>
          <w:szCs w:val="24"/>
        </w:rPr>
      </w:pPr>
      <w:r w:rsidRPr="00CE174B">
        <w:rPr>
          <w:sz w:val="24"/>
          <w:szCs w:val="24"/>
        </w:rPr>
        <w:t>Chief Minister, Treasury and Economic Development Directorate</w:t>
      </w:r>
      <w:r>
        <w:rPr>
          <w:sz w:val="24"/>
          <w:szCs w:val="24"/>
        </w:rPr>
        <w:t xml:space="preserve"> (CMTEDD);</w:t>
      </w:r>
    </w:p>
    <w:p w14:paraId="0926C000" w14:textId="020F409E" w:rsidR="00C9073E" w:rsidRDefault="00C9073E" w:rsidP="00C9073E">
      <w:pPr>
        <w:pStyle w:val="ListParagraph"/>
        <w:numPr>
          <w:ilvl w:val="0"/>
          <w:numId w:val="10"/>
        </w:numPr>
        <w:spacing w:line="276" w:lineRule="auto"/>
        <w:rPr>
          <w:sz w:val="24"/>
          <w:szCs w:val="24"/>
        </w:rPr>
      </w:pPr>
      <w:r>
        <w:rPr>
          <w:sz w:val="24"/>
          <w:szCs w:val="24"/>
        </w:rPr>
        <w:t xml:space="preserve">ACT </w:t>
      </w:r>
      <w:r w:rsidRPr="00CE174B">
        <w:rPr>
          <w:sz w:val="24"/>
          <w:szCs w:val="24"/>
        </w:rPr>
        <w:t>Health Directorate</w:t>
      </w:r>
      <w:r>
        <w:rPr>
          <w:sz w:val="24"/>
          <w:szCs w:val="24"/>
        </w:rPr>
        <w:t xml:space="preserve"> (ACT Health);</w:t>
      </w:r>
    </w:p>
    <w:p w14:paraId="2EA07F64" w14:textId="77777777" w:rsidR="00C9073E" w:rsidRDefault="00C9073E" w:rsidP="00C9073E">
      <w:pPr>
        <w:pStyle w:val="ListParagraph"/>
        <w:numPr>
          <w:ilvl w:val="0"/>
          <w:numId w:val="10"/>
        </w:numPr>
        <w:spacing w:line="276" w:lineRule="auto"/>
        <w:rPr>
          <w:sz w:val="24"/>
          <w:szCs w:val="24"/>
        </w:rPr>
      </w:pPr>
      <w:r>
        <w:rPr>
          <w:sz w:val="24"/>
          <w:szCs w:val="24"/>
        </w:rPr>
        <w:t>Canberra Health Services;</w:t>
      </w:r>
    </w:p>
    <w:p w14:paraId="6B9DF590" w14:textId="77777777" w:rsidR="00A5622B" w:rsidRDefault="00A5622B" w:rsidP="00A5622B">
      <w:pPr>
        <w:pStyle w:val="ListParagraph"/>
        <w:numPr>
          <w:ilvl w:val="0"/>
          <w:numId w:val="10"/>
        </w:numPr>
        <w:spacing w:line="276" w:lineRule="auto"/>
        <w:rPr>
          <w:sz w:val="24"/>
          <w:szCs w:val="24"/>
        </w:rPr>
      </w:pPr>
      <w:r w:rsidRPr="00CE174B">
        <w:rPr>
          <w:sz w:val="24"/>
          <w:szCs w:val="24"/>
        </w:rPr>
        <w:t>Community Services Directorate</w:t>
      </w:r>
      <w:r>
        <w:rPr>
          <w:sz w:val="24"/>
          <w:szCs w:val="24"/>
        </w:rPr>
        <w:t xml:space="preserve"> (CSD);</w:t>
      </w:r>
    </w:p>
    <w:p w14:paraId="25E279CB" w14:textId="75690498" w:rsidR="00A5622B" w:rsidRDefault="00A5622B" w:rsidP="00A5622B">
      <w:pPr>
        <w:pStyle w:val="ListParagraph"/>
        <w:numPr>
          <w:ilvl w:val="0"/>
          <w:numId w:val="10"/>
        </w:numPr>
        <w:spacing w:line="276" w:lineRule="auto"/>
        <w:rPr>
          <w:sz w:val="24"/>
          <w:szCs w:val="24"/>
        </w:rPr>
      </w:pPr>
      <w:r w:rsidRPr="00CE174B">
        <w:rPr>
          <w:sz w:val="24"/>
          <w:szCs w:val="24"/>
        </w:rPr>
        <w:t>Education Directorate</w:t>
      </w:r>
      <w:r>
        <w:rPr>
          <w:sz w:val="24"/>
          <w:szCs w:val="24"/>
        </w:rPr>
        <w:t>;</w:t>
      </w:r>
    </w:p>
    <w:p w14:paraId="7C672A8C" w14:textId="77777777" w:rsidR="00A5622B" w:rsidRDefault="00A5622B" w:rsidP="00A5622B">
      <w:pPr>
        <w:pStyle w:val="ListParagraph"/>
        <w:numPr>
          <w:ilvl w:val="0"/>
          <w:numId w:val="10"/>
        </w:numPr>
        <w:spacing w:line="276" w:lineRule="auto"/>
        <w:rPr>
          <w:sz w:val="24"/>
          <w:szCs w:val="24"/>
        </w:rPr>
      </w:pPr>
      <w:r w:rsidRPr="00CE174B">
        <w:rPr>
          <w:sz w:val="24"/>
          <w:szCs w:val="24"/>
        </w:rPr>
        <w:t>Environment</w:t>
      </w:r>
      <w:r>
        <w:rPr>
          <w:sz w:val="24"/>
          <w:szCs w:val="24"/>
        </w:rPr>
        <w:t xml:space="preserve">, </w:t>
      </w:r>
      <w:r w:rsidRPr="00CE174B">
        <w:rPr>
          <w:sz w:val="24"/>
          <w:szCs w:val="24"/>
        </w:rPr>
        <w:t xml:space="preserve">Planning </w:t>
      </w:r>
      <w:r>
        <w:rPr>
          <w:sz w:val="24"/>
          <w:szCs w:val="24"/>
        </w:rPr>
        <w:t>and Sustainable Development Directorate (EPSDD);</w:t>
      </w:r>
    </w:p>
    <w:p w14:paraId="2E2FC60C" w14:textId="727C5FC2" w:rsidR="00A5622B" w:rsidRDefault="00A5622B" w:rsidP="00A5622B">
      <w:pPr>
        <w:pStyle w:val="ListParagraph"/>
        <w:numPr>
          <w:ilvl w:val="0"/>
          <w:numId w:val="10"/>
        </w:numPr>
        <w:spacing w:line="276" w:lineRule="auto"/>
        <w:rPr>
          <w:sz w:val="24"/>
          <w:szCs w:val="24"/>
        </w:rPr>
      </w:pPr>
      <w:r w:rsidRPr="00CE174B">
        <w:rPr>
          <w:sz w:val="24"/>
          <w:szCs w:val="24"/>
        </w:rPr>
        <w:t>Justice and Community Safety Directorate</w:t>
      </w:r>
      <w:r>
        <w:rPr>
          <w:sz w:val="24"/>
          <w:szCs w:val="24"/>
        </w:rPr>
        <w:t xml:space="preserve"> (JACS); and</w:t>
      </w:r>
    </w:p>
    <w:p w14:paraId="79CD8522" w14:textId="0F9A1B57" w:rsidR="00A5622B" w:rsidRDefault="00A5622B" w:rsidP="00436ED1">
      <w:pPr>
        <w:pStyle w:val="ListParagraph"/>
        <w:numPr>
          <w:ilvl w:val="0"/>
          <w:numId w:val="10"/>
        </w:numPr>
        <w:spacing w:after="120" w:line="276" w:lineRule="auto"/>
        <w:ind w:left="714" w:hanging="357"/>
        <w:rPr>
          <w:sz w:val="24"/>
          <w:szCs w:val="24"/>
        </w:rPr>
      </w:pPr>
      <w:r w:rsidRPr="00CE174B">
        <w:rPr>
          <w:sz w:val="24"/>
          <w:szCs w:val="24"/>
        </w:rPr>
        <w:t>Transport Canberra and City Services</w:t>
      </w:r>
      <w:r>
        <w:rPr>
          <w:sz w:val="24"/>
          <w:szCs w:val="24"/>
        </w:rPr>
        <w:t xml:space="preserve"> (TCCS).</w:t>
      </w:r>
    </w:p>
    <w:p w14:paraId="59F4DB44" w14:textId="114724B9" w:rsidR="004E1E4D" w:rsidRDefault="004E1E4D" w:rsidP="004E1E4D">
      <w:pPr>
        <w:pStyle w:val="Heading2"/>
      </w:pPr>
      <w:bookmarkStart w:id="14" w:name="_Toc2327857"/>
      <w:bookmarkStart w:id="15" w:name="_Toc490469499"/>
      <w:r w:rsidRPr="005F60FA">
        <w:t>ACT</w:t>
      </w:r>
      <w:r>
        <w:t>PS Executive</w:t>
      </w:r>
      <w:r w:rsidR="006512A6">
        <w:t>s</w:t>
      </w:r>
      <w:bookmarkEnd w:id="14"/>
      <w:r>
        <w:t xml:space="preserve"> </w:t>
      </w:r>
      <w:bookmarkEnd w:id="15"/>
    </w:p>
    <w:p w14:paraId="5C797431" w14:textId="5856726C" w:rsidR="00A5622B" w:rsidRDefault="00E2551D" w:rsidP="009835BA">
      <w:pPr>
        <w:rPr>
          <w:sz w:val="24"/>
          <w:szCs w:val="24"/>
        </w:rPr>
      </w:pPr>
      <w:r w:rsidRPr="00881CAF">
        <w:rPr>
          <w:noProof/>
          <w:sz w:val="24"/>
          <w:szCs w:val="24"/>
          <w:lang w:val="en-AU" w:eastAsia="en-AU"/>
        </w:rPr>
        <w:drawing>
          <wp:anchor distT="0" distB="0" distL="114300" distR="114300" simplePos="0" relativeHeight="251671552" behindDoc="1" locked="0" layoutInCell="1" allowOverlap="1" wp14:anchorId="07458389" wp14:editId="483C1C72">
            <wp:simplePos x="0" y="0"/>
            <wp:positionH relativeFrom="column">
              <wp:posOffset>285750</wp:posOffset>
            </wp:positionH>
            <wp:positionV relativeFrom="paragraph">
              <wp:posOffset>1597025</wp:posOffset>
            </wp:positionV>
            <wp:extent cx="4819650" cy="1095375"/>
            <wp:effectExtent l="95250" t="19050" r="19050" b="28575"/>
            <wp:wrapNone/>
            <wp:docPr id="14" name="Diagram 14" title="Senior executives diversity percentag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sidR="009835BA" w:rsidRPr="00881CAF">
        <w:rPr>
          <w:noProof/>
          <w:sz w:val="24"/>
          <w:szCs w:val="24"/>
          <w:lang w:val="en-AU" w:eastAsia="en-AU"/>
        </w:rPr>
        <w:drawing>
          <wp:anchor distT="0" distB="0" distL="114300" distR="114300" simplePos="0" relativeHeight="251667456" behindDoc="0" locked="0" layoutInCell="1" allowOverlap="1" wp14:anchorId="51173FAD" wp14:editId="0B84FF6A">
            <wp:simplePos x="0" y="0"/>
            <wp:positionH relativeFrom="column">
              <wp:posOffset>165253</wp:posOffset>
            </wp:positionH>
            <wp:positionV relativeFrom="paragraph">
              <wp:posOffset>510540</wp:posOffset>
            </wp:positionV>
            <wp:extent cx="895985" cy="895985"/>
            <wp:effectExtent l="0" t="0" r="0" b="0"/>
            <wp:wrapNone/>
            <wp:docPr id="11" name="Picture 11"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man.png"/>
                    <pic:cNvPicPr/>
                  </pic:nvPicPr>
                  <pic:blipFill>
                    <a:blip r:embed="rId16">
                      <a:extLst>
                        <a:ext uri="{28A0092B-C50C-407E-A947-70E740481C1C}">
                          <a14:useLocalDpi xmlns:a14="http://schemas.microsoft.com/office/drawing/2010/main" val="0"/>
                        </a:ext>
                      </a:extLst>
                    </a:blip>
                    <a:stretch>
                      <a:fillRect/>
                    </a:stretch>
                  </pic:blipFill>
                  <pic:spPr>
                    <a:xfrm>
                      <a:off x="0" y="0"/>
                      <a:ext cx="895985" cy="895985"/>
                    </a:xfrm>
                    <a:prstGeom prst="rect">
                      <a:avLst/>
                    </a:prstGeom>
                  </pic:spPr>
                </pic:pic>
              </a:graphicData>
            </a:graphic>
            <wp14:sizeRelH relativeFrom="margin">
              <wp14:pctWidth>0</wp14:pctWidth>
            </wp14:sizeRelH>
            <wp14:sizeRelV relativeFrom="margin">
              <wp14:pctHeight>0</wp14:pctHeight>
            </wp14:sizeRelV>
          </wp:anchor>
        </w:drawing>
      </w:r>
      <w:r w:rsidR="009835BA" w:rsidRPr="00881CAF">
        <w:rPr>
          <w:noProof/>
          <w:sz w:val="24"/>
          <w:szCs w:val="24"/>
          <w:lang w:val="en-AU" w:eastAsia="en-AU"/>
        </w:rPr>
        <w:drawing>
          <wp:anchor distT="0" distB="0" distL="114300" distR="114300" simplePos="0" relativeHeight="251666432" behindDoc="0" locked="0" layoutInCell="1" allowOverlap="1" wp14:anchorId="7F0237CB" wp14:editId="0E9CCBCE">
            <wp:simplePos x="0" y="0"/>
            <wp:positionH relativeFrom="column">
              <wp:posOffset>4362679</wp:posOffset>
            </wp:positionH>
            <wp:positionV relativeFrom="paragraph">
              <wp:posOffset>488315</wp:posOffset>
            </wp:positionV>
            <wp:extent cx="932815" cy="932815"/>
            <wp:effectExtent l="0" t="0" r="0" b="635"/>
            <wp:wrapNone/>
            <wp:docPr id="10" name="Picture 10"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man.png"/>
                    <pic:cNvPicPr/>
                  </pic:nvPicPr>
                  <pic:blipFill>
                    <a:blip r:embed="rId17">
                      <a:extLst>
                        <a:ext uri="{28A0092B-C50C-407E-A947-70E740481C1C}">
                          <a14:useLocalDpi xmlns:a14="http://schemas.microsoft.com/office/drawing/2010/main" val="0"/>
                        </a:ext>
                      </a:extLst>
                    </a:blip>
                    <a:stretch>
                      <a:fillRect/>
                    </a:stretch>
                  </pic:blipFill>
                  <pic:spPr>
                    <a:xfrm>
                      <a:off x="0" y="0"/>
                      <a:ext cx="932815" cy="932815"/>
                    </a:xfrm>
                    <a:prstGeom prst="rect">
                      <a:avLst/>
                    </a:prstGeom>
                  </pic:spPr>
                </pic:pic>
              </a:graphicData>
            </a:graphic>
            <wp14:sizeRelH relativeFrom="page">
              <wp14:pctWidth>0</wp14:pctWidth>
            </wp14:sizeRelH>
            <wp14:sizeRelV relativeFrom="page">
              <wp14:pctHeight>0</wp14:pctHeight>
            </wp14:sizeRelV>
          </wp:anchor>
        </w:drawing>
      </w:r>
      <w:r w:rsidR="00C9551A">
        <w:rPr>
          <w:sz w:val="24"/>
          <w:szCs w:val="24"/>
        </w:rPr>
        <w:t>A</w:t>
      </w:r>
      <w:r w:rsidR="00A5622B">
        <w:rPr>
          <w:sz w:val="24"/>
          <w:szCs w:val="24"/>
        </w:rPr>
        <w:t>CTPS e</w:t>
      </w:r>
      <w:r w:rsidR="00A5622B" w:rsidRPr="00A221B5">
        <w:rPr>
          <w:sz w:val="24"/>
          <w:szCs w:val="24"/>
        </w:rPr>
        <w:t>xecutives play an integr</w:t>
      </w:r>
      <w:r w:rsidR="00A5622B">
        <w:rPr>
          <w:sz w:val="24"/>
          <w:szCs w:val="24"/>
        </w:rPr>
        <w:t>al role in the delivery of the state and local government</w:t>
      </w:r>
      <w:r w:rsidR="00A5622B" w:rsidRPr="00A221B5">
        <w:rPr>
          <w:sz w:val="24"/>
          <w:szCs w:val="24"/>
        </w:rPr>
        <w:t xml:space="preserve"> fun</w:t>
      </w:r>
      <w:r w:rsidR="00A5622B">
        <w:rPr>
          <w:sz w:val="24"/>
          <w:szCs w:val="24"/>
        </w:rPr>
        <w:t>ctions and services to the ACT c</w:t>
      </w:r>
      <w:r w:rsidR="00A5622B" w:rsidRPr="00A221B5">
        <w:rPr>
          <w:sz w:val="24"/>
          <w:szCs w:val="24"/>
        </w:rPr>
        <w:t xml:space="preserve">ommunity. </w:t>
      </w:r>
      <w:r w:rsidR="0045628F">
        <w:rPr>
          <w:sz w:val="24"/>
          <w:szCs w:val="24"/>
        </w:rPr>
        <w:t xml:space="preserve">Below is a </w:t>
      </w:r>
      <w:r w:rsidR="00983C93">
        <w:rPr>
          <w:sz w:val="24"/>
          <w:szCs w:val="24"/>
        </w:rPr>
        <w:t>snapshot</w:t>
      </w:r>
      <w:r w:rsidR="0045628F">
        <w:rPr>
          <w:sz w:val="24"/>
          <w:szCs w:val="24"/>
        </w:rPr>
        <w:t xml:space="preserve"> of the executive profile:</w:t>
      </w:r>
      <w:r w:rsidR="009835BA" w:rsidRPr="009835BA">
        <w:rPr>
          <w:sz w:val="24"/>
          <w:szCs w:val="24"/>
        </w:rPr>
        <w:t xml:space="preserve"> </w:t>
      </w:r>
      <w:r w:rsidR="009835BA">
        <w:rPr>
          <w:sz w:val="24"/>
          <w:szCs w:val="24"/>
        </w:rPr>
        <w:br/>
      </w:r>
      <w:r w:rsidR="009835BA" w:rsidRPr="00881CAF">
        <w:rPr>
          <w:noProof/>
          <w:sz w:val="24"/>
          <w:szCs w:val="24"/>
          <w:lang w:val="en-AU" w:eastAsia="en-AU"/>
        </w:rPr>
        <mc:AlternateContent>
          <mc:Choice Requires="wps">
            <w:drawing>
              <wp:inline distT="0" distB="0" distL="0" distR="0" wp14:anchorId="4A559707" wp14:editId="1891AA40">
                <wp:extent cx="5255260" cy="1047750"/>
                <wp:effectExtent l="57150" t="19050" r="59690" b="76200"/>
                <wp:docPr id="6" name="Rounded Rectangle 6" title="Senior executives total "/>
                <wp:cNvGraphicFramePr/>
                <a:graphic xmlns:a="http://schemas.openxmlformats.org/drawingml/2006/main">
                  <a:graphicData uri="http://schemas.microsoft.com/office/word/2010/wordprocessingShape">
                    <wps:wsp>
                      <wps:cNvSpPr/>
                      <wps:spPr>
                        <a:xfrm>
                          <a:off x="0" y="0"/>
                          <a:ext cx="5255260" cy="1047750"/>
                        </a:xfrm>
                        <a:prstGeom prst="roundRect">
                          <a:avLst/>
                        </a:prstGeom>
                        <a:solidFill>
                          <a:srgbClr val="ED551C"/>
                        </a:solidFill>
                        <a:ln>
                          <a:noFill/>
                        </a:ln>
                      </wps:spPr>
                      <wps:style>
                        <a:lnRef idx="1">
                          <a:schemeClr val="accent1"/>
                        </a:lnRef>
                        <a:fillRef idx="3">
                          <a:schemeClr val="accent1"/>
                        </a:fillRef>
                        <a:effectRef idx="2">
                          <a:schemeClr val="accent1"/>
                        </a:effectRef>
                        <a:fontRef idx="minor">
                          <a:schemeClr val="lt1"/>
                        </a:fontRef>
                      </wps:style>
                      <wps:txbx>
                        <w:txbxContent>
                          <w:p w14:paraId="21865CDC" w14:textId="3EC285FD" w:rsidR="00AC7BE2" w:rsidRPr="009835BA" w:rsidRDefault="00AC7BE2" w:rsidP="009835BA">
                            <w:pPr>
                              <w:spacing w:after="0" w:line="240" w:lineRule="auto"/>
                              <w:contextualSpacing/>
                              <w:jc w:val="center"/>
                              <w:rPr>
                                <w:sz w:val="64"/>
                                <w:szCs w:val="64"/>
                              </w:rPr>
                            </w:pPr>
                            <w:r>
                              <w:rPr>
                                <w:sz w:val="64"/>
                                <w:szCs w:val="64"/>
                              </w:rPr>
                              <w:t>ACTPS</w:t>
                            </w:r>
                            <w:r w:rsidRPr="009835BA">
                              <w:rPr>
                                <w:sz w:val="64"/>
                                <w:szCs w:val="64"/>
                              </w:rPr>
                              <w:t xml:space="preserve"> Executives</w:t>
                            </w:r>
                          </w:p>
                          <w:p w14:paraId="3AA51EE4" w14:textId="77777777" w:rsidR="00AC7BE2" w:rsidRPr="009835BA" w:rsidRDefault="00AC7BE2" w:rsidP="009835BA">
                            <w:pPr>
                              <w:spacing w:after="0" w:line="240" w:lineRule="auto"/>
                              <w:contextualSpacing/>
                              <w:jc w:val="center"/>
                              <w:rPr>
                                <w:sz w:val="64"/>
                                <w:szCs w:val="64"/>
                              </w:rPr>
                            </w:pPr>
                            <w:r w:rsidRPr="009835BA">
                              <w:rPr>
                                <w:sz w:val="64"/>
                                <w:szCs w:val="64"/>
                              </w:rPr>
                              <w:t>265</w:t>
                            </w:r>
                          </w:p>
                        </w:txbxContent>
                      </wps:txbx>
                      <wps:bodyPr rot="0" spcFirstLastPara="0" vertOverflow="overflow" horzOverflow="overflow" vert="horz" wrap="square" lIns="108000" tIns="0" rIns="91440" bIns="45720" numCol="1" spcCol="0" rtlCol="0" fromWordArt="0" anchor="ctr" anchorCtr="0" forceAA="0" compatLnSpc="1">
                        <a:prstTxWarp prst="textNoShape">
                          <a:avLst/>
                        </a:prstTxWarp>
                        <a:noAutofit/>
                      </wps:bodyPr>
                    </wps:wsp>
                  </a:graphicData>
                </a:graphic>
              </wp:inline>
            </w:drawing>
          </mc:Choice>
          <mc:Fallback>
            <w:pict>
              <v:roundrect w14:anchorId="4A559707" id="Rounded Rectangle 6" o:spid="_x0000_s1026" alt="Title: Senior executives total " style="width:413.8pt;height:8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" fillcolor="#ed551c" stroked="f">
                <v:shadow on="t" color="black" opacity="22937f" origin=",.5" offset="0,.63889mm"/>
                <v:textbox inset="3mm,0">
                  <w:txbxContent>
                    <w:p w14:paraId="21865CDC" w14:textId="3EC285FD" w:rsidR="00AC7BE2" w:rsidRPr="009835BA" w:rsidRDefault="00AC7BE2" w:rsidP="009835BA">
                      <w:pPr>
                        <w:spacing w:after="0" w:line="240" w:lineRule="auto"/>
                        <w:contextualSpacing/>
                        <w:jc w:val="center"/>
                        <w:rPr>
                          <w:sz w:val="64"/>
                          <w:szCs w:val="64"/>
                        </w:rPr>
                      </w:pPr>
                      <w:r>
                        <w:rPr>
                          <w:sz w:val="64"/>
                          <w:szCs w:val="64"/>
                        </w:rPr>
                        <w:t>ACTPS</w:t>
                      </w:r>
                      <w:r w:rsidRPr="009835BA">
                        <w:rPr>
                          <w:sz w:val="64"/>
                          <w:szCs w:val="64"/>
                        </w:rPr>
                        <w:t xml:space="preserve"> Executives</w:t>
                      </w:r>
                    </w:p>
                    <w:p w14:paraId="3AA51EE4" w14:textId="77777777" w:rsidR="00AC7BE2" w:rsidRPr="009835BA" w:rsidRDefault="00AC7BE2" w:rsidP="009835BA">
                      <w:pPr>
                        <w:spacing w:after="0" w:line="240" w:lineRule="auto"/>
                        <w:contextualSpacing/>
                        <w:jc w:val="center"/>
                        <w:rPr>
                          <w:sz w:val="64"/>
                          <w:szCs w:val="64"/>
                        </w:rPr>
                      </w:pPr>
                      <w:r w:rsidRPr="009835BA">
                        <w:rPr>
                          <w:sz w:val="64"/>
                          <w:szCs w:val="64"/>
                        </w:rPr>
                        <w:t>265</w:t>
                      </w:r>
                    </w:p>
                  </w:txbxContent>
                </v:textbox>
                <w10:anchorlock/>
              </v:roundrect>
            </w:pict>
          </mc:Fallback>
        </mc:AlternateContent>
      </w:r>
    </w:p>
    <w:p w14:paraId="5B64AEB8" w14:textId="0B2D07FF" w:rsidR="00E2551D" w:rsidRDefault="00E2551D" w:rsidP="00C95A74">
      <w:pPr>
        <w:rPr>
          <w:sz w:val="24"/>
          <w:szCs w:val="24"/>
        </w:rPr>
      </w:pPr>
    </w:p>
    <w:p w14:paraId="61CE2054" w14:textId="2F84655E" w:rsidR="00E2551D" w:rsidRDefault="00C2556A" w:rsidP="00C95A74">
      <w:pPr>
        <w:rPr>
          <w:sz w:val="24"/>
          <w:szCs w:val="24"/>
        </w:rPr>
      </w:pPr>
      <w:r w:rsidRPr="00881CAF">
        <w:rPr>
          <w:noProof/>
          <w:sz w:val="24"/>
          <w:szCs w:val="24"/>
          <w:lang w:val="en-AU" w:eastAsia="en-AU"/>
        </w:rPr>
        <w:drawing>
          <wp:anchor distT="0" distB="0" distL="114300" distR="114300" simplePos="0" relativeHeight="251663360" behindDoc="0" locked="0" layoutInCell="1" allowOverlap="1" wp14:anchorId="1B05E0EC" wp14:editId="62E3A150">
            <wp:simplePos x="0" y="0"/>
            <wp:positionH relativeFrom="column">
              <wp:posOffset>2233930</wp:posOffset>
            </wp:positionH>
            <wp:positionV relativeFrom="page">
              <wp:posOffset>7492044</wp:posOffset>
            </wp:positionV>
            <wp:extent cx="581025" cy="581025"/>
            <wp:effectExtent l="0" t="0" r="9525" b="9525"/>
            <wp:wrapNone/>
            <wp:docPr id="7" name="Picture 7"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arth.png"/>
                    <pic:cNvPicPr/>
                  </pic:nvPicPr>
                  <pic:blipFill>
                    <a:blip r:embed="rId18">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rsidRPr="00881CAF">
        <w:rPr>
          <w:noProof/>
          <w:sz w:val="24"/>
          <w:szCs w:val="24"/>
          <w:lang w:val="en-AU" w:eastAsia="en-AU"/>
        </w:rPr>
        <w:drawing>
          <wp:anchor distT="0" distB="0" distL="114300" distR="114300" simplePos="0" relativeHeight="251670528" behindDoc="0" locked="0" layoutInCell="1" allowOverlap="1" wp14:anchorId="659F3D50" wp14:editId="33C99B83">
            <wp:simplePos x="0" y="0"/>
            <wp:positionH relativeFrom="column">
              <wp:posOffset>4654360</wp:posOffset>
            </wp:positionH>
            <wp:positionV relativeFrom="page">
              <wp:posOffset>7481323</wp:posOffset>
            </wp:positionV>
            <wp:extent cx="514350" cy="514350"/>
            <wp:effectExtent l="19050" t="0" r="0" b="0"/>
            <wp:wrapNone/>
            <wp:docPr id="22" name="Picture 22"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man.png"/>
                    <pic:cNvPicPr/>
                  </pic:nvPicPr>
                  <pic:blipFill>
                    <a:blip r:embed="rId16">
                      <a:extLst>
                        <a:ext uri="{28A0092B-C50C-407E-A947-70E740481C1C}">
                          <a14:useLocalDpi xmlns:a14="http://schemas.microsoft.com/office/drawing/2010/main" val="0"/>
                        </a:ext>
                      </a:extLst>
                    </a:blip>
                    <a:stretch>
                      <a:fillRect/>
                    </a:stretch>
                  </pic:blipFill>
                  <pic:spPr>
                    <a:xfrm>
                      <a:off x="0" y="0"/>
                      <a:ext cx="514350" cy="514350"/>
                    </a:xfrm>
                    <a:prstGeom prst="rect">
                      <a:avLst/>
                    </a:prstGeom>
                    <a:effectLst>
                      <a:outerShdw dist="38100" dir="10800000" sx="94000" sy="94000" algn="r" rotWithShape="0">
                        <a:schemeClr val="bg1">
                          <a:alpha val="16000"/>
                        </a:schemeClr>
                      </a:outerShdw>
                    </a:effectLst>
                  </pic:spPr>
                </pic:pic>
              </a:graphicData>
            </a:graphic>
            <wp14:sizeRelH relativeFrom="margin">
              <wp14:pctWidth>0</wp14:pctWidth>
            </wp14:sizeRelH>
            <wp14:sizeRelV relativeFrom="margin">
              <wp14:pctHeight>0</wp14:pctHeight>
            </wp14:sizeRelV>
          </wp:anchor>
        </w:drawing>
      </w:r>
      <w:r w:rsidRPr="00881CAF">
        <w:rPr>
          <w:noProof/>
          <w:sz w:val="24"/>
          <w:szCs w:val="24"/>
          <w:lang w:val="en-AU" w:eastAsia="en-AU"/>
        </w:rPr>
        <w:drawing>
          <wp:anchor distT="0" distB="0" distL="114300" distR="114300" simplePos="0" relativeHeight="251669504" behindDoc="0" locked="0" layoutInCell="1" allowOverlap="1" wp14:anchorId="4B44B91F" wp14:editId="05318292">
            <wp:simplePos x="0" y="0"/>
            <wp:positionH relativeFrom="column">
              <wp:posOffset>3387791</wp:posOffset>
            </wp:positionH>
            <wp:positionV relativeFrom="page">
              <wp:posOffset>7478213</wp:posOffset>
            </wp:positionV>
            <wp:extent cx="571500" cy="571500"/>
            <wp:effectExtent l="0" t="0" r="0" b="0"/>
            <wp:wrapNone/>
            <wp:docPr id="21" name="Picture 21"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abled.png"/>
                    <pic:cNvPicPr/>
                  </pic:nvPicPr>
                  <pic:blipFill>
                    <a:blip r:embed="rId19">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r w:rsidRPr="00881CAF">
        <w:rPr>
          <w:noProof/>
          <w:sz w:val="24"/>
          <w:szCs w:val="24"/>
          <w:lang w:val="en-AU" w:eastAsia="en-AU"/>
        </w:rPr>
        <w:drawing>
          <wp:anchor distT="0" distB="0" distL="114300" distR="114300" simplePos="0" relativeHeight="251665408" behindDoc="0" locked="0" layoutInCell="1" allowOverlap="1" wp14:anchorId="43823515" wp14:editId="795D7691">
            <wp:simplePos x="0" y="0"/>
            <wp:positionH relativeFrom="column">
              <wp:posOffset>999111</wp:posOffset>
            </wp:positionH>
            <wp:positionV relativeFrom="page">
              <wp:posOffset>7588011</wp:posOffset>
            </wp:positionV>
            <wp:extent cx="541020" cy="542925"/>
            <wp:effectExtent l="0" t="0" r="0" b="9525"/>
            <wp:wrapNone/>
            <wp:docPr id="9" name="Picture 9"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digenous.png"/>
                    <pic:cNvPicPr/>
                  </pic:nvPicPr>
                  <pic:blipFill>
                    <a:blip r:embed="rId20">
                      <a:extLst>
                        <a:ext uri="{28A0092B-C50C-407E-A947-70E740481C1C}">
                          <a14:useLocalDpi xmlns:a14="http://schemas.microsoft.com/office/drawing/2010/main" val="0"/>
                        </a:ext>
                      </a:extLst>
                    </a:blip>
                    <a:stretch>
                      <a:fillRect/>
                    </a:stretch>
                  </pic:blipFill>
                  <pic:spPr>
                    <a:xfrm>
                      <a:off x="0" y="0"/>
                      <a:ext cx="541020" cy="542925"/>
                    </a:xfrm>
                    <a:prstGeom prst="rect">
                      <a:avLst/>
                    </a:prstGeom>
                  </pic:spPr>
                </pic:pic>
              </a:graphicData>
            </a:graphic>
            <wp14:sizeRelH relativeFrom="margin">
              <wp14:pctWidth>0</wp14:pctWidth>
            </wp14:sizeRelH>
            <wp14:sizeRelV relativeFrom="margin">
              <wp14:pctHeight>0</wp14:pctHeight>
            </wp14:sizeRelV>
          </wp:anchor>
        </w:drawing>
      </w:r>
    </w:p>
    <w:p w14:paraId="3BBB331F" w14:textId="16A29AED" w:rsidR="00E2551D" w:rsidRDefault="00E2551D" w:rsidP="00C95A74">
      <w:pPr>
        <w:rPr>
          <w:sz w:val="24"/>
          <w:szCs w:val="24"/>
        </w:rPr>
      </w:pPr>
    </w:p>
    <w:p w14:paraId="17A508BA" w14:textId="2DE7BDAD" w:rsidR="00E2551D" w:rsidRDefault="00E2551D" w:rsidP="00C95A74">
      <w:pPr>
        <w:rPr>
          <w:sz w:val="24"/>
          <w:szCs w:val="24"/>
        </w:rPr>
      </w:pPr>
      <w:r w:rsidRPr="00881CAF">
        <w:rPr>
          <w:noProof/>
          <w:sz w:val="24"/>
          <w:szCs w:val="24"/>
          <w:lang w:val="en-AU" w:eastAsia="en-AU"/>
        </w:rPr>
        <w:drawing>
          <wp:inline distT="0" distB="0" distL="0" distR="0" wp14:anchorId="382F3810" wp14:editId="0686848C">
            <wp:extent cx="5296471" cy="1539433"/>
            <wp:effectExtent l="0" t="0" r="0" b="3810"/>
            <wp:docPr id="15" name="Chart 15" descr="The senior executives consist of 7.9% 30 to 39 year olds, 37.4% 40 to 49 year olds, 46% 50 to 59 year olds, and 8.7% people 60 years older and above." title="Senior executive age group profile bar 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619DFB6" w14:textId="408FA588" w:rsidR="00A5622B" w:rsidRPr="0007648C" w:rsidRDefault="00A5622B" w:rsidP="00C95A74">
      <w:pPr>
        <w:rPr>
          <w:sz w:val="24"/>
          <w:szCs w:val="24"/>
        </w:rPr>
      </w:pPr>
      <w:r w:rsidRPr="0007648C">
        <w:rPr>
          <w:sz w:val="24"/>
          <w:szCs w:val="24"/>
        </w:rPr>
        <w:lastRenderedPageBreak/>
        <w:t>At 30 June 201</w:t>
      </w:r>
      <w:r w:rsidR="001F0A42" w:rsidRPr="0007648C">
        <w:rPr>
          <w:sz w:val="24"/>
          <w:szCs w:val="24"/>
        </w:rPr>
        <w:t>8</w:t>
      </w:r>
      <w:r w:rsidRPr="0007648C">
        <w:rPr>
          <w:sz w:val="24"/>
          <w:szCs w:val="24"/>
        </w:rPr>
        <w:t xml:space="preserve">, there were </w:t>
      </w:r>
      <w:r w:rsidR="0045628F" w:rsidRPr="0007648C">
        <w:rPr>
          <w:sz w:val="24"/>
          <w:szCs w:val="24"/>
        </w:rPr>
        <w:t xml:space="preserve">265 </w:t>
      </w:r>
      <w:r w:rsidRPr="0007648C">
        <w:rPr>
          <w:sz w:val="24"/>
          <w:szCs w:val="24"/>
        </w:rPr>
        <w:t>individuals</w:t>
      </w:r>
      <w:r w:rsidRPr="0007648C">
        <w:rPr>
          <w:rStyle w:val="FootnoteReference"/>
        </w:rPr>
        <w:footnoteReference w:id="3"/>
      </w:r>
      <w:r w:rsidRPr="0007648C">
        <w:rPr>
          <w:sz w:val="24"/>
          <w:szCs w:val="24"/>
        </w:rPr>
        <w:t xml:space="preserve"> in the ACTPS Senior Executive Service (SES)</w:t>
      </w:r>
      <w:r w:rsidRPr="0007648C">
        <w:t xml:space="preserve"> </w:t>
      </w:r>
      <w:r w:rsidRPr="0007648C">
        <w:rPr>
          <w:sz w:val="24"/>
          <w:szCs w:val="24"/>
        </w:rPr>
        <w:t>accounting for roughly 1</w:t>
      </w:r>
      <w:r w:rsidR="00F921C8">
        <w:rPr>
          <w:sz w:val="24"/>
          <w:szCs w:val="24"/>
        </w:rPr>
        <w:t xml:space="preserve"> per cent</w:t>
      </w:r>
      <w:r w:rsidRPr="0007648C">
        <w:rPr>
          <w:sz w:val="24"/>
          <w:szCs w:val="24"/>
        </w:rPr>
        <w:t xml:space="preserve"> of the total ACTPS workforce. The average age for the SES is </w:t>
      </w:r>
      <w:r w:rsidR="00CC48AA" w:rsidRPr="0007648C">
        <w:rPr>
          <w:sz w:val="24"/>
          <w:szCs w:val="24"/>
        </w:rPr>
        <w:t>50.2</w:t>
      </w:r>
      <w:r w:rsidRPr="0007648C">
        <w:rPr>
          <w:sz w:val="24"/>
          <w:szCs w:val="24"/>
        </w:rPr>
        <w:t xml:space="preserve"> years, compared to 42.</w:t>
      </w:r>
      <w:r w:rsidR="009057E6" w:rsidRPr="0007648C">
        <w:rPr>
          <w:sz w:val="24"/>
          <w:szCs w:val="24"/>
        </w:rPr>
        <w:t>4</w:t>
      </w:r>
      <w:r w:rsidRPr="0007648C">
        <w:rPr>
          <w:sz w:val="24"/>
          <w:szCs w:val="24"/>
        </w:rPr>
        <w:t xml:space="preserve"> years across the ACTPS workforce.</w:t>
      </w:r>
    </w:p>
    <w:p w14:paraId="5AD9883D" w14:textId="62EB7357" w:rsidR="00F04114" w:rsidRDefault="00F04114" w:rsidP="00F04114">
      <w:pPr>
        <w:spacing w:before="240" w:after="120"/>
        <w:rPr>
          <w:sz w:val="24"/>
          <w:szCs w:val="24"/>
        </w:rPr>
      </w:pPr>
      <w:r>
        <w:rPr>
          <w:sz w:val="24"/>
          <w:szCs w:val="24"/>
        </w:rPr>
        <w:t xml:space="preserve">A breakdown of the SES </w:t>
      </w:r>
      <w:r w:rsidR="005511BF">
        <w:rPr>
          <w:sz w:val="24"/>
          <w:szCs w:val="24"/>
        </w:rPr>
        <w:t xml:space="preserve">demographics </w:t>
      </w:r>
      <w:r>
        <w:rPr>
          <w:sz w:val="24"/>
          <w:szCs w:val="24"/>
        </w:rPr>
        <w:t>from 201</w:t>
      </w:r>
      <w:r w:rsidR="005511BF">
        <w:rPr>
          <w:sz w:val="24"/>
          <w:szCs w:val="24"/>
        </w:rPr>
        <w:t>4</w:t>
      </w:r>
      <w:r>
        <w:rPr>
          <w:sz w:val="24"/>
          <w:szCs w:val="24"/>
        </w:rPr>
        <w:t xml:space="preserve"> to 2018 is provided below:</w:t>
      </w:r>
    </w:p>
    <w:p w14:paraId="664C84EC" w14:textId="102C2875" w:rsidR="00F04114" w:rsidRDefault="00F04114" w:rsidP="00F04114">
      <w:pPr>
        <w:spacing w:before="240" w:after="120"/>
        <w:rPr>
          <w:b/>
          <w:sz w:val="24"/>
          <w:szCs w:val="24"/>
        </w:rPr>
      </w:pPr>
      <w:r w:rsidRPr="00914978">
        <w:rPr>
          <w:b/>
          <w:sz w:val="24"/>
          <w:szCs w:val="24"/>
        </w:rPr>
        <w:t>Table 1 – executive demographics from 20</w:t>
      </w:r>
      <w:r>
        <w:rPr>
          <w:b/>
          <w:sz w:val="24"/>
          <w:szCs w:val="24"/>
        </w:rPr>
        <w:t>1</w:t>
      </w:r>
      <w:r w:rsidR="00724609">
        <w:rPr>
          <w:b/>
          <w:sz w:val="24"/>
          <w:szCs w:val="24"/>
        </w:rPr>
        <w:t>4 to</w:t>
      </w:r>
      <w:r w:rsidRPr="00914978">
        <w:rPr>
          <w:b/>
          <w:sz w:val="24"/>
          <w:szCs w:val="24"/>
        </w:rPr>
        <w:t xml:space="preserve"> 201</w:t>
      </w:r>
      <w:r>
        <w:rPr>
          <w:b/>
          <w:sz w:val="24"/>
          <w:szCs w:val="24"/>
        </w:rPr>
        <w:t>8</w:t>
      </w:r>
    </w:p>
    <w:tbl>
      <w:tblPr>
        <w:tblStyle w:val="TableGrid"/>
        <w:tblW w:w="9173" w:type="dxa"/>
        <w:tblLook w:val="04A0" w:firstRow="1" w:lastRow="0" w:firstColumn="1" w:lastColumn="0" w:noHBand="0" w:noVBand="1"/>
      </w:tblPr>
      <w:tblGrid>
        <w:gridCol w:w="1027"/>
        <w:gridCol w:w="1378"/>
        <w:gridCol w:w="1373"/>
        <w:gridCol w:w="1893"/>
        <w:gridCol w:w="1833"/>
        <w:gridCol w:w="1669"/>
      </w:tblGrid>
      <w:tr w:rsidR="00F04114" w14:paraId="1C9269DD" w14:textId="77777777" w:rsidTr="00E2551D">
        <w:trPr>
          <w:trHeight w:val="572"/>
        </w:trPr>
        <w:tc>
          <w:tcPr>
            <w:tcW w:w="1027" w:type="dxa"/>
            <w:tcBorders>
              <w:bottom w:val="single" w:sz="4" w:space="0" w:color="auto"/>
            </w:tcBorders>
            <w:shd w:val="clear" w:color="auto" w:fill="BFBFBF" w:themeFill="background1" w:themeFillShade="BF"/>
          </w:tcPr>
          <w:p w14:paraId="20945250" w14:textId="77777777" w:rsidR="00F04114" w:rsidRDefault="00F04114" w:rsidP="00B707FE">
            <w:pPr>
              <w:jc w:val="center"/>
              <w:rPr>
                <w:b/>
              </w:rPr>
            </w:pPr>
            <w:r w:rsidRPr="00376D10">
              <w:rPr>
                <w:b/>
              </w:rPr>
              <w:t>Year</w:t>
            </w:r>
          </w:p>
        </w:tc>
        <w:tc>
          <w:tcPr>
            <w:tcW w:w="1378" w:type="dxa"/>
            <w:shd w:val="clear" w:color="auto" w:fill="BFBFBF" w:themeFill="background1" w:themeFillShade="BF"/>
          </w:tcPr>
          <w:p w14:paraId="75269536" w14:textId="77777777" w:rsidR="00F04114" w:rsidRDefault="00F04114" w:rsidP="00B707FE">
            <w:pPr>
              <w:jc w:val="center"/>
              <w:rPr>
                <w:b/>
              </w:rPr>
            </w:pPr>
            <w:r w:rsidRPr="00833338">
              <w:rPr>
                <w:b/>
              </w:rPr>
              <w:t>No</w:t>
            </w:r>
            <w:r>
              <w:rPr>
                <w:b/>
              </w:rPr>
              <w:t>.</w:t>
            </w:r>
            <w:r w:rsidRPr="00833338">
              <w:rPr>
                <w:b/>
              </w:rPr>
              <w:t xml:space="preserve"> of exec</w:t>
            </w:r>
            <w:r>
              <w:rPr>
                <w:b/>
              </w:rPr>
              <w:t>utive</w:t>
            </w:r>
            <w:r w:rsidRPr="00833338">
              <w:rPr>
                <w:b/>
              </w:rPr>
              <w:t>s</w:t>
            </w:r>
          </w:p>
        </w:tc>
        <w:tc>
          <w:tcPr>
            <w:tcW w:w="1373" w:type="dxa"/>
            <w:shd w:val="clear" w:color="auto" w:fill="BFBFBF" w:themeFill="background1" w:themeFillShade="BF"/>
          </w:tcPr>
          <w:p w14:paraId="643723C3" w14:textId="77777777" w:rsidR="00F04114" w:rsidRDefault="00F04114" w:rsidP="00B707FE">
            <w:pPr>
              <w:jc w:val="center"/>
              <w:rPr>
                <w:b/>
              </w:rPr>
            </w:pPr>
            <w:r>
              <w:rPr>
                <w:b/>
              </w:rPr>
              <w:t>Percentage of f</w:t>
            </w:r>
            <w:r w:rsidRPr="00833338">
              <w:rPr>
                <w:b/>
              </w:rPr>
              <w:t>emales</w:t>
            </w:r>
          </w:p>
        </w:tc>
        <w:tc>
          <w:tcPr>
            <w:tcW w:w="1893" w:type="dxa"/>
            <w:shd w:val="clear" w:color="auto" w:fill="BFBFBF" w:themeFill="background1" w:themeFillShade="BF"/>
          </w:tcPr>
          <w:p w14:paraId="3263E674" w14:textId="77777777" w:rsidR="00F04114" w:rsidRDefault="00F04114" w:rsidP="00B707FE">
            <w:pPr>
              <w:jc w:val="center"/>
              <w:rPr>
                <w:b/>
              </w:rPr>
            </w:pPr>
            <w:r w:rsidRPr="00833338">
              <w:rPr>
                <w:b/>
              </w:rPr>
              <w:t>Gender pay gap</w:t>
            </w:r>
            <w:r>
              <w:rPr>
                <w:rStyle w:val="FootnoteReference"/>
                <w:b/>
              </w:rPr>
              <w:footnoteReference w:id="4"/>
            </w:r>
          </w:p>
        </w:tc>
        <w:tc>
          <w:tcPr>
            <w:tcW w:w="1833" w:type="dxa"/>
            <w:shd w:val="clear" w:color="auto" w:fill="BFBFBF" w:themeFill="background1" w:themeFillShade="BF"/>
          </w:tcPr>
          <w:p w14:paraId="3D8CB839" w14:textId="77777777" w:rsidR="00F04114" w:rsidRDefault="00F04114" w:rsidP="00B707FE">
            <w:pPr>
              <w:jc w:val="center"/>
              <w:rPr>
                <w:b/>
              </w:rPr>
            </w:pPr>
            <w:r w:rsidRPr="00833338">
              <w:rPr>
                <w:b/>
              </w:rPr>
              <w:t>Average Age</w:t>
            </w:r>
          </w:p>
        </w:tc>
        <w:tc>
          <w:tcPr>
            <w:tcW w:w="1669" w:type="dxa"/>
            <w:shd w:val="clear" w:color="auto" w:fill="BFBFBF" w:themeFill="background1" w:themeFillShade="BF"/>
          </w:tcPr>
          <w:p w14:paraId="5A843281" w14:textId="77777777" w:rsidR="00F04114" w:rsidRDefault="00F04114" w:rsidP="00B707FE">
            <w:pPr>
              <w:jc w:val="center"/>
              <w:rPr>
                <w:b/>
              </w:rPr>
            </w:pPr>
            <w:r>
              <w:rPr>
                <w:b/>
              </w:rPr>
              <w:t>Average Length of Service</w:t>
            </w:r>
          </w:p>
        </w:tc>
      </w:tr>
      <w:tr w:rsidR="00F15E0A" w:rsidRPr="00F15E0A" w14:paraId="23F6AA7A" w14:textId="77777777" w:rsidTr="00E2551D">
        <w:trPr>
          <w:trHeight w:val="279"/>
        </w:trPr>
        <w:tc>
          <w:tcPr>
            <w:tcW w:w="1027" w:type="dxa"/>
            <w:shd w:val="clear" w:color="auto" w:fill="BFBFBF" w:themeFill="background1" w:themeFillShade="BF"/>
          </w:tcPr>
          <w:p w14:paraId="29AF0440" w14:textId="48F6DD6A" w:rsidR="00F15E0A" w:rsidRPr="00031CA5" w:rsidRDefault="00F15E0A" w:rsidP="00F15E0A">
            <w:pPr>
              <w:spacing w:before="60" w:after="60"/>
              <w:jc w:val="center"/>
              <w:rPr>
                <w:b/>
              </w:rPr>
            </w:pPr>
            <w:r w:rsidRPr="00031CA5">
              <w:rPr>
                <w:b/>
              </w:rPr>
              <w:t>2018</w:t>
            </w:r>
          </w:p>
        </w:tc>
        <w:tc>
          <w:tcPr>
            <w:tcW w:w="1378" w:type="dxa"/>
            <w:vAlign w:val="center"/>
          </w:tcPr>
          <w:p w14:paraId="3A42C8EB" w14:textId="576FE271" w:rsidR="00F15E0A" w:rsidRPr="00F15E0A" w:rsidRDefault="00F15E0A" w:rsidP="00F15E0A">
            <w:pPr>
              <w:spacing w:before="60" w:after="60"/>
              <w:jc w:val="center"/>
            </w:pPr>
            <w:r w:rsidRPr="00F15E0A">
              <w:rPr>
                <w:rFonts w:ascii="Calibri" w:hAnsi="Calibri"/>
              </w:rPr>
              <w:t>265</w:t>
            </w:r>
          </w:p>
        </w:tc>
        <w:tc>
          <w:tcPr>
            <w:tcW w:w="1373" w:type="dxa"/>
            <w:vAlign w:val="center"/>
          </w:tcPr>
          <w:p w14:paraId="2F22A5A8" w14:textId="46DF71D4" w:rsidR="00F15E0A" w:rsidRPr="00F15E0A" w:rsidRDefault="00207461" w:rsidP="00F15E0A">
            <w:pPr>
              <w:spacing w:before="60" w:after="60"/>
              <w:jc w:val="center"/>
            </w:pPr>
            <w:r>
              <w:rPr>
                <w:rFonts w:ascii="Calibri" w:hAnsi="Calibri"/>
              </w:rPr>
              <w:t>46.1</w:t>
            </w:r>
            <w:r w:rsidR="00F15E0A" w:rsidRPr="00F15E0A">
              <w:rPr>
                <w:rFonts w:ascii="Calibri" w:hAnsi="Calibri"/>
              </w:rPr>
              <w:t>%</w:t>
            </w:r>
          </w:p>
        </w:tc>
        <w:tc>
          <w:tcPr>
            <w:tcW w:w="1893" w:type="dxa"/>
            <w:vAlign w:val="center"/>
          </w:tcPr>
          <w:p w14:paraId="5F39E00B" w14:textId="0F793D87" w:rsidR="00F15E0A" w:rsidRPr="00F15E0A" w:rsidRDefault="00F15E0A" w:rsidP="00F15E0A">
            <w:pPr>
              <w:spacing w:before="60" w:after="60"/>
              <w:jc w:val="center"/>
            </w:pPr>
            <w:r w:rsidRPr="00F15E0A">
              <w:rPr>
                <w:rFonts w:ascii="Calibri" w:hAnsi="Calibri"/>
              </w:rPr>
              <w:t>-1.6%</w:t>
            </w:r>
          </w:p>
        </w:tc>
        <w:tc>
          <w:tcPr>
            <w:tcW w:w="1833" w:type="dxa"/>
            <w:vAlign w:val="center"/>
          </w:tcPr>
          <w:p w14:paraId="4A54E0CF" w14:textId="454C189C" w:rsidR="00F15E0A" w:rsidRPr="00F15E0A" w:rsidRDefault="00F15E0A" w:rsidP="00F15E0A">
            <w:pPr>
              <w:spacing w:before="60" w:after="60"/>
              <w:jc w:val="center"/>
            </w:pPr>
            <w:r w:rsidRPr="00F15E0A">
              <w:rPr>
                <w:rFonts w:ascii="Calibri" w:hAnsi="Calibri"/>
              </w:rPr>
              <w:t>50.2</w:t>
            </w:r>
          </w:p>
        </w:tc>
        <w:tc>
          <w:tcPr>
            <w:tcW w:w="1669" w:type="dxa"/>
            <w:vAlign w:val="center"/>
          </w:tcPr>
          <w:p w14:paraId="354144BC" w14:textId="1358F18A" w:rsidR="00F15E0A" w:rsidRPr="00F15E0A" w:rsidRDefault="00F15E0A" w:rsidP="00F15E0A">
            <w:pPr>
              <w:spacing w:before="60" w:after="60"/>
              <w:jc w:val="center"/>
            </w:pPr>
            <w:r w:rsidRPr="00F15E0A">
              <w:rPr>
                <w:rFonts w:ascii="Calibri" w:hAnsi="Calibri"/>
              </w:rPr>
              <w:t>11.9</w:t>
            </w:r>
          </w:p>
        </w:tc>
      </w:tr>
      <w:tr w:rsidR="00F04114" w14:paraId="2E56AF90" w14:textId="77777777" w:rsidTr="00E2551D">
        <w:trPr>
          <w:trHeight w:val="279"/>
        </w:trPr>
        <w:tc>
          <w:tcPr>
            <w:tcW w:w="1027" w:type="dxa"/>
            <w:shd w:val="clear" w:color="auto" w:fill="BFBFBF" w:themeFill="background1" w:themeFillShade="BF"/>
          </w:tcPr>
          <w:p w14:paraId="37F40573" w14:textId="77777777" w:rsidR="00F04114" w:rsidRPr="00031CA5" w:rsidRDefault="00F04114" w:rsidP="00B707FE">
            <w:pPr>
              <w:spacing w:before="60" w:after="60"/>
              <w:jc w:val="center"/>
              <w:rPr>
                <w:b/>
              </w:rPr>
            </w:pPr>
            <w:r w:rsidRPr="00031CA5">
              <w:rPr>
                <w:b/>
              </w:rPr>
              <w:t>2017</w:t>
            </w:r>
          </w:p>
        </w:tc>
        <w:tc>
          <w:tcPr>
            <w:tcW w:w="1378" w:type="dxa"/>
          </w:tcPr>
          <w:p w14:paraId="2781CF2A" w14:textId="77777777" w:rsidR="00F04114" w:rsidRDefault="00F04114" w:rsidP="00B707FE">
            <w:pPr>
              <w:spacing w:before="60" w:after="60"/>
              <w:jc w:val="center"/>
            </w:pPr>
            <w:r>
              <w:t>235</w:t>
            </w:r>
          </w:p>
        </w:tc>
        <w:tc>
          <w:tcPr>
            <w:tcW w:w="1373" w:type="dxa"/>
          </w:tcPr>
          <w:p w14:paraId="39F5558D" w14:textId="77777777" w:rsidR="00F04114" w:rsidRDefault="00F04114" w:rsidP="00B707FE">
            <w:pPr>
              <w:spacing w:before="60" w:after="60"/>
              <w:jc w:val="center"/>
            </w:pPr>
            <w:r>
              <w:t>44.7%</w:t>
            </w:r>
          </w:p>
        </w:tc>
        <w:tc>
          <w:tcPr>
            <w:tcW w:w="1893" w:type="dxa"/>
          </w:tcPr>
          <w:p w14:paraId="13DFCD27" w14:textId="77777777" w:rsidR="00F04114" w:rsidRDefault="00F04114" w:rsidP="00B707FE">
            <w:pPr>
              <w:spacing w:before="60" w:after="60"/>
              <w:jc w:val="center"/>
            </w:pPr>
            <w:r>
              <w:t>-1.6%</w:t>
            </w:r>
          </w:p>
        </w:tc>
        <w:tc>
          <w:tcPr>
            <w:tcW w:w="1833" w:type="dxa"/>
          </w:tcPr>
          <w:p w14:paraId="0BCE1D39" w14:textId="77777777" w:rsidR="00F04114" w:rsidRDefault="00F04114" w:rsidP="00B707FE">
            <w:pPr>
              <w:spacing w:before="60" w:after="60"/>
              <w:jc w:val="center"/>
            </w:pPr>
            <w:r>
              <w:t>50.3</w:t>
            </w:r>
          </w:p>
        </w:tc>
        <w:tc>
          <w:tcPr>
            <w:tcW w:w="1669" w:type="dxa"/>
          </w:tcPr>
          <w:p w14:paraId="7D43D531" w14:textId="77777777" w:rsidR="00F04114" w:rsidRDefault="00F04114" w:rsidP="00B707FE">
            <w:pPr>
              <w:spacing w:before="60" w:after="60"/>
              <w:jc w:val="center"/>
            </w:pPr>
            <w:r>
              <w:t>11.4</w:t>
            </w:r>
          </w:p>
        </w:tc>
      </w:tr>
      <w:tr w:rsidR="00F04114" w14:paraId="1D024D55" w14:textId="77777777" w:rsidTr="00E2551D">
        <w:trPr>
          <w:trHeight w:val="279"/>
        </w:trPr>
        <w:tc>
          <w:tcPr>
            <w:tcW w:w="1027" w:type="dxa"/>
            <w:shd w:val="clear" w:color="auto" w:fill="BFBFBF" w:themeFill="background1" w:themeFillShade="BF"/>
          </w:tcPr>
          <w:p w14:paraId="4E99FD68" w14:textId="77777777" w:rsidR="00F04114" w:rsidRPr="00031CA5" w:rsidRDefault="00F04114" w:rsidP="00B707FE">
            <w:pPr>
              <w:spacing w:before="60" w:after="60"/>
              <w:jc w:val="center"/>
              <w:rPr>
                <w:b/>
              </w:rPr>
            </w:pPr>
            <w:r w:rsidRPr="00031CA5">
              <w:rPr>
                <w:b/>
              </w:rPr>
              <w:t>2016</w:t>
            </w:r>
          </w:p>
        </w:tc>
        <w:tc>
          <w:tcPr>
            <w:tcW w:w="1378" w:type="dxa"/>
          </w:tcPr>
          <w:p w14:paraId="049B4D4F" w14:textId="77777777" w:rsidR="00F04114" w:rsidRDefault="00F04114" w:rsidP="00B707FE">
            <w:pPr>
              <w:spacing w:before="60" w:after="60"/>
              <w:jc w:val="center"/>
            </w:pPr>
            <w:r>
              <w:t>229</w:t>
            </w:r>
          </w:p>
        </w:tc>
        <w:tc>
          <w:tcPr>
            <w:tcW w:w="1373" w:type="dxa"/>
          </w:tcPr>
          <w:p w14:paraId="54F190F6" w14:textId="77777777" w:rsidR="00F04114" w:rsidRDefault="00F04114" w:rsidP="00B707FE">
            <w:pPr>
              <w:spacing w:before="60" w:after="60"/>
              <w:jc w:val="center"/>
            </w:pPr>
            <w:r>
              <w:t>41.5%</w:t>
            </w:r>
          </w:p>
        </w:tc>
        <w:tc>
          <w:tcPr>
            <w:tcW w:w="1893" w:type="dxa"/>
          </w:tcPr>
          <w:p w14:paraId="52530F39" w14:textId="77777777" w:rsidR="00F04114" w:rsidRDefault="00F04114" w:rsidP="00B707FE">
            <w:pPr>
              <w:spacing w:before="60" w:after="60"/>
              <w:jc w:val="center"/>
            </w:pPr>
            <w:r>
              <w:t>-0.2%</w:t>
            </w:r>
          </w:p>
        </w:tc>
        <w:tc>
          <w:tcPr>
            <w:tcW w:w="1833" w:type="dxa"/>
          </w:tcPr>
          <w:p w14:paraId="577BE016" w14:textId="77777777" w:rsidR="00F04114" w:rsidRDefault="00F04114" w:rsidP="00B707FE">
            <w:pPr>
              <w:spacing w:before="60" w:after="60"/>
              <w:jc w:val="center"/>
            </w:pPr>
            <w:r>
              <w:t>49.8</w:t>
            </w:r>
          </w:p>
        </w:tc>
        <w:tc>
          <w:tcPr>
            <w:tcW w:w="1669" w:type="dxa"/>
          </w:tcPr>
          <w:p w14:paraId="465098CA" w14:textId="77777777" w:rsidR="00F04114" w:rsidRDefault="00F04114" w:rsidP="00B707FE">
            <w:pPr>
              <w:spacing w:before="60" w:after="60"/>
              <w:jc w:val="center"/>
            </w:pPr>
            <w:r>
              <w:t>11.5</w:t>
            </w:r>
          </w:p>
        </w:tc>
      </w:tr>
      <w:tr w:rsidR="00F04114" w14:paraId="0417999B" w14:textId="77777777" w:rsidTr="00E2551D">
        <w:trPr>
          <w:trHeight w:val="279"/>
        </w:trPr>
        <w:tc>
          <w:tcPr>
            <w:tcW w:w="1027" w:type="dxa"/>
            <w:shd w:val="clear" w:color="auto" w:fill="BFBFBF" w:themeFill="background1" w:themeFillShade="BF"/>
          </w:tcPr>
          <w:p w14:paraId="7C5D8872" w14:textId="77777777" w:rsidR="00F04114" w:rsidRPr="00031CA5" w:rsidRDefault="00F04114" w:rsidP="00B707FE">
            <w:pPr>
              <w:spacing w:before="60" w:after="60"/>
              <w:jc w:val="center"/>
              <w:rPr>
                <w:b/>
              </w:rPr>
            </w:pPr>
            <w:r w:rsidRPr="00031CA5">
              <w:rPr>
                <w:b/>
              </w:rPr>
              <w:t>2015</w:t>
            </w:r>
          </w:p>
        </w:tc>
        <w:tc>
          <w:tcPr>
            <w:tcW w:w="1378" w:type="dxa"/>
          </w:tcPr>
          <w:p w14:paraId="2B488410" w14:textId="77777777" w:rsidR="00F04114" w:rsidRDefault="00F04114" w:rsidP="00B707FE">
            <w:pPr>
              <w:spacing w:before="60" w:after="60"/>
              <w:jc w:val="center"/>
            </w:pPr>
            <w:r>
              <w:t>212</w:t>
            </w:r>
          </w:p>
        </w:tc>
        <w:tc>
          <w:tcPr>
            <w:tcW w:w="1373" w:type="dxa"/>
          </w:tcPr>
          <w:p w14:paraId="17FF1D07" w14:textId="77777777" w:rsidR="00F04114" w:rsidRDefault="00F04114" w:rsidP="00B707FE">
            <w:pPr>
              <w:spacing w:before="60" w:after="60"/>
              <w:jc w:val="center"/>
            </w:pPr>
            <w:r>
              <w:t>41.9%</w:t>
            </w:r>
          </w:p>
        </w:tc>
        <w:tc>
          <w:tcPr>
            <w:tcW w:w="1893" w:type="dxa"/>
          </w:tcPr>
          <w:p w14:paraId="31094666" w14:textId="77777777" w:rsidR="00F04114" w:rsidRDefault="00F04114" w:rsidP="00B707FE">
            <w:pPr>
              <w:spacing w:before="60" w:after="60"/>
              <w:jc w:val="center"/>
            </w:pPr>
            <w:r>
              <w:t>-1.4%</w:t>
            </w:r>
          </w:p>
        </w:tc>
        <w:tc>
          <w:tcPr>
            <w:tcW w:w="1833" w:type="dxa"/>
          </w:tcPr>
          <w:p w14:paraId="4BDE7B04" w14:textId="77777777" w:rsidR="00F04114" w:rsidRDefault="00F04114" w:rsidP="00B707FE">
            <w:pPr>
              <w:spacing w:before="60" w:after="60"/>
              <w:jc w:val="center"/>
            </w:pPr>
            <w:r>
              <w:t>50.1</w:t>
            </w:r>
          </w:p>
        </w:tc>
        <w:tc>
          <w:tcPr>
            <w:tcW w:w="1669" w:type="dxa"/>
          </w:tcPr>
          <w:p w14:paraId="312218A1" w14:textId="77777777" w:rsidR="00F04114" w:rsidRDefault="00F04114" w:rsidP="00B707FE">
            <w:pPr>
              <w:spacing w:before="60" w:after="60"/>
              <w:jc w:val="center"/>
            </w:pPr>
            <w:r>
              <w:t>12.1</w:t>
            </w:r>
          </w:p>
        </w:tc>
      </w:tr>
      <w:tr w:rsidR="00F04114" w14:paraId="5BB4D1AC" w14:textId="77777777" w:rsidTr="00E2551D">
        <w:trPr>
          <w:trHeight w:val="279"/>
        </w:trPr>
        <w:tc>
          <w:tcPr>
            <w:tcW w:w="1027" w:type="dxa"/>
            <w:shd w:val="clear" w:color="auto" w:fill="BFBFBF" w:themeFill="background1" w:themeFillShade="BF"/>
          </w:tcPr>
          <w:p w14:paraId="186C7CDE" w14:textId="77777777" w:rsidR="00F04114" w:rsidRPr="00031CA5" w:rsidRDefault="00F04114" w:rsidP="00B707FE">
            <w:pPr>
              <w:spacing w:before="60" w:after="60"/>
              <w:jc w:val="center"/>
              <w:rPr>
                <w:b/>
              </w:rPr>
            </w:pPr>
            <w:r w:rsidRPr="00031CA5">
              <w:rPr>
                <w:b/>
              </w:rPr>
              <w:t>2014</w:t>
            </w:r>
          </w:p>
        </w:tc>
        <w:tc>
          <w:tcPr>
            <w:tcW w:w="1378" w:type="dxa"/>
          </w:tcPr>
          <w:p w14:paraId="14FF14E9" w14:textId="77777777" w:rsidR="00F04114" w:rsidRDefault="00F04114" w:rsidP="00B707FE">
            <w:pPr>
              <w:spacing w:before="60" w:after="60"/>
              <w:jc w:val="center"/>
            </w:pPr>
            <w:r>
              <w:t>213</w:t>
            </w:r>
          </w:p>
        </w:tc>
        <w:tc>
          <w:tcPr>
            <w:tcW w:w="1373" w:type="dxa"/>
          </w:tcPr>
          <w:p w14:paraId="18D1F455" w14:textId="77777777" w:rsidR="00F04114" w:rsidRDefault="00F04114" w:rsidP="00B707FE">
            <w:pPr>
              <w:spacing w:before="60" w:after="60"/>
              <w:jc w:val="center"/>
            </w:pPr>
            <w:r>
              <w:t>43.1%</w:t>
            </w:r>
          </w:p>
        </w:tc>
        <w:tc>
          <w:tcPr>
            <w:tcW w:w="1893" w:type="dxa"/>
          </w:tcPr>
          <w:p w14:paraId="49971182" w14:textId="77777777" w:rsidR="00F04114" w:rsidRDefault="00F04114" w:rsidP="00B707FE">
            <w:pPr>
              <w:spacing w:before="60" w:after="60"/>
              <w:jc w:val="center"/>
            </w:pPr>
            <w:r>
              <w:t>-3.4%</w:t>
            </w:r>
          </w:p>
        </w:tc>
        <w:tc>
          <w:tcPr>
            <w:tcW w:w="1833" w:type="dxa"/>
          </w:tcPr>
          <w:p w14:paraId="43877DA5" w14:textId="77777777" w:rsidR="00F04114" w:rsidRDefault="00F04114" w:rsidP="00B707FE">
            <w:pPr>
              <w:spacing w:before="60" w:after="60"/>
              <w:jc w:val="center"/>
            </w:pPr>
            <w:r>
              <w:t>50.0</w:t>
            </w:r>
          </w:p>
        </w:tc>
        <w:tc>
          <w:tcPr>
            <w:tcW w:w="1669" w:type="dxa"/>
          </w:tcPr>
          <w:p w14:paraId="3FEBFF7A" w14:textId="77777777" w:rsidR="00F04114" w:rsidRDefault="00F04114" w:rsidP="00B707FE">
            <w:pPr>
              <w:spacing w:before="60" w:after="60"/>
              <w:jc w:val="center"/>
            </w:pPr>
            <w:r>
              <w:t>12.1</w:t>
            </w:r>
          </w:p>
        </w:tc>
      </w:tr>
    </w:tbl>
    <w:p w14:paraId="08BF0531" w14:textId="77777777" w:rsidR="00F04114" w:rsidRDefault="00F04114" w:rsidP="006D444D">
      <w:pPr>
        <w:spacing w:after="0" w:line="240" w:lineRule="auto"/>
        <w:contextualSpacing/>
      </w:pPr>
    </w:p>
    <w:p w14:paraId="2336E126" w14:textId="311609AA" w:rsidR="00F04114" w:rsidRPr="000A397C" w:rsidRDefault="00F04114" w:rsidP="00F04114">
      <w:pPr>
        <w:rPr>
          <w:b/>
          <w:sz w:val="24"/>
          <w:szCs w:val="24"/>
        </w:rPr>
      </w:pPr>
      <w:r w:rsidRPr="005042EA">
        <w:rPr>
          <w:b/>
          <w:sz w:val="24"/>
          <w:szCs w:val="24"/>
        </w:rPr>
        <w:t xml:space="preserve">Table 2 – executive demographics in comparison to the general ACTPS workforce </w:t>
      </w:r>
      <w:r>
        <w:rPr>
          <w:b/>
          <w:sz w:val="24"/>
          <w:szCs w:val="24"/>
        </w:rPr>
        <w:t>at 30 June 2018</w:t>
      </w:r>
    </w:p>
    <w:tbl>
      <w:tblPr>
        <w:tblStyle w:val="TableGrid"/>
        <w:tblW w:w="0" w:type="auto"/>
        <w:tblLook w:val="04A0" w:firstRow="1" w:lastRow="0" w:firstColumn="1" w:lastColumn="0" w:noHBand="0" w:noVBand="1"/>
      </w:tblPr>
      <w:tblGrid>
        <w:gridCol w:w="3005"/>
        <w:gridCol w:w="3005"/>
        <w:gridCol w:w="3006"/>
      </w:tblGrid>
      <w:tr w:rsidR="00F04114" w:rsidRPr="006602A6" w14:paraId="75F564A5" w14:textId="77777777" w:rsidTr="00E2551D">
        <w:tc>
          <w:tcPr>
            <w:tcW w:w="3005" w:type="dxa"/>
            <w:tcBorders>
              <w:bottom w:val="single" w:sz="4" w:space="0" w:color="auto"/>
            </w:tcBorders>
            <w:shd w:val="clear" w:color="auto" w:fill="BFBFBF" w:themeFill="background1" w:themeFillShade="BF"/>
          </w:tcPr>
          <w:p w14:paraId="0B683910" w14:textId="77777777" w:rsidR="00F04114" w:rsidRDefault="00F04114" w:rsidP="00B707FE"/>
        </w:tc>
        <w:tc>
          <w:tcPr>
            <w:tcW w:w="3005" w:type="dxa"/>
            <w:shd w:val="clear" w:color="auto" w:fill="BFBFBF" w:themeFill="background1" w:themeFillShade="BF"/>
          </w:tcPr>
          <w:p w14:paraId="3861CE84" w14:textId="77777777" w:rsidR="00F04114" w:rsidRPr="0046088A" w:rsidRDefault="00F04114" w:rsidP="00B707FE">
            <w:pPr>
              <w:jc w:val="center"/>
              <w:rPr>
                <w:b/>
                <w:i/>
              </w:rPr>
            </w:pPr>
            <w:r w:rsidRPr="0046088A">
              <w:rPr>
                <w:b/>
                <w:i/>
              </w:rPr>
              <w:t>Executives</w:t>
            </w:r>
          </w:p>
        </w:tc>
        <w:tc>
          <w:tcPr>
            <w:tcW w:w="3006" w:type="dxa"/>
            <w:shd w:val="clear" w:color="auto" w:fill="BFBFBF" w:themeFill="background1" w:themeFillShade="BF"/>
          </w:tcPr>
          <w:p w14:paraId="1B3C5E2B" w14:textId="77777777" w:rsidR="00F04114" w:rsidRPr="0046088A" w:rsidRDefault="00F04114" w:rsidP="00B707FE">
            <w:pPr>
              <w:jc w:val="center"/>
              <w:rPr>
                <w:b/>
                <w:i/>
              </w:rPr>
            </w:pPr>
            <w:r w:rsidRPr="0046088A">
              <w:rPr>
                <w:b/>
                <w:i/>
              </w:rPr>
              <w:t>Whole of ACTPS workforce</w:t>
            </w:r>
          </w:p>
        </w:tc>
      </w:tr>
      <w:tr w:rsidR="00EF17C2" w14:paraId="28F2F7FA" w14:textId="77777777" w:rsidTr="00E2551D">
        <w:tc>
          <w:tcPr>
            <w:tcW w:w="3005" w:type="dxa"/>
            <w:shd w:val="clear" w:color="auto" w:fill="BFBFBF" w:themeFill="background1" w:themeFillShade="BF"/>
          </w:tcPr>
          <w:p w14:paraId="622303A7" w14:textId="77777777" w:rsidR="00EF17C2" w:rsidRPr="006602A6" w:rsidRDefault="00EF17C2" w:rsidP="00EF17C2">
            <w:pPr>
              <w:spacing w:before="60" w:after="60"/>
              <w:rPr>
                <w:b/>
              </w:rPr>
            </w:pPr>
            <w:r w:rsidRPr="006602A6">
              <w:rPr>
                <w:b/>
              </w:rPr>
              <w:t>Headcount</w:t>
            </w:r>
          </w:p>
        </w:tc>
        <w:tc>
          <w:tcPr>
            <w:tcW w:w="3005" w:type="dxa"/>
            <w:vAlign w:val="center"/>
          </w:tcPr>
          <w:p w14:paraId="7450054A" w14:textId="63EE8A3A" w:rsidR="00EF17C2" w:rsidRPr="00F04114" w:rsidRDefault="00EF17C2" w:rsidP="00EF17C2">
            <w:pPr>
              <w:spacing w:before="60" w:after="60"/>
              <w:jc w:val="center"/>
              <w:rPr>
                <w:color w:val="FF0000"/>
              </w:rPr>
            </w:pPr>
            <w:r>
              <w:rPr>
                <w:rFonts w:ascii="Calibri" w:hAnsi="Calibri"/>
                <w:color w:val="000000"/>
              </w:rPr>
              <w:t>265</w:t>
            </w:r>
          </w:p>
        </w:tc>
        <w:tc>
          <w:tcPr>
            <w:tcW w:w="3006" w:type="dxa"/>
            <w:vAlign w:val="center"/>
          </w:tcPr>
          <w:p w14:paraId="3CE7F01A" w14:textId="2D7D0EE1" w:rsidR="00EF17C2" w:rsidRPr="00F04114" w:rsidRDefault="00EF17C2" w:rsidP="00EF17C2">
            <w:pPr>
              <w:spacing w:before="60" w:after="60"/>
              <w:jc w:val="center"/>
              <w:rPr>
                <w:color w:val="FF0000"/>
              </w:rPr>
            </w:pPr>
            <w:r>
              <w:rPr>
                <w:rFonts w:ascii="Calibri" w:hAnsi="Calibri"/>
                <w:color w:val="000000"/>
              </w:rPr>
              <w:t>22,230</w:t>
            </w:r>
          </w:p>
        </w:tc>
      </w:tr>
      <w:tr w:rsidR="00EF17C2" w14:paraId="33719F1A" w14:textId="77777777" w:rsidTr="00E2551D">
        <w:tc>
          <w:tcPr>
            <w:tcW w:w="3005" w:type="dxa"/>
            <w:shd w:val="clear" w:color="auto" w:fill="BFBFBF" w:themeFill="background1" w:themeFillShade="BF"/>
          </w:tcPr>
          <w:p w14:paraId="0C200631" w14:textId="77777777" w:rsidR="00EF17C2" w:rsidRPr="006602A6" w:rsidRDefault="00EF17C2" w:rsidP="00EF17C2">
            <w:pPr>
              <w:spacing w:before="60" w:after="60"/>
              <w:rPr>
                <w:b/>
              </w:rPr>
            </w:pPr>
            <w:r w:rsidRPr="006602A6">
              <w:rPr>
                <w:b/>
              </w:rPr>
              <w:t>Percentage of females</w:t>
            </w:r>
          </w:p>
        </w:tc>
        <w:tc>
          <w:tcPr>
            <w:tcW w:w="3005" w:type="dxa"/>
            <w:vAlign w:val="center"/>
          </w:tcPr>
          <w:p w14:paraId="439A4D82" w14:textId="0346B2A9" w:rsidR="00EF17C2" w:rsidRPr="00F04114" w:rsidRDefault="006F3C77" w:rsidP="00712F26">
            <w:pPr>
              <w:spacing w:before="60" w:after="60"/>
              <w:jc w:val="center"/>
              <w:rPr>
                <w:color w:val="FF0000"/>
              </w:rPr>
            </w:pPr>
            <w:r>
              <w:rPr>
                <w:rFonts w:ascii="Calibri" w:hAnsi="Calibri"/>
                <w:color w:val="000000"/>
              </w:rPr>
              <w:t>46.1</w:t>
            </w:r>
            <w:r w:rsidR="00EF17C2">
              <w:rPr>
                <w:rFonts w:ascii="Calibri" w:hAnsi="Calibri"/>
                <w:color w:val="000000"/>
              </w:rPr>
              <w:t>%</w:t>
            </w:r>
          </w:p>
        </w:tc>
        <w:tc>
          <w:tcPr>
            <w:tcW w:w="3006" w:type="dxa"/>
            <w:vAlign w:val="center"/>
          </w:tcPr>
          <w:p w14:paraId="119C478D" w14:textId="20EB6FF6" w:rsidR="00EF17C2" w:rsidRPr="00F04114" w:rsidRDefault="00EF17C2" w:rsidP="00712F26">
            <w:pPr>
              <w:spacing w:before="60" w:after="60"/>
              <w:jc w:val="center"/>
              <w:rPr>
                <w:color w:val="FF0000"/>
              </w:rPr>
            </w:pPr>
            <w:r>
              <w:rPr>
                <w:rFonts w:ascii="Calibri" w:hAnsi="Calibri"/>
                <w:color w:val="000000"/>
              </w:rPr>
              <w:t>65.2%</w:t>
            </w:r>
          </w:p>
        </w:tc>
      </w:tr>
      <w:tr w:rsidR="00EF17C2" w14:paraId="3A31F9E2" w14:textId="77777777" w:rsidTr="00E2551D">
        <w:tc>
          <w:tcPr>
            <w:tcW w:w="3005" w:type="dxa"/>
            <w:shd w:val="clear" w:color="auto" w:fill="BFBFBF" w:themeFill="background1" w:themeFillShade="BF"/>
          </w:tcPr>
          <w:p w14:paraId="28F168BC" w14:textId="2975BE10" w:rsidR="00EF17C2" w:rsidRPr="006602A6" w:rsidRDefault="00EF17C2" w:rsidP="00EF17C2">
            <w:pPr>
              <w:spacing w:before="60" w:after="60"/>
              <w:rPr>
                <w:b/>
              </w:rPr>
            </w:pPr>
            <w:r w:rsidRPr="006602A6">
              <w:rPr>
                <w:b/>
              </w:rPr>
              <w:t>Gender pay gap</w:t>
            </w:r>
          </w:p>
        </w:tc>
        <w:tc>
          <w:tcPr>
            <w:tcW w:w="3005" w:type="dxa"/>
            <w:vAlign w:val="center"/>
          </w:tcPr>
          <w:p w14:paraId="504BC84A" w14:textId="130E2699" w:rsidR="00EF17C2" w:rsidRPr="00F04114" w:rsidRDefault="00EF17C2" w:rsidP="00712F26">
            <w:pPr>
              <w:spacing w:before="60" w:after="60"/>
              <w:jc w:val="center"/>
              <w:rPr>
                <w:color w:val="FF0000"/>
              </w:rPr>
            </w:pPr>
            <w:r>
              <w:rPr>
                <w:rFonts w:ascii="Calibri" w:hAnsi="Calibri"/>
                <w:color w:val="000000"/>
              </w:rPr>
              <w:t>-1.6%</w:t>
            </w:r>
          </w:p>
        </w:tc>
        <w:tc>
          <w:tcPr>
            <w:tcW w:w="3006" w:type="dxa"/>
            <w:vAlign w:val="center"/>
          </w:tcPr>
          <w:p w14:paraId="064FB07A" w14:textId="0332E293" w:rsidR="00EF17C2" w:rsidRPr="00F04114" w:rsidRDefault="00EF17C2" w:rsidP="00712F26">
            <w:pPr>
              <w:spacing w:before="60" w:after="60"/>
              <w:jc w:val="center"/>
              <w:rPr>
                <w:color w:val="FF0000"/>
              </w:rPr>
            </w:pPr>
            <w:r>
              <w:rPr>
                <w:rFonts w:ascii="Calibri" w:hAnsi="Calibri"/>
                <w:color w:val="000000"/>
              </w:rPr>
              <w:t>2.3%</w:t>
            </w:r>
          </w:p>
        </w:tc>
      </w:tr>
      <w:tr w:rsidR="00EF17C2" w14:paraId="16930D9E" w14:textId="77777777" w:rsidTr="00E2551D">
        <w:tc>
          <w:tcPr>
            <w:tcW w:w="3005" w:type="dxa"/>
            <w:shd w:val="clear" w:color="auto" w:fill="BFBFBF" w:themeFill="background1" w:themeFillShade="BF"/>
          </w:tcPr>
          <w:p w14:paraId="2A4C2A78" w14:textId="77777777" w:rsidR="00EF17C2" w:rsidRPr="006602A6" w:rsidRDefault="00EF17C2" w:rsidP="00EF17C2">
            <w:pPr>
              <w:spacing w:before="60" w:after="60"/>
              <w:rPr>
                <w:b/>
              </w:rPr>
            </w:pPr>
            <w:r w:rsidRPr="006602A6">
              <w:rPr>
                <w:b/>
              </w:rPr>
              <w:t>Average age</w:t>
            </w:r>
          </w:p>
        </w:tc>
        <w:tc>
          <w:tcPr>
            <w:tcW w:w="3005" w:type="dxa"/>
            <w:vAlign w:val="center"/>
          </w:tcPr>
          <w:p w14:paraId="47060F7E" w14:textId="2BB4A8FC" w:rsidR="00EF17C2" w:rsidRPr="00F04114" w:rsidRDefault="00EF17C2" w:rsidP="00EF17C2">
            <w:pPr>
              <w:spacing w:before="60" w:after="60"/>
              <w:jc w:val="center"/>
              <w:rPr>
                <w:color w:val="FF0000"/>
              </w:rPr>
            </w:pPr>
            <w:r>
              <w:rPr>
                <w:rFonts w:ascii="Calibri" w:hAnsi="Calibri"/>
                <w:color w:val="000000"/>
              </w:rPr>
              <w:t>50.2</w:t>
            </w:r>
          </w:p>
        </w:tc>
        <w:tc>
          <w:tcPr>
            <w:tcW w:w="3006" w:type="dxa"/>
            <w:vAlign w:val="center"/>
          </w:tcPr>
          <w:p w14:paraId="4E8D1CB4" w14:textId="08593C64" w:rsidR="00EF17C2" w:rsidRPr="00F04114" w:rsidRDefault="00EF17C2" w:rsidP="00EF17C2">
            <w:pPr>
              <w:spacing w:before="60" w:after="60"/>
              <w:jc w:val="center"/>
              <w:rPr>
                <w:color w:val="FF0000"/>
              </w:rPr>
            </w:pPr>
            <w:r>
              <w:rPr>
                <w:rFonts w:ascii="Calibri" w:hAnsi="Calibri"/>
                <w:color w:val="000000"/>
              </w:rPr>
              <w:t>42.4</w:t>
            </w:r>
          </w:p>
        </w:tc>
      </w:tr>
      <w:tr w:rsidR="00EF17C2" w14:paraId="3888F1B7" w14:textId="77777777" w:rsidTr="00E2551D">
        <w:tc>
          <w:tcPr>
            <w:tcW w:w="3005" w:type="dxa"/>
            <w:shd w:val="clear" w:color="auto" w:fill="BFBFBF" w:themeFill="background1" w:themeFillShade="BF"/>
          </w:tcPr>
          <w:p w14:paraId="227E3347" w14:textId="77777777" w:rsidR="00EF17C2" w:rsidRPr="006602A6" w:rsidRDefault="00EF17C2" w:rsidP="00EF17C2">
            <w:pPr>
              <w:spacing w:before="60" w:after="60"/>
              <w:rPr>
                <w:b/>
              </w:rPr>
            </w:pPr>
            <w:r w:rsidRPr="006602A6">
              <w:rPr>
                <w:b/>
              </w:rPr>
              <w:t>Average Length of Service</w:t>
            </w:r>
          </w:p>
        </w:tc>
        <w:tc>
          <w:tcPr>
            <w:tcW w:w="3005" w:type="dxa"/>
            <w:vAlign w:val="center"/>
          </w:tcPr>
          <w:p w14:paraId="5E81EC34" w14:textId="4428B8A7" w:rsidR="00EF17C2" w:rsidRPr="00F04114" w:rsidRDefault="00EF17C2" w:rsidP="00EF17C2">
            <w:pPr>
              <w:spacing w:before="60" w:after="60"/>
              <w:jc w:val="center"/>
              <w:rPr>
                <w:color w:val="FF0000"/>
              </w:rPr>
            </w:pPr>
            <w:r>
              <w:rPr>
                <w:rFonts w:ascii="Calibri" w:hAnsi="Calibri"/>
                <w:color w:val="000000"/>
              </w:rPr>
              <w:t>11.9</w:t>
            </w:r>
          </w:p>
        </w:tc>
        <w:tc>
          <w:tcPr>
            <w:tcW w:w="3006" w:type="dxa"/>
            <w:vAlign w:val="center"/>
          </w:tcPr>
          <w:p w14:paraId="394F76AF" w14:textId="74A5315E" w:rsidR="00EF17C2" w:rsidRPr="00F04114" w:rsidRDefault="00EF17C2" w:rsidP="00EF17C2">
            <w:pPr>
              <w:spacing w:before="60" w:after="60"/>
              <w:jc w:val="center"/>
              <w:rPr>
                <w:color w:val="FF0000"/>
              </w:rPr>
            </w:pPr>
            <w:r>
              <w:rPr>
                <w:rFonts w:ascii="Calibri" w:hAnsi="Calibri"/>
                <w:color w:val="000000"/>
              </w:rPr>
              <w:t>8.8</w:t>
            </w:r>
          </w:p>
        </w:tc>
      </w:tr>
    </w:tbl>
    <w:p w14:paraId="30590735" w14:textId="253D1988" w:rsidR="005511BF" w:rsidRDefault="005511BF" w:rsidP="005511BF">
      <w:pPr>
        <w:spacing w:before="240" w:after="120"/>
        <w:rPr>
          <w:sz w:val="24"/>
          <w:szCs w:val="24"/>
        </w:rPr>
      </w:pPr>
      <w:r w:rsidRPr="0007648C">
        <w:rPr>
          <w:sz w:val="24"/>
          <w:szCs w:val="24"/>
        </w:rPr>
        <w:t>Diversity indicators show the SES is below the ACTPS average on two of the four diversity metrics. The largest differences are seen in gender proportion (</w:t>
      </w:r>
      <w:r w:rsidR="006F3C77">
        <w:rPr>
          <w:sz w:val="24"/>
          <w:szCs w:val="24"/>
        </w:rPr>
        <w:t>46.1</w:t>
      </w:r>
      <w:r w:rsidR="001B5103">
        <w:rPr>
          <w:sz w:val="24"/>
          <w:szCs w:val="24"/>
        </w:rPr>
        <w:t xml:space="preserve"> per cent</w:t>
      </w:r>
      <w:r w:rsidR="001B5103" w:rsidRPr="0007648C">
        <w:rPr>
          <w:sz w:val="24"/>
          <w:szCs w:val="24"/>
        </w:rPr>
        <w:t xml:space="preserve"> </w:t>
      </w:r>
      <w:r w:rsidRPr="0007648C">
        <w:rPr>
          <w:sz w:val="24"/>
          <w:szCs w:val="24"/>
        </w:rPr>
        <w:t>of executives are female compared to 65.2</w:t>
      </w:r>
      <w:r w:rsidR="006D444D">
        <w:rPr>
          <w:sz w:val="24"/>
          <w:szCs w:val="24"/>
        </w:rPr>
        <w:t xml:space="preserve"> per cent</w:t>
      </w:r>
      <w:r w:rsidR="006D444D" w:rsidRPr="0007648C">
        <w:rPr>
          <w:sz w:val="24"/>
          <w:szCs w:val="24"/>
        </w:rPr>
        <w:t xml:space="preserve"> </w:t>
      </w:r>
      <w:r w:rsidRPr="0007648C">
        <w:rPr>
          <w:sz w:val="24"/>
          <w:szCs w:val="24"/>
        </w:rPr>
        <w:t>of females across the ACTPS</w:t>
      </w:r>
      <w:r w:rsidR="003F3C5F">
        <w:rPr>
          <w:sz w:val="24"/>
          <w:szCs w:val="24"/>
        </w:rPr>
        <w:t xml:space="preserve"> workforce</w:t>
      </w:r>
      <w:r w:rsidRPr="0007648C">
        <w:rPr>
          <w:sz w:val="24"/>
          <w:szCs w:val="24"/>
        </w:rPr>
        <w:t>) and Cultural and Linguistic Diversity (</w:t>
      </w:r>
      <w:r w:rsidR="006F3C77">
        <w:rPr>
          <w:sz w:val="24"/>
          <w:szCs w:val="24"/>
        </w:rPr>
        <w:t>5</w:t>
      </w:r>
      <w:r w:rsidR="006D444D">
        <w:rPr>
          <w:sz w:val="24"/>
          <w:szCs w:val="24"/>
        </w:rPr>
        <w:t xml:space="preserve"> per cent</w:t>
      </w:r>
      <w:r w:rsidR="006D444D" w:rsidRPr="0007648C">
        <w:rPr>
          <w:sz w:val="24"/>
          <w:szCs w:val="24"/>
        </w:rPr>
        <w:t xml:space="preserve"> </w:t>
      </w:r>
      <w:r w:rsidRPr="0007648C">
        <w:rPr>
          <w:sz w:val="24"/>
          <w:szCs w:val="24"/>
        </w:rPr>
        <w:t xml:space="preserve">of executives have identified as being in this diversity group compared to an average of </w:t>
      </w:r>
      <w:r w:rsidR="006F3C77">
        <w:rPr>
          <w:sz w:val="24"/>
          <w:szCs w:val="24"/>
        </w:rPr>
        <w:t>17.9</w:t>
      </w:r>
      <w:r w:rsidR="006D444D">
        <w:rPr>
          <w:sz w:val="24"/>
          <w:szCs w:val="24"/>
        </w:rPr>
        <w:t xml:space="preserve"> per cent</w:t>
      </w:r>
      <w:r w:rsidR="006D444D" w:rsidRPr="0007648C">
        <w:rPr>
          <w:sz w:val="24"/>
          <w:szCs w:val="24"/>
        </w:rPr>
        <w:t xml:space="preserve"> </w:t>
      </w:r>
      <w:r w:rsidRPr="0007648C">
        <w:rPr>
          <w:sz w:val="24"/>
          <w:szCs w:val="24"/>
        </w:rPr>
        <w:t>across the ACTPS). However</w:t>
      </w:r>
      <w:r w:rsidR="005641D3">
        <w:rPr>
          <w:sz w:val="24"/>
          <w:szCs w:val="24"/>
        </w:rPr>
        <w:t>,</w:t>
      </w:r>
      <w:r w:rsidRPr="0007648C">
        <w:rPr>
          <w:sz w:val="24"/>
          <w:szCs w:val="24"/>
        </w:rPr>
        <w:t xml:space="preserve"> the proportion of People with Disability in the SES is </w:t>
      </w:r>
      <w:r w:rsidR="00207461">
        <w:rPr>
          <w:sz w:val="24"/>
          <w:szCs w:val="24"/>
        </w:rPr>
        <w:t>6.2</w:t>
      </w:r>
      <w:r w:rsidR="006D444D">
        <w:rPr>
          <w:sz w:val="24"/>
          <w:szCs w:val="24"/>
        </w:rPr>
        <w:t xml:space="preserve"> per cent</w:t>
      </w:r>
      <w:r w:rsidR="006D444D" w:rsidRPr="0007648C">
        <w:rPr>
          <w:sz w:val="24"/>
          <w:szCs w:val="24"/>
        </w:rPr>
        <w:t xml:space="preserve"> </w:t>
      </w:r>
      <w:r w:rsidRPr="0007648C">
        <w:rPr>
          <w:sz w:val="24"/>
          <w:szCs w:val="24"/>
        </w:rPr>
        <w:t>which is above the ACTPS average of 2.4</w:t>
      </w:r>
      <w:r w:rsidR="006D444D">
        <w:rPr>
          <w:sz w:val="24"/>
          <w:szCs w:val="24"/>
        </w:rPr>
        <w:t xml:space="preserve"> per cent </w:t>
      </w:r>
      <w:r w:rsidRPr="0007648C">
        <w:rPr>
          <w:sz w:val="24"/>
          <w:szCs w:val="24"/>
        </w:rPr>
        <w:t xml:space="preserve">and the proportion of Aboriginal and Torres Strait Islanders in the SES is </w:t>
      </w:r>
      <w:r w:rsidR="00387F42">
        <w:rPr>
          <w:sz w:val="24"/>
          <w:szCs w:val="24"/>
        </w:rPr>
        <w:t>2.1</w:t>
      </w:r>
      <w:r w:rsidR="006D444D">
        <w:rPr>
          <w:sz w:val="24"/>
          <w:szCs w:val="24"/>
        </w:rPr>
        <w:t xml:space="preserve"> per cent</w:t>
      </w:r>
      <w:r w:rsidR="006D444D" w:rsidRPr="0007648C">
        <w:rPr>
          <w:sz w:val="24"/>
          <w:szCs w:val="24"/>
        </w:rPr>
        <w:t xml:space="preserve"> </w:t>
      </w:r>
      <w:r w:rsidRPr="0007648C">
        <w:rPr>
          <w:sz w:val="24"/>
          <w:szCs w:val="24"/>
        </w:rPr>
        <w:t>which is just above the ACTPS average of 1.</w:t>
      </w:r>
      <w:r w:rsidR="006F3C77">
        <w:rPr>
          <w:sz w:val="24"/>
          <w:szCs w:val="24"/>
        </w:rPr>
        <w:t xml:space="preserve">7 </w:t>
      </w:r>
      <w:r w:rsidR="001B5103">
        <w:rPr>
          <w:sz w:val="24"/>
          <w:szCs w:val="24"/>
        </w:rPr>
        <w:t>per cent</w:t>
      </w:r>
      <w:r w:rsidRPr="0007648C">
        <w:rPr>
          <w:sz w:val="24"/>
          <w:szCs w:val="24"/>
        </w:rPr>
        <w:t>.</w:t>
      </w:r>
      <w:r w:rsidR="00F57E91" w:rsidRPr="0007648C">
        <w:rPr>
          <w:sz w:val="24"/>
          <w:szCs w:val="24"/>
        </w:rPr>
        <w:t xml:space="preserve"> </w:t>
      </w:r>
      <w:r w:rsidR="00893209">
        <w:rPr>
          <w:sz w:val="24"/>
          <w:szCs w:val="24"/>
        </w:rPr>
        <w:t xml:space="preserve">The Tribunal notes the </w:t>
      </w:r>
      <w:r w:rsidR="00B91F4F">
        <w:rPr>
          <w:sz w:val="24"/>
          <w:szCs w:val="24"/>
        </w:rPr>
        <w:t xml:space="preserve">positive </w:t>
      </w:r>
      <w:r w:rsidR="00893209">
        <w:rPr>
          <w:sz w:val="24"/>
          <w:szCs w:val="24"/>
        </w:rPr>
        <w:t>figures relating to the number of female executives and their pay levels.</w:t>
      </w:r>
    </w:p>
    <w:p w14:paraId="2A3DA655" w14:textId="23E86974" w:rsidR="0046088A" w:rsidRPr="0007648C" w:rsidRDefault="0046088A" w:rsidP="005511BF">
      <w:pPr>
        <w:spacing w:before="240" w:after="120"/>
        <w:rPr>
          <w:sz w:val="24"/>
          <w:szCs w:val="24"/>
        </w:rPr>
      </w:pPr>
      <w:r>
        <w:rPr>
          <w:sz w:val="24"/>
          <w:szCs w:val="24"/>
        </w:rPr>
        <w:lastRenderedPageBreak/>
        <w:t xml:space="preserve">The data </w:t>
      </w:r>
      <w:r w:rsidR="003B67CF">
        <w:rPr>
          <w:sz w:val="24"/>
          <w:szCs w:val="24"/>
        </w:rPr>
        <w:t xml:space="preserve">in </w:t>
      </w:r>
      <w:r>
        <w:rPr>
          <w:sz w:val="24"/>
          <w:szCs w:val="24"/>
        </w:rPr>
        <w:t>Table 1 and Table 2 is taken from the State of the Service Reports.</w:t>
      </w:r>
    </w:p>
    <w:p w14:paraId="0E418287" w14:textId="7F752DCE" w:rsidR="00862BCD" w:rsidRDefault="00862BCD" w:rsidP="00862BCD">
      <w:pPr>
        <w:pStyle w:val="Heading3"/>
      </w:pPr>
      <w:bookmarkStart w:id="16" w:name="_Toc2327858"/>
      <w:r w:rsidRPr="00862BCD">
        <w:t>Executive Classification Structure</w:t>
      </w:r>
      <w:bookmarkEnd w:id="16"/>
      <w:r w:rsidRPr="00862BCD">
        <w:t xml:space="preserve"> </w:t>
      </w:r>
    </w:p>
    <w:p w14:paraId="7323BF62" w14:textId="438463EE" w:rsidR="00724609" w:rsidRPr="00C766FA" w:rsidRDefault="00724609" w:rsidP="00724609">
      <w:pPr>
        <w:rPr>
          <w:sz w:val="24"/>
          <w:szCs w:val="24"/>
        </w:rPr>
      </w:pPr>
      <w:r w:rsidRPr="00C766FA">
        <w:rPr>
          <w:sz w:val="24"/>
          <w:szCs w:val="24"/>
        </w:rPr>
        <w:t>Since the establishment</w:t>
      </w:r>
      <w:r w:rsidR="006369DE">
        <w:rPr>
          <w:rStyle w:val="FootnoteReference"/>
          <w:sz w:val="24"/>
          <w:szCs w:val="24"/>
        </w:rPr>
        <w:footnoteReference w:id="5"/>
      </w:r>
      <w:r w:rsidRPr="00C766FA">
        <w:rPr>
          <w:sz w:val="24"/>
          <w:szCs w:val="24"/>
        </w:rPr>
        <w:t xml:space="preserve"> of self-government in 1989 there has been a 12 point executive classification structure across three bands. As raised in the </w:t>
      </w:r>
      <w:r w:rsidR="006E55E9">
        <w:rPr>
          <w:sz w:val="24"/>
          <w:szCs w:val="24"/>
        </w:rPr>
        <w:t>D</w:t>
      </w:r>
      <w:r w:rsidR="006E55E9" w:rsidRPr="00C766FA">
        <w:rPr>
          <w:sz w:val="24"/>
          <w:szCs w:val="24"/>
        </w:rPr>
        <w:t xml:space="preserve">iscussion </w:t>
      </w:r>
      <w:r w:rsidR="006E55E9">
        <w:rPr>
          <w:sz w:val="24"/>
          <w:szCs w:val="24"/>
        </w:rPr>
        <w:t>P</w:t>
      </w:r>
      <w:r w:rsidR="006E55E9" w:rsidRPr="00C766FA">
        <w:rPr>
          <w:sz w:val="24"/>
          <w:szCs w:val="24"/>
        </w:rPr>
        <w:t>aper</w:t>
      </w:r>
      <w:r w:rsidRPr="00C766FA">
        <w:rPr>
          <w:sz w:val="24"/>
          <w:szCs w:val="24"/>
        </w:rPr>
        <w:t xml:space="preserve">, the roles, responsibilities and expectations of executives have evolved significantly over the past </w:t>
      </w:r>
      <w:r w:rsidR="00436ED1">
        <w:rPr>
          <w:sz w:val="24"/>
          <w:szCs w:val="24"/>
        </w:rPr>
        <w:t>30 </w:t>
      </w:r>
      <w:r w:rsidRPr="00C766FA">
        <w:rPr>
          <w:sz w:val="24"/>
          <w:szCs w:val="24"/>
        </w:rPr>
        <w:t>years and it was evident that the structure no longer accurately reflects the roles at each classification point, nor the relativities between classification points.</w:t>
      </w:r>
    </w:p>
    <w:p w14:paraId="4900A06A" w14:textId="340947DB" w:rsidR="005F2005" w:rsidRDefault="00724609" w:rsidP="005F2005">
      <w:pPr>
        <w:rPr>
          <w:sz w:val="24"/>
          <w:szCs w:val="24"/>
        </w:rPr>
      </w:pPr>
      <w:r>
        <w:rPr>
          <w:rFonts w:ascii="Calibri" w:hAnsi="Calibri"/>
          <w:color w:val="000000"/>
          <w:sz w:val="24"/>
          <w:szCs w:val="24"/>
        </w:rPr>
        <w:t xml:space="preserve">The </w:t>
      </w:r>
      <w:r w:rsidRPr="00724609">
        <w:rPr>
          <w:rFonts w:ascii="Calibri" w:hAnsi="Calibri"/>
          <w:i/>
          <w:color w:val="000000"/>
          <w:sz w:val="24"/>
          <w:szCs w:val="24"/>
        </w:rPr>
        <w:t>Public Sector Management Act 1994</w:t>
      </w:r>
      <w:r w:rsidRPr="00072FA4">
        <w:rPr>
          <w:rFonts w:ascii="Calibri" w:hAnsi="Calibri"/>
          <w:color w:val="000000"/>
          <w:sz w:val="24"/>
          <w:szCs w:val="24"/>
        </w:rPr>
        <w:t xml:space="preserve"> </w:t>
      </w:r>
      <w:r>
        <w:rPr>
          <w:rFonts w:ascii="Calibri" w:hAnsi="Calibri"/>
          <w:color w:val="000000"/>
          <w:sz w:val="24"/>
          <w:szCs w:val="24"/>
        </w:rPr>
        <w:t>was amended in 2016 to establish the S</w:t>
      </w:r>
      <w:r w:rsidRPr="00072FA4">
        <w:rPr>
          <w:rFonts w:ascii="Calibri" w:hAnsi="Calibri"/>
          <w:color w:val="000000"/>
          <w:sz w:val="24"/>
          <w:szCs w:val="24"/>
        </w:rPr>
        <w:t>enior Executive Service</w:t>
      </w:r>
      <w:r w:rsidR="005F2005">
        <w:rPr>
          <w:rFonts w:ascii="Calibri" w:hAnsi="Calibri"/>
          <w:color w:val="000000"/>
          <w:sz w:val="24"/>
          <w:szCs w:val="24"/>
        </w:rPr>
        <w:t xml:space="preserve"> (SES). The amendments created </w:t>
      </w:r>
      <w:r w:rsidRPr="00072FA4">
        <w:rPr>
          <w:rFonts w:ascii="Calibri" w:hAnsi="Calibri"/>
          <w:color w:val="000000"/>
          <w:sz w:val="24"/>
          <w:szCs w:val="24"/>
        </w:rPr>
        <w:t>a clearer delineation between executive levels</w:t>
      </w:r>
      <w:r w:rsidR="005F2005">
        <w:rPr>
          <w:rFonts w:ascii="Calibri" w:hAnsi="Calibri"/>
          <w:color w:val="000000"/>
          <w:sz w:val="24"/>
          <w:szCs w:val="24"/>
        </w:rPr>
        <w:t xml:space="preserve"> and provided for </w:t>
      </w:r>
      <w:r w:rsidR="005F2005">
        <w:rPr>
          <w:sz w:val="24"/>
          <w:szCs w:val="24"/>
        </w:rPr>
        <w:t xml:space="preserve">ACTPS executives to be engaged as members of the SES and not in particular executive positions. As noted in the </w:t>
      </w:r>
      <w:r w:rsidR="006E55E9">
        <w:rPr>
          <w:sz w:val="24"/>
          <w:szCs w:val="24"/>
        </w:rPr>
        <w:t>Discussion Paper</w:t>
      </w:r>
      <w:r w:rsidR="005F2005">
        <w:rPr>
          <w:sz w:val="24"/>
          <w:szCs w:val="24"/>
        </w:rPr>
        <w:t xml:space="preserve">, these </w:t>
      </w:r>
      <w:r w:rsidR="00445933">
        <w:rPr>
          <w:sz w:val="24"/>
          <w:szCs w:val="24"/>
        </w:rPr>
        <w:t xml:space="preserve">changes </w:t>
      </w:r>
      <w:r w:rsidR="005F2005">
        <w:rPr>
          <w:sz w:val="24"/>
          <w:szCs w:val="24"/>
        </w:rPr>
        <w:t xml:space="preserve">were designed to facilitate efficient mobility arrangements or temporary assignments across </w:t>
      </w:r>
      <w:r w:rsidR="006E55E9">
        <w:rPr>
          <w:sz w:val="24"/>
          <w:szCs w:val="24"/>
        </w:rPr>
        <w:t xml:space="preserve">the </w:t>
      </w:r>
      <w:r w:rsidR="005F2005">
        <w:rPr>
          <w:sz w:val="24"/>
          <w:szCs w:val="24"/>
        </w:rPr>
        <w:t xml:space="preserve">ACTPS according to the executive’s skills and capabilities and </w:t>
      </w:r>
      <w:r w:rsidR="00B91F4F">
        <w:rPr>
          <w:sz w:val="24"/>
          <w:szCs w:val="24"/>
        </w:rPr>
        <w:t xml:space="preserve">to enable </w:t>
      </w:r>
      <w:r w:rsidR="005F2005">
        <w:rPr>
          <w:sz w:val="24"/>
          <w:szCs w:val="24"/>
        </w:rPr>
        <w:t xml:space="preserve">operational requirements </w:t>
      </w:r>
      <w:r w:rsidR="00B91F4F">
        <w:rPr>
          <w:sz w:val="24"/>
          <w:szCs w:val="24"/>
        </w:rPr>
        <w:t>in order to</w:t>
      </w:r>
      <w:r w:rsidR="005F2005">
        <w:rPr>
          <w:sz w:val="24"/>
          <w:szCs w:val="24"/>
        </w:rPr>
        <w:t xml:space="preserve"> best meet the priorities of the Government. </w:t>
      </w:r>
      <w:r w:rsidR="00EE5EC8">
        <w:rPr>
          <w:sz w:val="24"/>
          <w:szCs w:val="24"/>
        </w:rPr>
        <w:t>Importantly, t</w:t>
      </w:r>
      <w:r w:rsidR="005F2005">
        <w:rPr>
          <w:sz w:val="24"/>
          <w:szCs w:val="24"/>
        </w:rPr>
        <w:t>he arrangement</w:t>
      </w:r>
      <w:r w:rsidR="00354A03">
        <w:rPr>
          <w:sz w:val="24"/>
          <w:szCs w:val="24"/>
        </w:rPr>
        <w:t>s</w:t>
      </w:r>
      <w:r w:rsidR="005F2005">
        <w:rPr>
          <w:sz w:val="24"/>
          <w:szCs w:val="24"/>
        </w:rPr>
        <w:t xml:space="preserve"> a</w:t>
      </w:r>
      <w:r w:rsidR="00983C93">
        <w:rPr>
          <w:sz w:val="24"/>
          <w:szCs w:val="24"/>
        </w:rPr>
        <w:t>re a</w:t>
      </w:r>
      <w:r w:rsidR="005F2005">
        <w:rPr>
          <w:sz w:val="24"/>
          <w:szCs w:val="24"/>
        </w:rPr>
        <w:t xml:space="preserve">lso </w:t>
      </w:r>
      <w:r w:rsidR="00862BCD">
        <w:rPr>
          <w:sz w:val="24"/>
          <w:szCs w:val="24"/>
        </w:rPr>
        <w:t xml:space="preserve">put in place to </w:t>
      </w:r>
      <w:r w:rsidR="005F2005">
        <w:rPr>
          <w:sz w:val="24"/>
          <w:szCs w:val="24"/>
        </w:rPr>
        <w:t>allow executive</w:t>
      </w:r>
      <w:r w:rsidR="00445933">
        <w:rPr>
          <w:sz w:val="24"/>
          <w:szCs w:val="24"/>
        </w:rPr>
        <w:t>s</w:t>
      </w:r>
      <w:r w:rsidR="005F2005">
        <w:rPr>
          <w:sz w:val="24"/>
          <w:szCs w:val="24"/>
        </w:rPr>
        <w:t xml:space="preserve"> to broaden their </w:t>
      </w:r>
      <w:r w:rsidR="005F2005" w:rsidRPr="004273E3">
        <w:rPr>
          <w:sz w:val="24"/>
          <w:szCs w:val="24"/>
        </w:rPr>
        <w:t>experiences and build their careers</w:t>
      </w:r>
      <w:r w:rsidR="005F2005">
        <w:rPr>
          <w:sz w:val="24"/>
          <w:szCs w:val="24"/>
        </w:rPr>
        <w:t>.</w:t>
      </w:r>
      <w:r w:rsidR="005F2005" w:rsidRPr="004273E3">
        <w:rPr>
          <w:sz w:val="24"/>
          <w:szCs w:val="24"/>
        </w:rPr>
        <w:t xml:space="preserve"> </w:t>
      </w:r>
    </w:p>
    <w:p w14:paraId="3D71FD9A" w14:textId="6316610B" w:rsidR="00724609" w:rsidRPr="000F09C1" w:rsidRDefault="00724609" w:rsidP="00724609">
      <w:pPr>
        <w:rPr>
          <w:sz w:val="24"/>
          <w:szCs w:val="24"/>
        </w:rPr>
      </w:pPr>
      <w:r w:rsidRPr="000F09C1">
        <w:rPr>
          <w:sz w:val="24"/>
          <w:szCs w:val="24"/>
        </w:rPr>
        <w:t xml:space="preserve">In April 2017, the ACT Government commenced a review of the executive classification structure.  </w:t>
      </w:r>
      <w:r w:rsidR="00474DB6">
        <w:rPr>
          <w:sz w:val="24"/>
          <w:szCs w:val="24"/>
        </w:rPr>
        <w:t>As part of this review, a</w:t>
      </w:r>
      <w:r w:rsidR="00354A03">
        <w:rPr>
          <w:sz w:val="24"/>
          <w:szCs w:val="24"/>
        </w:rPr>
        <w:t xml:space="preserve">n independent consultant </w:t>
      </w:r>
      <w:r w:rsidRPr="000F09C1">
        <w:rPr>
          <w:sz w:val="24"/>
          <w:szCs w:val="24"/>
        </w:rPr>
        <w:t>was engaged to</w:t>
      </w:r>
      <w:r w:rsidR="00474DB6">
        <w:rPr>
          <w:sz w:val="24"/>
          <w:szCs w:val="24"/>
        </w:rPr>
        <w:t xml:space="preserve"> inform the</w:t>
      </w:r>
      <w:r w:rsidRPr="000F09C1">
        <w:rPr>
          <w:sz w:val="24"/>
          <w:szCs w:val="24"/>
        </w:rPr>
        <w:t xml:space="preserve"> develop</w:t>
      </w:r>
      <w:r w:rsidR="00474DB6">
        <w:rPr>
          <w:sz w:val="24"/>
          <w:szCs w:val="24"/>
        </w:rPr>
        <w:t>ment of</w:t>
      </w:r>
      <w:r w:rsidRPr="000F09C1">
        <w:rPr>
          <w:sz w:val="24"/>
          <w:szCs w:val="24"/>
        </w:rPr>
        <w:t xml:space="preserve"> </w:t>
      </w:r>
      <w:r w:rsidR="00862BCD">
        <w:rPr>
          <w:sz w:val="24"/>
          <w:szCs w:val="24"/>
        </w:rPr>
        <w:t>a</w:t>
      </w:r>
      <w:r w:rsidRPr="000F09C1">
        <w:rPr>
          <w:sz w:val="24"/>
          <w:szCs w:val="24"/>
        </w:rPr>
        <w:t xml:space="preserve"> new classification structure to be comparable and competitive with the APS and other States and Territory public sectors to ensure that the </w:t>
      </w:r>
      <w:r w:rsidR="003F3C5F">
        <w:rPr>
          <w:sz w:val="24"/>
          <w:szCs w:val="24"/>
        </w:rPr>
        <w:t>ACTPS</w:t>
      </w:r>
      <w:r w:rsidRPr="000F09C1">
        <w:rPr>
          <w:sz w:val="24"/>
          <w:szCs w:val="24"/>
        </w:rPr>
        <w:t xml:space="preserve"> can attract and retain qualified, skilled and high performing executives. </w:t>
      </w:r>
    </w:p>
    <w:p w14:paraId="3BEBBAA0" w14:textId="791B106C" w:rsidR="00863F82" w:rsidRDefault="00863F82" w:rsidP="00724609">
      <w:pPr>
        <w:rPr>
          <w:sz w:val="24"/>
          <w:szCs w:val="24"/>
        </w:rPr>
      </w:pPr>
      <w:r w:rsidRPr="00173AC3">
        <w:rPr>
          <w:sz w:val="24"/>
          <w:szCs w:val="24"/>
        </w:rPr>
        <w:t>Th</w:t>
      </w:r>
      <w:r w:rsidR="0046088A">
        <w:rPr>
          <w:sz w:val="24"/>
          <w:szCs w:val="24"/>
        </w:rPr>
        <w:t>is</w:t>
      </w:r>
      <w:r w:rsidRPr="00173AC3">
        <w:rPr>
          <w:sz w:val="24"/>
          <w:szCs w:val="24"/>
        </w:rPr>
        <w:t xml:space="preserve"> </w:t>
      </w:r>
      <w:r>
        <w:rPr>
          <w:sz w:val="24"/>
          <w:szCs w:val="24"/>
        </w:rPr>
        <w:t>review of the executive classification structure was</w:t>
      </w:r>
      <w:r w:rsidRPr="00173AC3">
        <w:rPr>
          <w:sz w:val="24"/>
          <w:szCs w:val="24"/>
        </w:rPr>
        <w:t xml:space="preserve"> the first review </w:t>
      </w:r>
      <w:r>
        <w:rPr>
          <w:sz w:val="24"/>
          <w:szCs w:val="24"/>
        </w:rPr>
        <w:t>of this nature</w:t>
      </w:r>
      <w:r w:rsidRPr="00173AC3">
        <w:rPr>
          <w:sz w:val="24"/>
          <w:szCs w:val="24"/>
        </w:rPr>
        <w:t xml:space="preserve"> conducted since the original structure was established in 1994.</w:t>
      </w:r>
      <w:r w:rsidR="0046088A">
        <w:rPr>
          <w:sz w:val="24"/>
          <w:szCs w:val="24"/>
        </w:rPr>
        <w:t xml:space="preserve"> It is useful to note that there </w:t>
      </w:r>
      <w:r w:rsidR="00B91F4F">
        <w:rPr>
          <w:sz w:val="24"/>
          <w:szCs w:val="24"/>
        </w:rPr>
        <w:t xml:space="preserve">have </w:t>
      </w:r>
      <w:r w:rsidR="0046088A">
        <w:rPr>
          <w:sz w:val="24"/>
          <w:szCs w:val="24"/>
        </w:rPr>
        <w:t>been some reviews and changes to the structure since this time</w:t>
      </w:r>
      <w:r w:rsidR="003B67CF">
        <w:rPr>
          <w:rStyle w:val="FootnoteReference"/>
          <w:sz w:val="24"/>
          <w:szCs w:val="24"/>
        </w:rPr>
        <w:footnoteReference w:id="6"/>
      </w:r>
      <w:r w:rsidR="0046088A">
        <w:rPr>
          <w:sz w:val="24"/>
          <w:szCs w:val="24"/>
        </w:rPr>
        <w:t>.</w:t>
      </w:r>
    </w:p>
    <w:p w14:paraId="5DD13651" w14:textId="6C95BD95" w:rsidR="006369DE" w:rsidRDefault="006369DE" w:rsidP="006369DE">
      <w:pPr>
        <w:rPr>
          <w:rFonts w:ascii="Calibri" w:hAnsi="Calibri"/>
          <w:color w:val="000000"/>
          <w:sz w:val="24"/>
          <w:szCs w:val="24"/>
        </w:rPr>
      </w:pPr>
      <w:r w:rsidRPr="00072FA4">
        <w:rPr>
          <w:sz w:val="24"/>
          <w:szCs w:val="24"/>
        </w:rPr>
        <w:t>The Public Sector Management Standards</w:t>
      </w:r>
      <w:r w:rsidR="005641D3">
        <w:rPr>
          <w:sz w:val="24"/>
          <w:szCs w:val="24"/>
        </w:rPr>
        <w:t xml:space="preserve"> 2016</w:t>
      </w:r>
      <w:r w:rsidRPr="00072FA4">
        <w:rPr>
          <w:sz w:val="24"/>
          <w:szCs w:val="24"/>
        </w:rPr>
        <w:t xml:space="preserve"> </w:t>
      </w:r>
      <w:r w:rsidR="00251912">
        <w:rPr>
          <w:sz w:val="24"/>
          <w:szCs w:val="24"/>
        </w:rPr>
        <w:t>(PSM Standards)</w:t>
      </w:r>
      <w:r w:rsidR="003F3C5F">
        <w:rPr>
          <w:rStyle w:val="FootnoteReference"/>
          <w:rFonts w:ascii="Calibri" w:hAnsi="Calibri"/>
          <w:color w:val="000000"/>
          <w:sz w:val="24"/>
          <w:szCs w:val="24"/>
        </w:rPr>
        <w:footnoteReference w:id="7"/>
      </w:r>
      <w:r w:rsidR="00251912">
        <w:rPr>
          <w:sz w:val="24"/>
          <w:szCs w:val="24"/>
        </w:rPr>
        <w:t xml:space="preserve"> </w:t>
      </w:r>
      <w:r w:rsidRPr="00072FA4">
        <w:rPr>
          <w:sz w:val="24"/>
          <w:szCs w:val="24"/>
        </w:rPr>
        <w:t xml:space="preserve">were amended </w:t>
      </w:r>
      <w:r>
        <w:rPr>
          <w:sz w:val="24"/>
          <w:szCs w:val="24"/>
        </w:rPr>
        <w:t>on</w:t>
      </w:r>
      <w:r w:rsidRPr="00072FA4">
        <w:rPr>
          <w:sz w:val="24"/>
          <w:szCs w:val="24"/>
        </w:rPr>
        <w:t xml:space="preserve"> </w:t>
      </w:r>
      <w:r w:rsidR="003F3C5F" w:rsidRPr="00072FA4">
        <w:rPr>
          <w:sz w:val="24"/>
          <w:szCs w:val="24"/>
        </w:rPr>
        <w:t>1</w:t>
      </w:r>
      <w:r w:rsidR="003F3C5F">
        <w:rPr>
          <w:sz w:val="24"/>
          <w:szCs w:val="24"/>
        </w:rPr>
        <w:t> </w:t>
      </w:r>
      <w:r w:rsidR="003F3C5F" w:rsidRPr="00072FA4">
        <w:rPr>
          <w:sz w:val="24"/>
          <w:szCs w:val="24"/>
        </w:rPr>
        <w:t>July</w:t>
      </w:r>
      <w:r w:rsidR="003F3C5F">
        <w:rPr>
          <w:sz w:val="24"/>
          <w:szCs w:val="24"/>
        </w:rPr>
        <w:t> </w:t>
      </w:r>
      <w:r w:rsidRPr="00072FA4">
        <w:rPr>
          <w:sz w:val="24"/>
          <w:szCs w:val="24"/>
        </w:rPr>
        <w:t xml:space="preserve">2018 </w:t>
      </w:r>
      <w:r w:rsidRPr="00072FA4">
        <w:rPr>
          <w:rFonts w:ascii="Calibri" w:hAnsi="Calibri"/>
          <w:color w:val="000000"/>
          <w:sz w:val="24"/>
          <w:szCs w:val="24"/>
        </w:rPr>
        <w:t xml:space="preserve">to introduce </w:t>
      </w:r>
      <w:r>
        <w:rPr>
          <w:rFonts w:ascii="Calibri" w:hAnsi="Calibri"/>
          <w:color w:val="000000"/>
          <w:sz w:val="24"/>
          <w:szCs w:val="24"/>
        </w:rPr>
        <w:t xml:space="preserve">a new </w:t>
      </w:r>
      <w:r w:rsidRPr="00072FA4">
        <w:rPr>
          <w:rFonts w:ascii="Calibri" w:hAnsi="Calibri"/>
          <w:color w:val="000000"/>
          <w:sz w:val="24"/>
          <w:szCs w:val="24"/>
        </w:rPr>
        <w:t>four</w:t>
      </w:r>
      <w:r w:rsidR="00B60618">
        <w:rPr>
          <w:rFonts w:ascii="Calibri" w:hAnsi="Calibri"/>
          <w:color w:val="000000"/>
          <w:sz w:val="24"/>
          <w:szCs w:val="24"/>
        </w:rPr>
        <w:t>-</w:t>
      </w:r>
      <w:r w:rsidRPr="00072FA4">
        <w:rPr>
          <w:rFonts w:ascii="Calibri" w:hAnsi="Calibri"/>
          <w:color w:val="000000"/>
          <w:sz w:val="24"/>
          <w:szCs w:val="24"/>
        </w:rPr>
        <w:t>band 16</w:t>
      </w:r>
      <w:r w:rsidR="00B60618">
        <w:rPr>
          <w:rFonts w:ascii="Calibri" w:hAnsi="Calibri"/>
          <w:color w:val="000000"/>
          <w:sz w:val="24"/>
          <w:szCs w:val="24"/>
        </w:rPr>
        <w:t>-</w:t>
      </w:r>
      <w:r w:rsidRPr="00072FA4">
        <w:rPr>
          <w:rFonts w:ascii="Calibri" w:hAnsi="Calibri"/>
          <w:color w:val="000000"/>
          <w:sz w:val="24"/>
          <w:szCs w:val="24"/>
        </w:rPr>
        <w:t xml:space="preserve">point executive classification structure. </w:t>
      </w:r>
      <w:r w:rsidRPr="00E21B47">
        <w:rPr>
          <w:rFonts w:ascii="Calibri" w:hAnsi="Calibri"/>
          <w:color w:val="000000"/>
          <w:sz w:val="24"/>
          <w:szCs w:val="24"/>
        </w:rPr>
        <w:t>The move to a four</w:t>
      </w:r>
      <w:r w:rsidR="00B60618">
        <w:rPr>
          <w:rFonts w:ascii="Calibri" w:hAnsi="Calibri"/>
          <w:color w:val="000000"/>
          <w:sz w:val="24"/>
          <w:szCs w:val="24"/>
        </w:rPr>
        <w:t>-</w:t>
      </w:r>
      <w:r w:rsidRPr="00E21B47">
        <w:rPr>
          <w:rFonts w:ascii="Calibri" w:hAnsi="Calibri"/>
          <w:color w:val="000000"/>
          <w:sz w:val="24"/>
          <w:szCs w:val="24"/>
        </w:rPr>
        <w:t>band executive structure aligns the ACTPS with most other jurisdictions including the APS, New South Wales, Queensland, Tasmania and Western Australia.</w:t>
      </w:r>
    </w:p>
    <w:p w14:paraId="0DA55E08" w14:textId="7B3FE076" w:rsidR="006D444D" w:rsidRDefault="00E21B47">
      <w:pPr>
        <w:rPr>
          <w:rFonts w:ascii="Calibri" w:eastAsiaTheme="minorHAnsi" w:hAnsi="Calibri" w:cs="Times New Roman"/>
          <w:color w:val="000000"/>
          <w:sz w:val="24"/>
          <w:szCs w:val="24"/>
          <w:lang w:val="en-AU" w:eastAsia="en-AU"/>
        </w:rPr>
      </w:pPr>
      <w:r w:rsidRPr="006507D9">
        <w:rPr>
          <w:sz w:val="24"/>
          <w:szCs w:val="24"/>
        </w:rPr>
        <w:t xml:space="preserve">All executives employed by the ACTPS on 1 July 2018 </w:t>
      </w:r>
      <w:r w:rsidR="00724609" w:rsidRPr="006507D9">
        <w:rPr>
          <w:sz w:val="24"/>
          <w:szCs w:val="24"/>
        </w:rPr>
        <w:t xml:space="preserve">at each classification </w:t>
      </w:r>
      <w:r w:rsidRPr="006507D9">
        <w:rPr>
          <w:sz w:val="24"/>
          <w:szCs w:val="24"/>
        </w:rPr>
        <w:t xml:space="preserve">were moved from the previous structure into the </w:t>
      </w:r>
      <w:r w:rsidR="00354A03">
        <w:rPr>
          <w:sz w:val="24"/>
          <w:szCs w:val="24"/>
        </w:rPr>
        <w:t>revised</w:t>
      </w:r>
      <w:r w:rsidR="00354A03" w:rsidRPr="006507D9">
        <w:rPr>
          <w:sz w:val="24"/>
          <w:szCs w:val="24"/>
        </w:rPr>
        <w:t xml:space="preserve"> </w:t>
      </w:r>
      <w:r w:rsidRPr="006507D9">
        <w:rPr>
          <w:sz w:val="24"/>
          <w:szCs w:val="24"/>
        </w:rPr>
        <w:t xml:space="preserve">classification structure. </w:t>
      </w:r>
      <w:r w:rsidR="000E118B">
        <w:rPr>
          <w:sz w:val="24"/>
          <w:szCs w:val="24"/>
        </w:rPr>
        <w:t xml:space="preserve">This </w:t>
      </w:r>
      <w:r w:rsidRPr="006507D9">
        <w:rPr>
          <w:sz w:val="24"/>
          <w:szCs w:val="24"/>
        </w:rPr>
        <w:t>did not affect the remuneration of individual executives.</w:t>
      </w:r>
    </w:p>
    <w:p w14:paraId="6EF7BA62" w14:textId="77777777" w:rsidR="00AA210D" w:rsidRDefault="00AA210D">
      <w:pPr>
        <w:rPr>
          <w:rFonts w:ascii="Calibri" w:eastAsiaTheme="minorHAnsi" w:hAnsi="Calibri" w:cs="Times New Roman"/>
          <w:color w:val="000000"/>
          <w:sz w:val="24"/>
          <w:szCs w:val="24"/>
          <w:lang w:val="en-AU" w:eastAsia="en-AU"/>
        </w:rPr>
      </w:pPr>
      <w:r>
        <w:rPr>
          <w:rFonts w:ascii="Calibri" w:hAnsi="Calibri"/>
          <w:color w:val="000000"/>
        </w:rPr>
        <w:br w:type="page"/>
      </w:r>
    </w:p>
    <w:p w14:paraId="2A85E03E" w14:textId="1605937C" w:rsidR="00724609" w:rsidRDefault="00724609" w:rsidP="00724609">
      <w:pPr>
        <w:pStyle w:val="xmsonormal"/>
        <w:spacing w:after="200"/>
        <w:rPr>
          <w:rFonts w:ascii="Calibri" w:hAnsi="Calibri"/>
          <w:color w:val="000000"/>
        </w:rPr>
      </w:pPr>
      <w:r>
        <w:rPr>
          <w:rFonts w:ascii="Calibri" w:hAnsi="Calibri"/>
          <w:color w:val="000000"/>
        </w:rPr>
        <w:lastRenderedPageBreak/>
        <w:t xml:space="preserve">The diagram </w:t>
      </w:r>
      <w:r w:rsidR="00E21B47">
        <w:rPr>
          <w:rFonts w:ascii="Calibri" w:hAnsi="Calibri"/>
          <w:color w:val="000000"/>
        </w:rPr>
        <w:t xml:space="preserve">below </w:t>
      </w:r>
      <w:r>
        <w:rPr>
          <w:rFonts w:ascii="Calibri" w:hAnsi="Calibri"/>
          <w:color w:val="000000"/>
        </w:rPr>
        <w:t xml:space="preserve">outlines how the previous classifications were translated </w:t>
      </w:r>
      <w:r w:rsidR="00E21B47">
        <w:rPr>
          <w:rFonts w:ascii="Calibri" w:hAnsi="Calibri"/>
          <w:color w:val="000000"/>
        </w:rPr>
        <w:t xml:space="preserve">into </w:t>
      </w:r>
      <w:r>
        <w:rPr>
          <w:rFonts w:ascii="Calibri" w:hAnsi="Calibri"/>
          <w:color w:val="000000"/>
        </w:rPr>
        <w:t xml:space="preserve">the </w:t>
      </w:r>
      <w:r w:rsidR="00354A03">
        <w:rPr>
          <w:rFonts w:ascii="Calibri" w:hAnsi="Calibri"/>
          <w:color w:val="000000"/>
        </w:rPr>
        <w:t xml:space="preserve">revised </w:t>
      </w:r>
      <w:r>
        <w:rPr>
          <w:rFonts w:ascii="Calibri" w:hAnsi="Calibri"/>
          <w:color w:val="000000"/>
        </w:rPr>
        <w:t xml:space="preserve">classification structure: </w:t>
      </w:r>
      <w:r w:rsidR="00E21B47">
        <w:rPr>
          <w:rFonts w:ascii="Calibri" w:hAnsi="Calibri"/>
          <w:color w:val="000000"/>
        </w:rPr>
        <w:t xml:space="preserve"> </w:t>
      </w:r>
    </w:p>
    <w:p w14:paraId="6CF87586" w14:textId="77777777" w:rsidR="00724609" w:rsidRDefault="00724609" w:rsidP="00A13D3D">
      <w:pPr>
        <w:pStyle w:val="xmsonormal"/>
        <w:spacing w:before="240" w:after="360"/>
        <w:rPr>
          <w:rFonts w:ascii="Calibri" w:hAnsi="Calibri"/>
          <w:b/>
          <w:bCs/>
          <w:i/>
          <w:iCs/>
          <w:color w:val="000000"/>
        </w:rPr>
      </w:pPr>
      <w:r>
        <w:rPr>
          <w:noProof/>
        </w:rPr>
        <w:drawing>
          <wp:inline distT="0" distB="0" distL="0" distR="0" wp14:anchorId="69E7E6BE" wp14:editId="008BFD44">
            <wp:extent cx="5731510" cy="2082695"/>
            <wp:effectExtent l="0" t="0" r="2540" b="0"/>
            <wp:docPr id="2" name="Picture 2" descr="cid:image001.png@01D448EE.36E3E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48EE.36E3EBB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731510" cy="2082695"/>
                    </a:xfrm>
                    <a:prstGeom prst="rect">
                      <a:avLst/>
                    </a:prstGeom>
                    <a:noFill/>
                    <a:ln>
                      <a:noFill/>
                    </a:ln>
                  </pic:spPr>
                </pic:pic>
              </a:graphicData>
            </a:graphic>
          </wp:inline>
        </w:drawing>
      </w:r>
    </w:p>
    <w:p w14:paraId="3E88AC1A" w14:textId="4DF87D65" w:rsidR="00F57E91" w:rsidRPr="006507D9" w:rsidRDefault="00F57E91" w:rsidP="00B26988">
      <w:pPr>
        <w:spacing w:before="240"/>
        <w:rPr>
          <w:sz w:val="24"/>
          <w:szCs w:val="24"/>
        </w:rPr>
      </w:pPr>
      <w:r w:rsidRPr="006507D9">
        <w:rPr>
          <w:sz w:val="24"/>
          <w:szCs w:val="24"/>
        </w:rPr>
        <w:t>All long term executive positions created in the ACTPS are subject to an independent position evaluation</w:t>
      </w:r>
      <w:r w:rsidR="006507D9" w:rsidRPr="006507D9">
        <w:rPr>
          <w:sz w:val="24"/>
          <w:szCs w:val="24"/>
        </w:rPr>
        <w:t xml:space="preserve"> in order to</w:t>
      </w:r>
      <w:r w:rsidR="00D332D5" w:rsidRPr="006507D9">
        <w:rPr>
          <w:sz w:val="24"/>
          <w:szCs w:val="24"/>
        </w:rPr>
        <w:t xml:space="preserve"> assess the work value of the position</w:t>
      </w:r>
      <w:r w:rsidRPr="006507D9">
        <w:rPr>
          <w:sz w:val="24"/>
          <w:szCs w:val="24"/>
        </w:rPr>
        <w:t xml:space="preserve">. </w:t>
      </w:r>
      <w:r w:rsidR="00D332D5" w:rsidRPr="006507D9">
        <w:rPr>
          <w:sz w:val="24"/>
          <w:szCs w:val="24"/>
        </w:rPr>
        <w:t xml:space="preserve">The </w:t>
      </w:r>
      <w:r w:rsidR="006507D9" w:rsidRPr="006507D9">
        <w:rPr>
          <w:sz w:val="24"/>
          <w:szCs w:val="24"/>
        </w:rPr>
        <w:t>Head of Service</w:t>
      </w:r>
      <w:r w:rsidR="00D332D5" w:rsidRPr="006507D9">
        <w:rPr>
          <w:sz w:val="24"/>
          <w:szCs w:val="24"/>
        </w:rPr>
        <w:t xml:space="preserve"> must consider the position evaluation and decide a classification</w:t>
      </w:r>
      <w:r w:rsidR="007B0727" w:rsidRPr="006507D9">
        <w:rPr>
          <w:sz w:val="24"/>
          <w:szCs w:val="24"/>
        </w:rPr>
        <w:t xml:space="preserve"> </w:t>
      </w:r>
      <w:r w:rsidR="006507D9" w:rsidRPr="006507D9">
        <w:rPr>
          <w:sz w:val="24"/>
          <w:szCs w:val="24"/>
        </w:rPr>
        <w:t xml:space="preserve">band and level for the position </w:t>
      </w:r>
      <w:r w:rsidR="007304B0" w:rsidRPr="006507D9">
        <w:rPr>
          <w:sz w:val="24"/>
          <w:szCs w:val="24"/>
        </w:rPr>
        <w:t xml:space="preserve">as </w:t>
      </w:r>
      <w:r w:rsidR="006507D9" w:rsidRPr="006507D9">
        <w:rPr>
          <w:sz w:val="24"/>
          <w:szCs w:val="24"/>
        </w:rPr>
        <w:t xml:space="preserve">required under </w:t>
      </w:r>
      <w:r w:rsidR="007304B0" w:rsidRPr="006507D9">
        <w:rPr>
          <w:sz w:val="24"/>
          <w:szCs w:val="24"/>
        </w:rPr>
        <w:t>section 50 of the PSM Standards.</w:t>
      </w:r>
    </w:p>
    <w:p w14:paraId="6BC0F351" w14:textId="53F1D170" w:rsidR="005F2005" w:rsidRDefault="005F2005" w:rsidP="004F0E90">
      <w:pPr>
        <w:pStyle w:val="xmsonormal"/>
        <w:spacing w:before="240" w:after="240" w:line="276" w:lineRule="auto"/>
        <w:rPr>
          <w:rFonts w:ascii="Calibri" w:hAnsi="Calibri"/>
          <w:color w:val="000000"/>
        </w:rPr>
      </w:pPr>
      <w:r>
        <w:rPr>
          <w:rFonts w:ascii="Calibri" w:hAnsi="Calibri"/>
          <w:color w:val="000000"/>
        </w:rPr>
        <w:t xml:space="preserve">The Tribunal issued Determination 9 of 2018 to reflect the </w:t>
      </w:r>
      <w:r w:rsidR="00A05E65">
        <w:rPr>
          <w:rFonts w:ascii="Calibri" w:hAnsi="Calibri"/>
          <w:color w:val="000000"/>
        </w:rPr>
        <w:t xml:space="preserve">revised classification </w:t>
      </w:r>
      <w:r>
        <w:rPr>
          <w:rFonts w:ascii="Calibri" w:hAnsi="Calibri"/>
          <w:color w:val="000000"/>
        </w:rPr>
        <w:t xml:space="preserve">structure from 1 July 2018 and is </w:t>
      </w:r>
      <w:r>
        <w:rPr>
          <w:rFonts w:ascii="Calibri" w:hAnsi="Calibri"/>
        </w:rPr>
        <w:t xml:space="preserve">available </w:t>
      </w:r>
      <w:r w:rsidR="004F0E90">
        <w:rPr>
          <w:rFonts w:ascii="Calibri" w:hAnsi="Calibri"/>
        </w:rPr>
        <w:t>at</w:t>
      </w:r>
      <w:r>
        <w:rPr>
          <w:rFonts w:ascii="Calibri" w:hAnsi="Calibri"/>
        </w:rPr>
        <w:t xml:space="preserve">: </w:t>
      </w:r>
      <w:hyperlink r:id="rId24" w:history="1">
        <w:r w:rsidR="004F0E90">
          <w:rPr>
            <w:rStyle w:val="Hyperlink"/>
            <w:rFonts w:ascii="Calibri" w:hAnsi="Calibri"/>
          </w:rPr>
          <w:t>www.remunerationtribunal.act.gov.au</w:t>
        </w:r>
      </w:hyperlink>
      <w:r w:rsidR="00A05E65">
        <w:rPr>
          <w:rFonts w:ascii="Calibri" w:hAnsi="Calibri"/>
          <w:color w:val="1F497D"/>
        </w:rPr>
        <w:t>.</w:t>
      </w:r>
    </w:p>
    <w:tbl>
      <w:tblPr>
        <w:tblStyle w:val="TableGrid"/>
        <w:tblW w:w="0" w:type="auto"/>
        <w:shd w:val="clear" w:color="auto" w:fill="E5DFEC" w:themeFill="accent4" w:themeFillTint="33"/>
        <w:tblLook w:val="04A0" w:firstRow="1" w:lastRow="0" w:firstColumn="1" w:lastColumn="0" w:noHBand="0" w:noVBand="1"/>
      </w:tblPr>
      <w:tblGrid>
        <w:gridCol w:w="9016"/>
      </w:tblGrid>
      <w:tr w:rsidR="005F2005" w14:paraId="0831E3C9" w14:textId="77777777" w:rsidTr="0095008B">
        <w:tc>
          <w:tcPr>
            <w:tcW w:w="9016" w:type="dxa"/>
            <w:shd w:val="clear" w:color="auto" w:fill="E5DFEC" w:themeFill="accent4" w:themeFillTint="33"/>
          </w:tcPr>
          <w:p w14:paraId="644362CB" w14:textId="7F3D5FFA" w:rsidR="005F2005" w:rsidRDefault="00CD6F1B" w:rsidP="00D82B45">
            <w:pPr>
              <w:spacing w:before="120" w:after="120" w:line="276" w:lineRule="auto"/>
              <w:rPr>
                <w:sz w:val="24"/>
                <w:szCs w:val="24"/>
              </w:rPr>
            </w:pPr>
            <w:r w:rsidRPr="005B40E1">
              <w:rPr>
                <w:b/>
                <w:color w:val="000000" w:themeColor="text1"/>
                <w:sz w:val="24"/>
                <w:szCs w:val="24"/>
              </w:rPr>
              <w:t>Decision 1</w:t>
            </w:r>
            <w:r w:rsidR="005F2005" w:rsidRPr="005B40E1">
              <w:rPr>
                <w:b/>
                <w:color w:val="000000" w:themeColor="text1"/>
                <w:sz w:val="24"/>
                <w:szCs w:val="24"/>
              </w:rPr>
              <w:t xml:space="preserve">: </w:t>
            </w:r>
            <w:r w:rsidR="005F2005">
              <w:rPr>
                <w:sz w:val="24"/>
                <w:szCs w:val="24"/>
              </w:rPr>
              <w:t xml:space="preserve">The Tribunal </w:t>
            </w:r>
            <w:r w:rsidR="001D19E3">
              <w:rPr>
                <w:sz w:val="24"/>
                <w:szCs w:val="24"/>
              </w:rPr>
              <w:t xml:space="preserve">recommends </w:t>
            </w:r>
            <w:r w:rsidR="005F2005" w:rsidRPr="00100B0E">
              <w:rPr>
                <w:sz w:val="24"/>
                <w:szCs w:val="24"/>
              </w:rPr>
              <w:t xml:space="preserve">that it would </w:t>
            </w:r>
            <w:r w:rsidR="005F2005">
              <w:rPr>
                <w:sz w:val="24"/>
                <w:szCs w:val="24"/>
              </w:rPr>
              <w:t>be</w:t>
            </w:r>
            <w:r w:rsidR="005F2005" w:rsidRPr="00100B0E">
              <w:rPr>
                <w:sz w:val="24"/>
                <w:szCs w:val="24"/>
              </w:rPr>
              <w:t xml:space="preserve"> </w:t>
            </w:r>
            <w:r w:rsidR="005F2005" w:rsidRPr="006507D9">
              <w:rPr>
                <w:sz w:val="24"/>
                <w:szCs w:val="24"/>
              </w:rPr>
              <w:t xml:space="preserve">prudent </w:t>
            </w:r>
            <w:r w:rsidR="001D19E3" w:rsidRPr="006507D9">
              <w:rPr>
                <w:sz w:val="24"/>
                <w:szCs w:val="24"/>
              </w:rPr>
              <w:t xml:space="preserve">for the </w:t>
            </w:r>
            <w:r w:rsidR="006507D9" w:rsidRPr="006507D9">
              <w:rPr>
                <w:sz w:val="24"/>
                <w:szCs w:val="24"/>
              </w:rPr>
              <w:t xml:space="preserve">ACTPS </w:t>
            </w:r>
            <w:r w:rsidR="005F2005" w:rsidRPr="006507D9">
              <w:rPr>
                <w:sz w:val="24"/>
                <w:szCs w:val="24"/>
              </w:rPr>
              <w:t xml:space="preserve">to review the </w:t>
            </w:r>
            <w:r w:rsidR="00863F82">
              <w:rPr>
                <w:sz w:val="24"/>
                <w:szCs w:val="24"/>
              </w:rPr>
              <w:t xml:space="preserve">executive classification </w:t>
            </w:r>
            <w:r w:rsidR="005F2005" w:rsidRPr="006507D9">
              <w:rPr>
                <w:sz w:val="24"/>
                <w:szCs w:val="24"/>
              </w:rPr>
              <w:t xml:space="preserve">structure more </w:t>
            </w:r>
            <w:r w:rsidR="00D82B45">
              <w:rPr>
                <w:sz w:val="24"/>
                <w:szCs w:val="24"/>
              </w:rPr>
              <w:t>frequently</w:t>
            </w:r>
            <w:r w:rsidR="00D82B45" w:rsidRPr="006507D9">
              <w:rPr>
                <w:sz w:val="24"/>
                <w:szCs w:val="24"/>
              </w:rPr>
              <w:t xml:space="preserve"> </w:t>
            </w:r>
            <w:r w:rsidR="005F2005" w:rsidRPr="006507D9">
              <w:rPr>
                <w:sz w:val="24"/>
                <w:szCs w:val="24"/>
              </w:rPr>
              <w:t xml:space="preserve">to ensure that </w:t>
            </w:r>
            <w:r w:rsidR="0046088A">
              <w:rPr>
                <w:sz w:val="24"/>
                <w:szCs w:val="24"/>
              </w:rPr>
              <w:t xml:space="preserve">the </w:t>
            </w:r>
            <w:r w:rsidR="005F2005" w:rsidRPr="006507D9">
              <w:rPr>
                <w:sz w:val="24"/>
                <w:szCs w:val="24"/>
              </w:rPr>
              <w:t xml:space="preserve">arrangements continue to be appropriate </w:t>
            </w:r>
            <w:r w:rsidR="005F2005">
              <w:rPr>
                <w:sz w:val="24"/>
                <w:szCs w:val="24"/>
              </w:rPr>
              <w:t>and contemporary.</w:t>
            </w:r>
          </w:p>
        </w:tc>
      </w:tr>
    </w:tbl>
    <w:p w14:paraId="6B09E0EF" w14:textId="2CDA2EC8" w:rsidR="005511BF" w:rsidRDefault="005511BF" w:rsidP="005511BF">
      <w:pPr>
        <w:pStyle w:val="Heading3"/>
      </w:pPr>
      <w:bookmarkStart w:id="17" w:name="_Toc2327859"/>
      <w:r>
        <w:t>Roles and responsibilities</w:t>
      </w:r>
      <w:bookmarkEnd w:id="17"/>
    </w:p>
    <w:p w14:paraId="5FA438BF" w14:textId="2622500C" w:rsidR="003C5ACB" w:rsidRDefault="000E118B" w:rsidP="00AA1F4E">
      <w:pPr>
        <w:rPr>
          <w:sz w:val="24"/>
          <w:szCs w:val="24"/>
        </w:rPr>
      </w:pPr>
      <w:r>
        <w:rPr>
          <w:sz w:val="24"/>
          <w:szCs w:val="24"/>
        </w:rPr>
        <w:t>T</w:t>
      </w:r>
      <w:r w:rsidR="00AA1F4E" w:rsidRPr="00F57E91">
        <w:rPr>
          <w:sz w:val="24"/>
          <w:szCs w:val="24"/>
        </w:rPr>
        <w:t>he ACTPS</w:t>
      </w:r>
      <w:r>
        <w:rPr>
          <w:sz w:val="24"/>
          <w:szCs w:val="24"/>
        </w:rPr>
        <w:t xml:space="preserve"> requires</w:t>
      </w:r>
      <w:r w:rsidR="00AA1F4E" w:rsidRPr="00F57E91">
        <w:rPr>
          <w:sz w:val="24"/>
          <w:szCs w:val="24"/>
        </w:rPr>
        <w:t xml:space="preserve"> the SES </w:t>
      </w:r>
      <w:r>
        <w:rPr>
          <w:sz w:val="24"/>
          <w:szCs w:val="24"/>
        </w:rPr>
        <w:t>to have a level of adaptability and flexibility to operate effectively</w:t>
      </w:r>
      <w:r w:rsidR="00AA1F4E" w:rsidRPr="00F57E91">
        <w:rPr>
          <w:sz w:val="24"/>
          <w:szCs w:val="24"/>
        </w:rPr>
        <w:t xml:space="preserve"> in a variety of settings to deliver services to the ACT and meet the expectations of the community it serves. They are required to develop and display strategic vision and leadership capability to ensure that all employees are equipped and motivated to achieve high performance across the ACTPS.</w:t>
      </w:r>
      <w:r w:rsidR="00C7153F">
        <w:rPr>
          <w:sz w:val="24"/>
          <w:szCs w:val="24"/>
        </w:rPr>
        <w:t xml:space="preserve"> </w:t>
      </w:r>
      <w:r w:rsidR="006E5044">
        <w:rPr>
          <w:sz w:val="24"/>
          <w:szCs w:val="24"/>
        </w:rPr>
        <w:t xml:space="preserve">The roles and responsibilities of executives </w:t>
      </w:r>
      <w:r w:rsidR="00771428">
        <w:rPr>
          <w:sz w:val="24"/>
          <w:szCs w:val="24"/>
        </w:rPr>
        <w:t xml:space="preserve">have </w:t>
      </w:r>
      <w:r w:rsidR="006E5044">
        <w:rPr>
          <w:sz w:val="24"/>
          <w:szCs w:val="24"/>
        </w:rPr>
        <w:t xml:space="preserve">evolved </w:t>
      </w:r>
      <w:r w:rsidR="00387F42">
        <w:rPr>
          <w:sz w:val="24"/>
          <w:szCs w:val="24"/>
        </w:rPr>
        <w:t>significantly</w:t>
      </w:r>
      <w:r w:rsidR="00771428" w:rsidRPr="00C7153F">
        <w:rPr>
          <w:sz w:val="24"/>
          <w:szCs w:val="24"/>
        </w:rPr>
        <w:t xml:space="preserve"> </w:t>
      </w:r>
      <w:r w:rsidR="006E5044">
        <w:rPr>
          <w:sz w:val="24"/>
          <w:szCs w:val="24"/>
        </w:rPr>
        <w:t xml:space="preserve">since </w:t>
      </w:r>
      <w:r w:rsidR="006E5044" w:rsidRPr="00C7153F">
        <w:rPr>
          <w:sz w:val="24"/>
          <w:szCs w:val="24"/>
        </w:rPr>
        <w:t xml:space="preserve">the </w:t>
      </w:r>
      <w:r w:rsidR="006E5044">
        <w:rPr>
          <w:sz w:val="24"/>
          <w:szCs w:val="24"/>
        </w:rPr>
        <w:t>establishment of the ACTPS</w:t>
      </w:r>
      <w:r w:rsidR="00C6531E">
        <w:rPr>
          <w:sz w:val="24"/>
          <w:szCs w:val="24"/>
        </w:rPr>
        <w:t xml:space="preserve"> in 1994</w:t>
      </w:r>
      <w:r w:rsidR="006E5044">
        <w:rPr>
          <w:sz w:val="24"/>
          <w:szCs w:val="24"/>
        </w:rPr>
        <w:t xml:space="preserve">. </w:t>
      </w:r>
      <w:r w:rsidR="007229E4">
        <w:rPr>
          <w:sz w:val="24"/>
          <w:szCs w:val="24"/>
        </w:rPr>
        <w:t>A</w:t>
      </w:r>
      <w:r w:rsidR="00D05452" w:rsidRPr="00D05452">
        <w:rPr>
          <w:sz w:val="24"/>
          <w:szCs w:val="24"/>
        </w:rPr>
        <w:t xml:space="preserve">lways </w:t>
      </w:r>
      <w:r w:rsidR="00B91F4F">
        <w:rPr>
          <w:sz w:val="24"/>
          <w:szCs w:val="24"/>
        </w:rPr>
        <w:t xml:space="preserve">subject to </w:t>
      </w:r>
      <w:r w:rsidR="00E6764C">
        <w:rPr>
          <w:sz w:val="24"/>
          <w:szCs w:val="24"/>
        </w:rPr>
        <w:t xml:space="preserve">high standards </w:t>
      </w:r>
      <w:r w:rsidR="00B91F4F">
        <w:rPr>
          <w:sz w:val="24"/>
          <w:szCs w:val="24"/>
        </w:rPr>
        <w:t>of</w:t>
      </w:r>
      <w:r w:rsidR="00E6764C">
        <w:rPr>
          <w:sz w:val="24"/>
          <w:szCs w:val="24"/>
        </w:rPr>
        <w:t xml:space="preserve"> </w:t>
      </w:r>
      <w:r w:rsidR="00D05452" w:rsidRPr="00D05452">
        <w:rPr>
          <w:sz w:val="24"/>
          <w:szCs w:val="24"/>
        </w:rPr>
        <w:t>individual accountability</w:t>
      </w:r>
      <w:r w:rsidR="00771428">
        <w:rPr>
          <w:sz w:val="24"/>
          <w:szCs w:val="24"/>
        </w:rPr>
        <w:t>,</w:t>
      </w:r>
      <w:r w:rsidR="00D05452" w:rsidRPr="00D05452">
        <w:rPr>
          <w:sz w:val="24"/>
          <w:szCs w:val="24"/>
        </w:rPr>
        <w:t xml:space="preserve"> responsibility and professional integrity, executives under the newly articulated SES accountabilities</w:t>
      </w:r>
      <w:r w:rsidR="00771428">
        <w:rPr>
          <w:sz w:val="24"/>
          <w:szCs w:val="24"/>
        </w:rPr>
        <w:t>,</w:t>
      </w:r>
      <w:r w:rsidR="00D05452" w:rsidRPr="00D05452">
        <w:rPr>
          <w:sz w:val="24"/>
          <w:szCs w:val="24"/>
        </w:rPr>
        <w:t xml:space="preserve"> roles and responsibilities</w:t>
      </w:r>
      <w:r w:rsidR="00C56643">
        <w:rPr>
          <w:sz w:val="24"/>
          <w:szCs w:val="24"/>
        </w:rPr>
        <w:t xml:space="preserve"> </w:t>
      </w:r>
      <w:r w:rsidR="00771428">
        <w:rPr>
          <w:sz w:val="24"/>
          <w:szCs w:val="24"/>
        </w:rPr>
        <w:t>(</w:t>
      </w:r>
      <w:r w:rsidR="00596475">
        <w:rPr>
          <w:sz w:val="24"/>
          <w:szCs w:val="24"/>
        </w:rPr>
        <w:t>at </w:t>
      </w:r>
      <w:r w:rsidR="00771428">
        <w:rPr>
          <w:sz w:val="24"/>
          <w:szCs w:val="24"/>
        </w:rPr>
        <w:t xml:space="preserve">Table 3) </w:t>
      </w:r>
      <w:r w:rsidR="007229E4">
        <w:rPr>
          <w:sz w:val="24"/>
          <w:szCs w:val="24"/>
        </w:rPr>
        <w:t>are required to demonstrate</w:t>
      </w:r>
      <w:r w:rsidR="00C56643">
        <w:rPr>
          <w:sz w:val="24"/>
          <w:szCs w:val="24"/>
        </w:rPr>
        <w:t xml:space="preserve"> </w:t>
      </w:r>
      <w:r w:rsidR="00D05452" w:rsidRPr="00D05452">
        <w:rPr>
          <w:sz w:val="24"/>
          <w:szCs w:val="24"/>
        </w:rPr>
        <w:t xml:space="preserve">a heightened </w:t>
      </w:r>
      <w:r w:rsidR="007229E4">
        <w:rPr>
          <w:sz w:val="24"/>
          <w:szCs w:val="24"/>
        </w:rPr>
        <w:t>level of</w:t>
      </w:r>
      <w:r w:rsidR="00D05452" w:rsidRPr="00D05452">
        <w:rPr>
          <w:sz w:val="24"/>
          <w:szCs w:val="24"/>
        </w:rPr>
        <w:t xml:space="preserve"> transparency and collective accountability as well as</w:t>
      </w:r>
      <w:r w:rsidR="00125C64">
        <w:rPr>
          <w:sz w:val="24"/>
          <w:szCs w:val="24"/>
        </w:rPr>
        <w:t xml:space="preserve"> </w:t>
      </w:r>
      <w:r w:rsidR="003E3D3C">
        <w:rPr>
          <w:sz w:val="24"/>
          <w:szCs w:val="24"/>
        </w:rPr>
        <w:t>skilful</w:t>
      </w:r>
      <w:r w:rsidR="00D05452" w:rsidRPr="00D05452">
        <w:rPr>
          <w:sz w:val="24"/>
          <w:szCs w:val="24"/>
        </w:rPr>
        <w:t xml:space="preserve"> community engagement</w:t>
      </w:r>
      <w:r w:rsidR="00771428">
        <w:rPr>
          <w:sz w:val="24"/>
          <w:szCs w:val="24"/>
        </w:rPr>
        <w:t>.</w:t>
      </w:r>
      <w:r w:rsidR="00D05452" w:rsidRPr="00D05452">
        <w:rPr>
          <w:sz w:val="24"/>
          <w:szCs w:val="24"/>
        </w:rPr>
        <w:t xml:space="preserve"> </w:t>
      </w:r>
      <w:r w:rsidR="006E5044">
        <w:rPr>
          <w:sz w:val="24"/>
          <w:szCs w:val="24"/>
        </w:rPr>
        <w:t xml:space="preserve">Executives are now more accountable for their actions, decisions and behaviour. There is a much higher demand on </w:t>
      </w:r>
      <w:r w:rsidR="006E5044" w:rsidRPr="00E24FE8">
        <w:rPr>
          <w:sz w:val="24"/>
          <w:szCs w:val="24"/>
        </w:rPr>
        <w:t xml:space="preserve">transparency and </w:t>
      </w:r>
      <w:r w:rsidR="00125C64">
        <w:rPr>
          <w:sz w:val="24"/>
          <w:szCs w:val="24"/>
        </w:rPr>
        <w:t xml:space="preserve">collective </w:t>
      </w:r>
      <w:r w:rsidR="006E5044">
        <w:rPr>
          <w:sz w:val="24"/>
          <w:szCs w:val="24"/>
        </w:rPr>
        <w:t xml:space="preserve">integrity.  </w:t>
      </w:r>
    </w:p>
    <w:p w14:paraId="5BBF454E" w14:textId="77777777" w:rsidR="00AA210D" w:rsidRDefault="00AA210D">
      <w:pPr>
        <w:rPr>
          <w:sz w:val="24"/>
          <w:szCs w:val="24"/>
        </w:rPr>
      </w:pPr>
      <w:r>
        <w:rPr>
          <w:sz w:val="24"/>
          <w:szCs w:val="24"/>
        </w:rPr>
        <w:br w:type="page"/>
      </w:r>
    </w:p>
    <w:p w14:paraId="7BEABF91" w14:textId="3DFE3DCF" w:rsidR="00C6531E" w:rsidRDefault="003C5ACB" w:rsidP="00AA1F4E">
      <w:pPr>
        <w:rPr>
          <w:sz w:val="24"/>
          <w:szCs w:val="24"/>
        </w:rPr>
      </w:pPr>
      <w:r>
        <w:rPr>
          <w:sz w:val="24"/>
          <w:szCs w:val="24"/>
        </w:rPr>
        <w:lastRenderedPageBreak/>
        <w:t xml:space="preserve">The </w:t>
      </w:r>
      <w:r w:rsidR="007658CF">
        <w:rPr>
          <w:sz w:val="24"/>
          <w:szCs w:val="24"/>
        </w:rPr>
        <w:t xml:space="preserve">current </w:t>
      </w:r>
      <w:r>
        <w:rPr>
          <w:sz w:val="24"/>
          <w:szCs w:val="24"/>
        </w:rPr>
        <w:t xml:space="preserve">structure of the ACTPS requires executives to work </w:t>
      </w:r>
      <w:r w:rsidR="007658CF">
        <w:rPr>
          <w:sz w:val="24"/>
          <w:szCs w:val="24"/>
        </w:rPr>
        <w:t xml:space="preserve">together </w:t>
      </w:r>
      <w:r>
        <w:rPr>
          <w:sz w:val="24"/>
          <w:szCs w:val="24"/>
        </w:rPr>
        <w:t xml:space="preserve">collaboratively and to </w:t>
      </w:r>
      <w:r w:rsidRPr="003C5ACB">
        <w:rPr>
          <w:sz w:val="24"/>
          <w:szCs w:val="24"/>
        </w:rPr>
        <w:t>reinforce the ‘</w:t>
      </w:r>
      <w:r w:rsidR="003F3C5F">
        <w:rPr>
          <w:sz w:val="24"/>
          <w:szCs w:val="24"/>
        </w:rPr>
        <w:t>O</w:t>
      </w:r>
      <w:r w:rsidR="003F3C5F" w:rsidRPr="003C5ACB">
        <w:rPr>
          <w:sz w:val="24"/>
          <w:szCs w:val="24"/>
        </w:rPr>
        <w:t xml:space="preserve">ne </w:t>
      </w:r>
      <w:r w:rsidR="003F3C5F">
        <w:rPr>
          <w:sz w:val="24"/>
          <w:szCs w:val="24"/>
        </w:rPr>
        <w:t>S</w:t>
      </w:r>
      <w:r w:rsidR="003F3C5F" w:rsidRPr="003C5ACB">
        <w:rPr>
          <w:sz w:val="24"/>
          <w:szCs w:val="24"/>
        </w:rPr>
        <w:t xml:space="preserve">ervice’ </w:t>
      </w:r>
      <w:r w:rsidRPr="003C5ACB">
        <w:rPr>
          <w:sz w:val="24"/>
          <w:szCs w:val="24"/>
        </w:rPr>
        <w:t>model</w:t>
      </w:r>
      <w:r w:rsidR="000056F6">
        <w:rPr>
          <w:sz w:val="24"/>
          <w:szCs w:val="24"/>
        </w:rPr>
        <w:t>.</w:t>
      </w:r>
      <w:r w:rsidR="00F57E91" w:rsidRPr="00F57E91">
        <w:rPr>
          <w:sz w:val="24"/>
          <w:szCs w:val="24"/>
        </w:rPr>
        <w:t xml:space="preserve"> </w:t>
      </w:r>
      <w:r w:rsidR="00C6531E">
        <w:rPr>
          <w:sz w:val="24"/>
          <w:szCs w:val="24"/>
        </w:rPr>
        <w:t>The approach has a stronger emphasis on whole of service considerations than previously existed when the ACTPS was established in 1994.</w:t>
      </w:r>
      <w:r w:rsidR="00C30E9E">
        <w:rPr>
          <w:sz w:val="24"/>
          <w:szCs w:val="24"/>
        </w:rPr>
        <w:t xml:space="preserve"> Under these arrangements all executives are engaged by the Head of </w:t>
      </w:r>
      <w:r w:rsidR="0040752F">
        <w:rPr>
          <w:sz w:val="24"/>
          <w:szCs w:val="24"/>
        </w:rPr>
        <w:t>Service</w:t>
      </w:r>
      <w:r w:rsidR="00C30E9E">
        <w:rPr>
          <w:sz w:val="24"/>
          <w:szCs w:val="24"/>
        </w:rPr>
        <w:t xml:space="preserve"> which strengthens the whole of government focus and co-ordination in the engagement of executives. Directors-General</w:t>
      </w:r>
      <w:r w:rsidR="00C6531E">
        <w:rPr>
          <w:sz w:val="24"/>
          <w:szCs w:val="24"/>
        </w:rPr>
        <w:t xml:space="preserve"> </w:t>
      </w:r>
      <w:r w:rsidR="00C30E9E">
        <w:rPr>
          <w:sz w:val="24"/>
          <w:szCs w:val="24"/>
        </w:rPr>
        <w:t xml:space="preserve">are now directly accountable to </w:t>
      </w:r>
      <w:r w:rsidR="00D95718">
        <w:rPr>
          <w:sz w:val="24"/>
          <w:szCs w:val="24"/>
        </w:rPr>
        <w:t xml:space="preserve">both </w:t>
      </w:r>
      <w:r w:rsidR="00C30E9E">
        <w:rPr>
          <w:sz w:val="24"/>
          <w:szCs w:val="24"/>
        </w:rPr>
        <w:t>the relevant Minister and the Head of Service. Historically Directors-General engaged their own executives</w:t>
      </w:r>
      <w:r w:rsidR="00A84963">
        <w:rPr>
          <w:sz w:val="24"/>
          <w:szCs w:val="24"/>
        </w:rPr>
        <w:t xml:space="preserve">, </w:t>
      </w:r>
      <w:r w:rsidR="00C30E9E">
        <w:rPr>
          <w:sz w:val="24"/>
          <w:szCs w:val="24"/>
        </w:rPr>
        <w:t>were only accountable to the relevant Minister</w:t>
      </w:r>
      <w:r w:rsidR="00A84963">
        <w:rPr>
          <w:sz w:val="24"/>
          <w:szCs w:val="24"/>
        </w:rPr>
        <w:t>,</w:t>
      </w:r>
      <w:r w:rsidR="00C30E9E">
        <w:rPr>
          <w:sz w:val="24"/>
          <w:szCs w:val="24"/>
        </w:rPr>
        <w:t xml:space="preserve"> and </w:t>
      </w:r>
      <w:r w:rsidR="00A84963">
        <w:rPr>
          <w:sz w:val="24"/>
          <w:szCs w:val="24"/>
        </w:rPr>
        <w:t xml:space="preserve">were expected </w:t>
      </w:r>
      <w:r w:rsidR="00C30E9E">
        <w:rPr>
          <w:sz w:val="24"/>
          <w:szCs w:val="24"/>
        </w:rPr>
        <w:t xml:space="preserve">to work collaboratively with other Directors-General. In </w:t>
      </w:r>
      <w:r w:rsidR="0000249E">
        <w:rPr>
          <w:sz w:val="24"/>
          <w:szCs w:val="24"/>
        </w:rPr>
        <w:t>2012</w:t>
      </w:r>
      <w:r w:rsidR="00C30E9E">
        <w:rPr>
          <w:sz w:val="24"/>
          <w:szCs w:val="24"/>
        </w:rPr>
        <w:t xml:space="preserve">, the two central agencies of Chief Minister and Treasury were merged </w:t>
      </w:r>
      <w:r w:rsidR="007F2AAE">
        <w:rPr>
          <w:sz w:val="24"/>
          <w:szCs w:val="24"/>
        </w:rPr>
        <w:t xml:space="preserve">together </w:t>
      </w:r>
      <w:r w:rsidR="00C30E9E">
        <w:rPr>
          <w:sz w:val="24"/>
          <w:szCs w:val="24"/>
        </w:rPr>
        <w:t>which has further bolstered the key co-ordination role played</w:t>
      </w:r>
      <w:r w:rsidR="007F2AAE">
        <w:rPr>
          <w:sz w:val="24"/>
          <w:szCs w:val="24"/>
        </w:rPr>
        <w:t xml:space="preserve"> by the centre in driving the Government’s policy and fiscal agenda</w:t>
      </w:r>
      <w:r w:rsidR="00C30E9E">
        <w:rPr>
          <w:sz w:val="24"/>
          <w:szCs w:val="24"/>
        </w:rPr>
        <w:t>.</w:t>
      </w:r>
    </w:p>
    <w:p w14:paraId="39E6309F" w14:textId="69B6B9FB" w:rsidR="00C6531E" w:rsidRDefault="00D95718" w:rsidP="00AA1F4E">
      <w:pPr>
        <w:rPr>
          <w:sz w:val="24"/>
          <w:szCs w:val="24"/>
        </w:rPr>
      </w:pPr>
      <w:r>
        <w:rPr>
          <w:sz w:val="24"/>
          <w:szCs w:val="24"/>
        </w:rPr>
        <w:t xml:space="preserve">Significant developments in technology and social media over the past two decades </w:t>
      </w:r>
      <w:r w:rsidR="00125C64">
        <w:rPr>
          <w:sz w:val="24"/>
          <w:szCs w:val="24"/>
        </w:rPr>
        <w:t xml:space="preserve">have </w:t>
      </w:r>
      <w:r>
        <w:rPr>
          <w:sz w:val="24"/>
          <w:szCs w:val="24"/>
        </w:rPr>
        <w:t>placed greater demand</w:t>
      </w:r>
      <w:r w:rsidR="00771428">
        <w:rPr>
          <w:sz w:val="24"/>
          <w:szCs w:val="24"/>
        </w:rPr>
        <w:t>s</w:t>
      </w:r>
      <w:r>
        <w:rPr>
          <w:sz w:val="24"/>
          <w:szCs w:val="24"/>
        </w:rPr>
        <w:t xml:space="preserve"> on executives to be responsive and engaged with the community. </w:t>
      </w:r>
      <w:r w:rsidR="00C6531E">
        <w:rPr>
          <w:sz w:val="24"/>
          <w:szCs w:val="24"/>
        </w:rPr>
        <w:t xml:space="preserve">The internal and external operating environment for the ACTPS is very different and more sophisticated than 24 years ago. The Territory has more legislation, reporting and other requirements to the Commonwealth and other stakeholders and increased levels of accountabilities, </w:t>
      </w:r>
      <w:r w:rsidR="0040752F">
        <w:rPr>
          <w:sz w:val="24"/>
          <w:szCs w:val="24"/>
        </w:rPr>
        <w:t>scrutiny</w:t>
      </w:r>
      <w:r w:rsidR="00C6531E">
        <w:rPr>
          <w:sz w:val="24"/>
          <w:szCs w:val="24"/>
        </w:rPr>
        <w:t xml:space="preserve"> and expectations from the Legislative Assembly and the ACT community.</w:t>
      </w:r>
      <w:r w:rsidR="00C30E9E">
        <w:rPr>
          <w:sz w:val="24"/>
          <w:szCs w:val="24"/>
        </w:rPr>
        <w:t xml:space="preserve"> The ACT now has a formal seat at the table at the Council of Australian Governments, national forums and other States and Territory meetings. This has been a significant change, particularly when the ACT only had ‘observer </w:t>
      </w:r>
      <w:proofErr w:type="gramStart"/>
      <w:r w:rsidR="00C30E9E">
        <w:rPr>
          <w:sz w:val="24"/>
          <w:szCs w:val="24"/>
        </w:rPr>
        <w:t>status’</w:t>
      </w:r>
      <w:proofErr w:type="gramEnd"/>
      <w:r w:rsidR="00C30E9E">
        <w:rPr>
          <w:sz w:val="24"/>
          <w:szCs w:val="24"/>
        </w:rPr>
        <w:t xml:space="preserve"> or an informal role in the early days of self-government.</w:t>
      </w:r>
      <w:r w:rsidR="00C6531E">
        <w:rPr>
          <w:sz w:val="24"/>
          <w:szCs w:val="24"/>
        </w:rPr>
        <w:t xml:space="preserve"> </w:t>
      </w:r>
    </w:p>
    <w:p w14:paraId="3FC47E02" w14:textId="7B606C44" w:rsidR="00AA1F4E" w:rsidRDefault="00F57E91" w:rsidP="00AA1F4E">
      <w:pPr>
        <w:rPr>
          <w:sz w:val="24"/>
          <w:szCs w:val="24"/>
        </w:rPr>
      </w:pPr>
      <w:r w:rsidRPr="00F57E91">
        <w:rPr>
          <w:sz w:val="24"/>
          <w:szCs w:val="24"/>
        </w:rPr>
        <w:t xml:space="preserve">Table </w:t>
      </w:r>
      <w:r w:rsidR="00E72415">
        <w:rPr>
          <w:sz w:val="24"/>
          <w:szCs w:val="24"/>
        </w:rPr>
        <w:t xml:space="preserve">3 </w:t>
      </w:r>
      <w:r w:rsidRPr="00F57E91">
        <w:rPr>
          <w:sz w:val="24"/>
          <w:szCs w:val="24"/>
        </w:rPr>
        <w:t xml:space="preserve">sets out </w:t>
      </w:r>
      <w:r w:rsidR="007F2AAE">
        <w:rPr>
          <w:sz w:val="24"/>
          <w:szCs w:val="24"/>
        </w:rPr>
        <w:t xml:space="preserve">in more detail </w:t>
      </w:r>
      <w:r w:rsidRPr="00F57E91">
        <w:rPr>
          <w:sz w:val="24"/>
          <w:szCs w:val="24"/>
        </w:rPr>
        <w:t xml:space="preserve">the current ACTPS SES </w:t>
      </w:r>
      <w:r w:rsidR="00E6764C">
        <w:rPr>
          <w:sz w:val="24"/>
          <w:szCs w:val="24"/>
        </w:rPr>
        <w:t>a</w:t>
      </w:r>
      <w:r w:rsidR="00E6764C" w:rsidRPr="00F57E91">
        <w:rPr>
          <w:sz w:val="24"/>
          <w:szCs w:val="24"/>
        </w:rPr>
        <w:t>ccountabilities</w:t>
      </w:r>
      <w:r w:rsidRPr="00F57E91">
        <w:rPr>
          <w:sz w:val="24"/>
          <w:szCs w:val="24"/>
        </w:rPr>
        <w:t xml:space="preserve">, </w:t>
      </w:r>
      <w:r w:rsidR="00E6764C">
        <w:rPr>
          <w:sz w:val="24"/>
          <w:szCs w:val="24"/>
        </w:rPr>
        <w:t>r</w:t>
      </w:r>
      <w:r w:rsidR="00E6764C" w:rsidRPr="00F57E91">
        <w:rPr>
          <w:sz w:val="24"/>
          <w:szCs w:val="24"/>
        </w:rPr>
        <w:t xml:space="preserve">oles </w:t>
      </w:r>
      <w:r w:rsidRPr="00F57E91">
        <w:rPr>
          <w:sz w:val="24"/>
          <w:szCs w:val="24"/>
        </w:rPr>
        <w:t xml:space="preserve">and </w:t>
      </w:r>
      <w:r w:rsidR="00E6764C">
        <w:rPr>
          <w:sz w:val="24"/>
          <w:szCs w:val="24"/>
        </w:rPr>
        <w:t>r</w:t>
      </w:r>
      <w:r w:rsidR="00E6764C" w:rsidRPr="00F57E91">
        <w:rPr>
          <w:sz w:val="24"/>
          <w:szCs w:val="24"/>
        </w:rPr>
        <w:t xml:space="preserve">esponsibilities </w:t>
      </w:r>
      <w:r w:rsidRPr="00F57E91">
        <w:rPr>
          <w:sz w:val="24"/>
          <w:szCs w:val="24"/>
        </w:rPr>
        <w:t>across the SES bands.</w:t>
      </w:r>
    </w:p>
    <w:p w14:paraId="3391C2D8" w14:textId="77777777" w:rsidR="00F921C8" w:rsidRDefault="00F921C8">
      <w:pPr>
        <w:rPr>
          <w:b/>
          <w:sz w:val="24"/>
          <w:szCs w:val="24"/>
        </w:rPr>
      </w:pPr>
      <w:r>
        <w:rPr>
          <w:b/>
          <w:sz w:val="24"/>
          <w:szCs w:val="24"/>
        </w:rPr>
        <w:br w:type="page"/>
      </w:r>
    </w:p>
    <w:p w14:paraId="51D16346" w14:textId="6BE46208" w:rsidR="00C86644" w:rsidRPr="005B40E1" w:rsidRDefault="00C86644" w:rsidP="00AA1F4E">
      <w:pPr>
        <w:rPr>
          <w:b/>
          <w:sz w:val="24"/>
          <w:szCs w:val="24"/>
        </w:rPr>
      </w:pPr>
      <w:r w:rsidRPr="005042EA">
        <w:rPr>
          <w:b/>
          <w:sz w:val="24"/>
          <w:szCs w:val="24"/>
        </w:rPr>
        <w:lastRenderedPageBreak/>
        <w:t xml:space="preserve">Table </w:t>
      </w:r>
      <w:r w:rsidR="00E72415">
        <w:rPr>
          <w:b/>
          <w:sz w:val="24"/>
          <w:szCs w:val="24"/>
        </w:rPr>
        <w:t xml:space="preserve">3 </w:t>
      </w:r>
      <w:r w:rsidRPr="005042EA">
        <w:rPr>
          <w:b/>
          <w:sz w:val="24"/>
          <w:szCs w:val="24"/>
        </w:rPr>
        <w:t>–</w:t>
      </w:r>
      <w:r>
        <w:rPr>
          <w:b/>
          <w:sz w:val="24"/>
          <w:szCs w:val="24"/>
        </w:rPr>
        <w:t xml:space="preserve"> </w:t>
      </w:r>
      <w:r w:rsidRPr="00C86644">
        <w:rPr>
          <w:b/>
          <w:sz w:val="24"/>
          <w:szCs w:val="24"/>
        </w:rPr>
        <w:t>ACTPS SES Accountabilities, Roles and Responsibilities</w:t>
      </w:r>
    </w:p>
    <w:tbl>
      <w:tblPr>
        <w:tblStyle w:val="TableGrid"/>
        <w:tblW w:w="9351" w:type="dxa"/>
        <w:tblLook w:val="04A0" w:firstRow="1" w:lastRow="0" w:firstColumn="1" w:lastColumn="0" w:noHBand="0" w:noVBand="1"/>
      </w:tblPr>
      <w:tblGrid>
        <w:gridCol w:w="1271"/>
        <w:gridCol w:w="8080"/>
      </w:tblGrid>
      <w:tr w:rsidR="004F5C56" w:rsidRPr="004F5C56" w14:paraId="2F0A1D84" w14:textId="77777777" w:rsidTr="004F5C56">
        <w:tc>
          <w:tcPr>
            <w:tcW w:w="1271" w:type="dxa"/>
          </w:tcPr>
          <w:p w14:paraId="5AD153F8" w14:textId="091525EA" w:rsidR="004F5C56" w:rsidRPr="00AA1F4E" w:rsidRDefault="004F5C56" w:rsidP="00A50FB0">
            <w:pPr>
              <w:rPr>
                <w:b/>
              </w:rPr>
            </w:pPr>
            <w:r w:rsidRPr="00AA1F4E">
              <w:rPr>
                <w:b/>
              </w:rPr>
              <w:t>Level</w:t>
            </w:r>
          </w:p>
        </w:tc>
        <w:tc>
          <w:tcPr>
            <w:tcW w:w="8080" w:type="dxa"/>
          </w:tcPr>
          <w:p w14:paraId="2B8F2EFB" w14:textId="35AF9ECF" w:rsidR="004F5C56" w:rsidRPr="00AA1F4E" w:rsidRDefault="004F5C56" w:rsidP="004F5C56">
            <w:pPr>
              <w:rPr>
                <w:b/>
              </w:rPr>
            </w:pPr>
            <w:r w:rsidRPr="00AA1F4E">
              <w:rPr>
                <w:b/>
              </w:rPr>
              <w:t>Accountabilities, Roles and Responsibilities</w:t>
            </w:r>
          </w:p>
        </w:tc>
      </w:tr>
      <w:tr w:rsidR="004F5C56" w14:paraId="53F0250B" w14:textId="77777777" w:rsidTr="006D4FBB">
        <w:tc>
          <w:tcPr>
            <w:tcW w:w="1271" w:type="dxa"/>
            <w:shd w:val="clear" w:color="auto" w:fill="CCC0D9" w:themeFill="accent4" w:themeFillTint="66"/>
          </w:tcPr>
          <w:p w14:paraId="17BEA3F5" w14:textId="0D7D42C5" w:rsidR="004F5C56" w:rsidRPr="005B40E1" w:rsidRDefault="004F5C56" w:rsidP="00A50FB0">
            <w:pPr>
              <w:rPr>
                <w:b/>
              </w:rPr>
            </w:pPr>
            <w:r w:rsidRPr="005B40E1">
              <w:rPr>
                <w:b/>
              </w:rPr>
              <w:t>SES Band 1</w:t>
            </w:r>
          </w:p>
        </w:tc>
        <w:tc>
          <w:tcPr>
            <w:tcW w:w="8080" w:type="dxa"/>
            <w:shd w:val="clear" w:color="auto" w:fill="F4EDFD"/>
          </w:tcPr>
          <w:p w14:paraId="6EBB64EE" w14:textId="77777777" w:rsidR="004F5C56" w:rsidRPr="00AA1F4E" w:rsidRDefault="004F5C56" w:rsidP="004F5C56">
            <w:pPr>
              <w:pStyle w:val="ListParagraph"/>
              <w:numPr>
                <w:ilvl w:val="0"/>
                <w:numId w:val="15"/>
              </w:numPr>
              <w:ind w:left="317" w:hanging="317"/>
            </w:pPr>
            <w:r w:rsidRPr="00AA1F4E">
              <w:t xml:space="preserve">The leader </w:t>
            </w:r>
            <w:r w:rsidR="00C30E9E">
              <w:t xml:space="preserve">of </w:t>
            </w:r>
            <w:r w:rsidRPr="00AA1F4E">
              <w:t>a discrete policy, service delivery or enabling function within a broader portfolio in a directorate.</w:t>
            </w:r>
          </w:p>
          <w:p w14:paraId="01939D72" w14:textId="261C00C3" w:rsidR="004F5C56" w:rsidRPr="00AA1F4E" w:rsidRDefault="004F5C56" w:rsidP="004F5C56">
            <w:pPr>
              <w:pStyle w:val="ListParagraph"/>
              <w:numPr>
                <w:ilvl w:val="0"/>
                <w:numId w:val="15"/>
              </w:numPr>
              <w:ind w:left="317" w:hanging="317"/>
            </w:pPr>
            <w:r w:rsidRPr="00AA1F4E">
              <w:t>Technical and subject matter expertise of strategic significance to the business.</w:t>
            </w:r>
          </w:p>
          <w:p w14:paraId="4D4A3700" w14:textId="170BDF14" w:rsidR="004F5C56" w:rsidRPr="00AA1F4E" w:rsidRDefault="004F5C56" w:rsidP="004F5C56">
            <w:pPr>
              <w:pStyle w:val="ListParagraph"/>
              <w:numPr>
                <w:ilvl w:val="0"/>
                <w:numId w:val="15"/>
              </w:numPr>
              <w:ind w:left="317" w:hanging="317"/>
            </w:pPr>
            <w:r w:rsidRPr="00AA1F4E">
              <w:t>Operates within a reasonably defined scope.</w:t>
            </w:r>
          </w:p>
          <w:p w14:paraId="332CE6E6" w14:textId="77777777" w:rsidR="004F5C56" w:rsidRPr="00AA1F4E" w:rsidRDefault="004F5C56" w:rsidP="004F5C56">
            <w:pPr>
              <w:pStyle w:val="ListParagraph"/>
              <w:numPr>
                <w:ilvl w:val="0"/>
                <w:numId w:val="15"/>
              </w:numPr>
              <w:ind w:left="317" w:hanging="317"/>
            </w:pPr>
            <w:r w:rsidRPr="00AA1F4E">
              <w:t>Responsible for the performance of their unit.</w:t>
            </w:r>
          </w:p>
          <w:p w14:paraId="6F3B4954" w14:textId="1751FA9B" w:rsidR="004F5C56" w:rsidRPr="00AA1F4E" w:rsidRDefault="004F5C56" w:rsidP="004F5C56">
            <w:pPr>
              <w:pStyle w:val="ListParagraph"/>
              <w:numPr>
                <w:ilvl w:val="0"/>
                <w:numId w:val="15"/>
              </w:numPr>
              <w:ind w:left="317" w:hanging="317"/>
            </w:pPr>
            <w:r w:rsidRPr="00AA1F4E">
              <w:t xml:space="preserve">Independence in decision making and the ability to commit resources within allocated funding.  </w:t>
            </w:r>
          </w:p>
          <w:p w14:paraId="07A4AF92" w14:textId="5079071D" w:rsidR="004F5C56" w:rsidRPr="00AA1F4E" w:rsidRDefault="004F5C56" w:rsidP="004F5C56">
            <w:pPr>
              <w:pStyle w:val="ListParagraph"/>
              <w:numPr>
                <w:ilvl w:val="0"/>
                <w:numId w:val="15"/>
              </w:numPr>
              <w:ind w:left="317" w:hanging="317"/>
            </w:pPr>
            <w:r w:rsidRPr="00AA1F4E">
              <w:t>Accountable for the above to a more senior executive, usually a Band 2.</w:t>
            </w:r>
          </w:p>
        </w:tc>
      </w:tr>
      <w:tr w:rsidR="004F5C56" w14:paraId="7AB5FF81" w14:textId="77777777" w:rsidTr="006D4FBB">
        <w:tc>
          <w:tcPr>
            <w:tcW w:w="1271" w:type="dxa"/>
            <w:shd w:val="clear" w:color="auto" w:fill="AFB5EB"/>
          </w:tcPr>
          <w:p w14:paraId="15BDF5F7" w14:textId="3751FDCE" w:rsidR="004F5C56" w:rsidRPr="005B40E1" w:rsidRDefault="004F5C56" w:rsidP="00A50FB0">
            <w:pPr>
              <w:rPr>
                <w:b/>
              </w:rPr>
            </w:pPr>
            <w:r w:rsidRPr="005B40E1">
              <w:rPr>
                <w:b/>
              </w:rPr>
              <w:t>SES Band 2</w:t>
            </w:r>
          </w:p>
        </w:tc>
        <w:tc>
          <w:tcPr>
            <w:tcW w:w="8080" w:type="dxa"/>
            <w:shd w:val="clear" w:color="auto" w:fill="E5DFEC" w:themeFill="accent4" w:themeFillTint="33"/>
          </w:tcPr>
          <w:p w14:paraId="07E04DCB" w14:textId="77777777" w:rsidR="004F5C56" w:rsidRPr="00AA1F4E" w:rsidRDefault="004F5C56" w:rsidP="004F5C56">
            <w:pPr>
              <w:pStyle w:val="ListParagraph"/>
              <w:numPr>
                <w:ilvl w:val="0"/>
                <w:numId w:val="16"/>
              </w:numPr>
              <w:ind w:left="317" w:hanging="317"/>
              <w:rPr>
                <w:lang w:val="en-AU"/>
              </w:rPr>
            </w:pPr>
            <w:r w:rsidRPr="00AA1F4E">
              <w:rPr>
                <w:lang w:val="en-AU"/>
              </w:rPr>
              <w:t>Leads a number of policy, service delivery or enabling functions.</w:t>
            </w:r>
          </w:p>
          <w:p w14:paraId="431524E3" w14:textId="33E93873" w:rsidR="004F5C56" w:rsidRPr="00AA1F4E" w:rsidRDefault="004F5C56" w:rsidP="004F5C56">
            <w:pPr>
              <w:pStyle w:val="ListParagraph"/>
              <w:numPr>
                <w:ilvl w:val="0"/>
                <w:numId w:val="16"/>
              </w:numPr>
              <w:ind w:left="317" w:hanging="317"/>
              <w:rPr>
                <w:lang w:val="en-AU"/>
              </w:rPr>
            </w:pPr>
            <w:r w:rsidRPr="00AA1F4E">
              <w:rPr>
                <w:lang w:val="en-AU"/>
              </w:rPr>
              <w:t>Operates with considerable strategic scope.</w:t>
            </w:r>
          </w:p>
          <w:p w14:paraId="1D34DE86" w14:textId="15276381" w:rsidR="004F5C56" w:rsidRPr="00AA1F4E" w:rsidRDefault="004F5C56" w:rsidP="004F5C56">
            <w:pPr>
              <w:pStyle w:val="ListParagraph"/>
              <w:numPr>
                <w:ilvl w:val="0"/>
                <w:numId w:val="16"/>
              </w:numPr>
              <w:ind w:left="317" w:hanging="317"/>
              <w:rPr>
                <w:lang w:val="en-AU"/>
              </w:rPr>
            </w:pPr>
            <w:r w:rsidRPr="00AA1F4E">
              <w:rPr>
                <w:lang w:val="en-AU"/>
              </w:rPr>
              <w:t>Responsible for the performance of the units reporting to them.</w:t>
            </w:r>
          </w:p>
          <w:p w14:paraId="168DCBE1" w14:textId="77777777" w:rsidR="004F5C56" w:rsidRPr="00AA1F4E" w:rsidRDefault="004F5C56" w:rsidP="004F5C56">
            <w:pPr>
              <w:pStyle w:val="ListParagraph"/>
              <w:numPr>
                <w:ilvl w:val="0"/>
                <w:numId w:val="16"/>
              </w:numPr>
              <w:ind w:left="317" w:hanging="317"/>
              <w:rPr>
                <w:lang w:val="en-AU"/>
              </w:rPr>
            </w:pPr>
            <w:r w:rsidRPr="00AA1F4E">
              <w:rPr>
                <w:lang w:val="en-AU"/>
              </w:rPr>
              <w:t xml:space="preserve">Significant independence in decision making and able to commit resources within funding allocated to their areas of responsibility. </w:t>
            </w:r>
          </w:p>
          <w:p w14:paraId="3391C818" w14:textId="38E1C7D3" w:rsidR="004F5C56" w:rsidRPr="00AA1F4E" w:rsidRDefault="004F5C56" w:rsidP="004F5C56">
            <w:pPr>
              <w:pStyle w:val="ListParagraph"/>
              <w:numPr>
                <w:ilvl w:val="0"/>
                <w:numId w:val="16"/>
              </w:numPr>
              <w:ind w:left="317" w:hanging="317"/>
              <w:rPr>
                <w:lang w:val="en-AU"/>
              </w:rPr>
            </w:pPr>
            <w:r w:rsidRPr="00AA1F4E">
              <w:rPr>
                <w:lang w:val="en-AU"/>
              </w:rPr>
              <w:t>Accountable for the above to a more senior executive, often a Band 3.</w:t>
            </w:r>
          </w:p>
        </w:tc>
      </w:tr>
      <w:tr w:rsidR="004F5C56" w14:paraId="6DB2CA7C" w14:textId="77777777" w:rsidTr="00216603">
        <w:tc>
          <w:tcPr>
            <w:tcW w:w="1271" w:type="dxa"/>
            <w:shd w:val="clear" w:color="auto" w:fill="6C72E2"/>
          </w:tcPr>
          <w:p w14:paraId="3EC9E8E5" w14:textId="3CF727AD" w:rsidR="004F5C56" w:rsidRPr="005B40E1" w:rsidRDefault="004F5C56" w:rsidP="00A50FB0">
            <w:pPr>
              <w:rPr>
                <w:b/>
              </w:rPr>
            </w:pPr>
            <w:r w:rsidRPr="005B40E1">
              <w:rPr>
                <w:b/>
              </w:rPr>
              <w:t>SES Band 3</w:t>
            </w:r>
          </w:p>
        </w:tc>
        <w:tc>
          <w:tcPr>
            <w:tcW w:w="8080" w:type="dxa"/>
            <w:shd w:val="clear" w:color="auto" w:fill="DBE5F1" w:themeFill="accent1" w:themeFillTint="33"/>
          </w:tcPr>
          <w:p w14:paraId="11A25E32" w14:textId="77777777" w:rsidR="004F5C56" w:rsidRPr="00AA1F4E" w:rsidRDefault="004F5C56" w:rsidP="004F5C56">
            <w:pPr>
              <w:pStyle w:val="ListParagraph"/>
              <w:numPr>
                <w:ilvl w:val="0"/>
                <w:numId w:val="16"/>
              </w:numPr>
              <w:ind w:left="317" w:hanging="283"/>
              <w:rPr>
                <w:lang w:val="en-AU"/>
              </w:rPr>
            </w:pPr>
            <w:r w:rsidRPr="00AA1F4E">
              <w:rPr>
                <w:lang w:val="en-AU"/>
              </w:rPr>
              <w:t>Supports the Director-General to lead the directorate and develop and promote the strategic objectives and culture.</w:t>
            </w:r>
          </w:p>
          <w:p w14:paraId="1D045578" w14:textId="77777777" w:rsidR="004F5C56" w:rsidRPr="00AA1F4E" w:rsidRDefault="004F5C56" w:rsidP="004F5C56">
            <w:pPr>
              <w:pStyle w:val="ListParagraph"/>
              <w:numPr>
                <w:ilvl w:val="0"/>
                <w:numId w:val="16"/>
              </w:numPr>
              <w:ind w:left="317" w:hanging="283"/>
              <w:rPr>
                <w:lang w:val="en-AU"/>
              </w:rPr>
            </w:pPr>
            <w:r w:rsidRPr="00AA1F4E">
              <w:rPr>
                <w:lang w:val="en-AU"/>
              </w:rPr>
              <w:t xml:space="preserve">Deputises for the Director-General. </w:t>
            </w:r>
          </w:p>
          <w:p w14:paraId="4A4FA400" w14:textId="5071D030" w:rsidR="004F5C56" w:rsidRPr="00AA1F4E" w:rsidRDefault="004F5C56" w:rsidP="004F5C56">
            <w:pPr>
              <w:pStyle w:val="ListParagraph"/>
              <w:numPr>
                <w:ilvl w:val="0"/>
                <w:numId w:val="16"/>
              </w:numPr>
              <w:ind w:left="317" w:hanging="283"/>
              <w:rPr>
                <w:lang w:val="en-AU"/>
              </w:rPr>
            </w:pPr>
            <w:r w:rsidRPr="00AA1F4E">
              <w:rPr>
                <w:lang w:val="en-AU"/>
              </w:rPr>
              <w:t>Operates with substantial strategic scope and scale, leading and managing a significant proportion of a directorate (policy, service delivery</w:t>
            </w:r>
            <w:r w:rsidR="00633F1C" w:rsidRPr="00AA1F4E">
              <w:rPr>
                <w:lang w:val="en-AU"/>
              </w:rPr>
              <w:t>, enabling</w:t>
            </w:r>
            <w:r w:rsidRPr="00AA1F4E">
              <w:rPr>
                <w:lang w:val="en-AU"/>
              </w:rPr>
              <w:t xml:space="preserve"> functions).</w:t>
            </w:r>
          </w:p>
          <w:p w14:paraId="6C5371CF" w14:textId="0FB5CDCF" w:rsidR="004F5C56" w:rsidRPr="00AA1F4E" w:rsidRDefault="004F5C56" w:rsidP="004F5C56">
            <w:pPr>
              <w:pStyle w:val="ListParagraph"/>
              <w:numPr>
                <w:ilvl w:val="0"/>
                <w:numId w:val="16"/>
              </w:numPr>
              <w:ind w:left="317" w:hanging="283"/>
              <w:rPr>
                <w:lang w:val="en-AU"/>
              </w:rPr>
            </w:pPr>
            <w:r w:rsidRPr="00AA1F4E">
              <w:rPr>
                <w:lang w:val="en-AU"/>
              </w:rPr>
              <w:t>Responsible for the performance of those parts of the directorate reporting to them.</w:t>
            </w:r>
          </w:p>
          <w:p w14:paraId="62F8611F" w14:textId="17C6B414" w:rsidR="004F5C56" w:rsidRPr="00AA1F4E" w:rsidRDefault="004F5C56" w:rsidP="00A50FB0">
            <w:pPr>
              <w:pStyle w:val="ListParagraph"/>
              <w:numPr>
                <w:ilvl w:val="0"/>
                <w:numId w:val="16"/>
              </w:numPr>
              <w:ind w:left="317" w:hanging="283"/>
              <w:rPr>
                <w:lang w:val="en-AU"/>
              </w:rPr>
            </w:pPr>
            <w:r w:rsidRPr="00AA1F4E">
              <w:rPr>
                <w:lang w:val="en-AU"/>
              </w:rPr>
              <w:t>Accountable for the above to the relevant Director-General.</w:t>
            </w:r>
          </w:p>
        </w:tc>
      </w:tr>
      <w:tr w:rsidR="004F5C56" w14:paraId="584F1EDB" w14:textId="77777777" w:rsidTr="006D4FBB">
        <w:tc>
          <w:tcPr>
            <w:tcW w:w="1271" w:type="dxa"/>
            <w:vMerge w:val="restart"/>
            <w:shd w:val="clear" w:color="auto" w:fill="548DD4" w:themeFill="text2" w:themeFillTint="99"/>
          </w:tcPr>
          <w:p w14:paraId="7F0EEA48" w14:textId="73BDD45F" w:rsidR="004F5C56" w:rsidRPr="005B40E1" w:rsidRDefault="004F5C56" w:rsidP="00A50FB0">
            <w:pPr>
              <w:rPr>
                <w:b/>
              </w:rPr>
            </w:pPr>
            <w:r w:rsidRPr="005B40E1">
              <w:rPr>
                <w:b/>
              </w:rPr>
              <w:t>SES Band 4</w:t>
            </w:r>
          </w:p>
        </w:tc>
        <w:tc>
          <w:tcPr>
            <w:tcW w:w="8080" w:type="dxa"/>
            <w:shd w:val="clear" w:color="auto" w:fill="C6D9F1" w:themeFill="text2" w:themeFillTint="33"/>
          </w:tcPr>
          <w:p w14:paraId="7574D2E0" w14:textId="77777777" w:rsidR="004F5C56" w:rsidRPr="00AA1F4E" w:rsidRDefault="004F5C56" w:rsidP="004F5C56">
            <w:pPr>
              <w:rPr>
                <w:lang w:val="en-AU"/>
              </w:rPr>
            </w:pPr>
            <w:r w:rsidRPr="00AA1F4E">
              <w:rPr>
                <w:b/>
                <w:bCs/>
                <w:u w:val="single"/>
                <w:lang w:val="en-AU"/>
              </w:rPr>
              <w:t>Director-General</w:t>
            </w:r>
          </w:p>
          <w:p w14:paraId="1DCACCD2" w14:textId="70B9EB77" w:rsidR="004F5C56" w:rsidRPr="00AA1F4E" w:rsidRDefault="004F5C56" w:rsidP="004F5C56">
            <w:pPr>
              <w:pStyle w:val="ListParagraph"/>
              <w:numPr>
                <w:ilvl w:val="0"/>
                <w:numId w:val="18"/>
              </w:numPr>
              <w:ind w:left="317" w:hanging="283"/>
              <w:rPr>
                <w:lang w:val="en-AU"/>
              </w:rPr>
            </w:pPr>
            <w:r w:rsidRPr="00AA1F4E">
              <w:rPr>
                <w:lang w:val="en-AU"/>
              </w:rPr>
              <w:t>Leads a directorate, sets the strategic objectives and establishes the directorate's culture.</w:t>
            </w:r>
          </w:p>
          <w:p w14:paraId="08204811" w14:textId="278B2958" w:rsidR="004F5C56" w:rsidRPr="00AA1F4E" w:rsidRDefault="004F5C56" w:rsidP="004F5C56">
            <w:pPr>
              <w:pStyle w:val="ListParagraph"/>
              <w:numPr>
                <w:ilvl w:val="0"/>
                <w:numId w:val="18"/>
              </w:numPr>
              <w:ind w:left="317" w:hanging="283"/>
              <w:rPr>
                <w:lang w:val="en-AU"/>
              </w:rPr>
            </w:pPr>
            <w:r w:rsidRPr="00AA1F4E">
              <w:rPr>
                <w:lang w:val="en-AU"/>
              </w:rPr>
              <w:t>Collaboratively with other Directors-General, pursues whole of government outcomes.</w:t>
            </w:r>
          </w:p>
          <w:p w14:paraId="59797B5B" w14:textId="20BDEB37" w:rsidR="004F5C56" w:rsidRPr="00AA1F4E" w:rsidRDefault="004F5C56" w:rsidP="004F5C56">
            <w:pPr>
              <w:pStyle w:val="ListParagraph"/>
              <w:numPr>
                <w:ilvl w:val="0"/>
                <w:numId w:val="18"/>
              </w:numPr>
              <w:ind w:left="317" w:hanging="283"/>
              <w:rPr>
                <w:lang w:val="en-AU"/>
              </w:rPr>
            </w:pPr>
            <w:r w:rsidRPr="00AA1F4E">
              <w:rPr>
                <w:lang w:val="en-AU"/>
              </w:rPr>
              <w:t>Responsible for the advice to Ministers and the Head of Service and personally advises on the most complex and sensitive matters.</w:t>
            </w:r>
          </w:p>
          <w:p w14:paraId="247E4154" w14:textId="30F55314" w:rsidR="004F5C56" w:rsidRPr="00AA1F4E" w:rsidRDefault="004F5C56" w:rsidP="004F5C56">
            <w:pPr>
              <w:pStyle w:val="ListParagraph"/>
              <w:numPr>
                <w:ilvl w:val="0"/>
                <w:numId w:val="18"/>
              </w:numPr>
              <w:ind w:left="317" w:hanging="283"/>
              <w:rPr>
                <w:lang w:val="en-AU"/>
              </w:rPr>
            </w:pPr>
            <w:r w:rsidRPr="00AA1F4E">
              <w:rPr>
                <w:lang w:val="en-AU"/>
              </w:rPr>
              <w:t>Responsible for the performance of the entire directorate with complete accountability for business outcomes.</w:t>
            </w:r>
          </w:p>
          <w:p w14:paraId="1A9D033E" w14:textId="4E8105A6" w:rsidR="004F5C56" w:rsidRPr="00AA1F4E" w:rsidRDefault="004F5C56" w:rsidP="004F5C56">
            <w:pPr>
              <w:pStyle w:val="ListParagraph"/>
              <w:numPr>
                <w:ilvl w:val="0"/>
                <w:numId w:val="18"/>
              </w:numPr>
              <w:ind w:left="317" w:hanging="283"/>
              <w:rPr>
                <w:lang w:val="en-AU"/>
              </w:rPr>
            </w:pPr>
            <w:r w:rsidRPr="00AA1F4E">
              <w:rPr>
                <w:lang w:val="en-AU"/>
              </w:rPr>
              <w:t xml:space="preserve">Responsible for the performance of all other Executives in the directorate. </w:t>
            </w:r>
          </w:p>
          <w:p w14:paraId="7A3EDA71" w14:textId="5288B5F2" w:rsidR="004F5C56" w:rsidRPr="00AA1F4E" w:rsidRDefault="004F5C56" w:rsidP="00A50FB0">
            <w:pPr>
              <w:pStyle w:val="ListParagraph"/>
              <w:numPr>
                <w:ilvl w:val="0"/>
                <w:numId w:val="18"/>
              </w:numPr>
              <w:ind w:left="317" w:hanging="283"/>
              <w:rPr>
                <w:lang w:val="en-AU"/>
              </w:rPr>
            </w:pPr>
            <w:r w:rsidRPr="00AA1F4E">
              <w:rPr>
                <w:lang w:val="en-AU"/>
              </w:rPr>
              <w:t>Accountable for the above to the relevant Minister and the Head of Service.</w:t>
            </w:r>
          </w:p>
        </w:tc>
      </w:tr>
      <w:tr w:rsidR="004F5C56" w14:paraId="5B030D6C" w14:textId="77777777" w:rsidTr="006D4FBB">
        <w:tc>
          <w:tcPr>
            <w:tcW w:w="1271" w:type="dxa"/>
            <w:vMerge/>
            <w:shd w:val="clear" w:color="auto" w:fill="548DD4" w:themeFill="text2" w:themeFillTint="99"/>
          </w:tcPr>
          <w:p w14:paraId="6E5F907F" w14:textId="77777777" w:rsidR="004F5C56" w:rsidRPr="00AA1F4E" w:rsidRDefault="004F5C56" w:rsidP="00A50FB0"/>
        </w:tc>
        <w:tc>
          <w:tcPr>
            <w:tcW w:w="8080" w:type="dxa"/>
            <w:shd w:val="clear" w:color="auto" w:fill="C6D9F1" w:themeFill="text2" w:themeFillTint="33"/>
          </w:tcPr>
          <w:p w14:paraId="3670200A" w14:textId="77777777" w:rsidR="004F5C56" w:rsidRPr="00AA1F4E" w:rsidRDefault="004F5C56" w:rsidP="004F5C56">
            <w:pPr>
              <w:rPr>
                <w:lang w:val="en-AU"/>
              </w:rPr>
            </w:pPr>
            <w:r w:rsidRPr="00AA1F4E">
              <w:rPr>
                <w:b/>
                <w:bCs/>
                <w:u w:val="single"/>
                <w:lang w:val="en-AU"/>
              </w:rPr>
              <w:t>Head of Service</w:t>
            </w:r>
          </w:p>
          <w:p w14:paraId="0689E518" w14:textId="77777777" w:rsidR="004F5C56" w:rsidRPr="00AA1F4E" w:rsidRDefault="004F5C56" w:rsidP="00E70612">
            <w:pPr>
              <w:pStyle w:val="ListParagraph"/>
              <w:numPr>
                <w:ilvl w:val="0"/>
                <w:numId w:val="18"/>
              </w:numPr>
              <w:ind w:left="317" w:hanging="283"/>
              <w:rPr>
                <w:lang w:val="en-AU"/>
              </w:rPr>
            </w:pPr>
            <w:r w:rsidRPr="00AA1F4E">
              <w:rPr>
                <w:lang w:val="en-AU"/>
              </w:rPr>
              <w:t>Leads the ACT Public Service (ACTPS), sets the strategic objectives and establishes the ACTPS culture.</w:t>
            </w:r>
          </w:p>
          <w:p w14:paraId="73268BCD" w14:textId="77777777" w:rsidR="004F5C56" w:rsidRPr="00AA1F4E" w:rsidRDefault="004F5C56" w:rsidP="00E70612">
            <w:pPr>
              <w:pStyle w:val="ListParagraph"/>
              <w:numPr>
                <w:ilvl w:val="0"/>
                <w:numId w:val="18"/>
              </w:numPr>
              <w:ind w:left="317" w:hanging="283"/>
              <w:rPr>
                <w:lang w:val="en-AU"/>
              </w:rPr>
            </w:pPr>
            <w:r w:rsidRPr="00AA1F4E">
              <w:rPr>
                <w:lang w:val="en-AU"/>
              </w:rPr>
              <w:t>Responsible for whole of government strategic advice to the Chief Minister and the Cabinet and personally advises on the most complex and sensitive matters.</w:t>
            </w:r>
          </w:p>
          <w:p w14:paraId="28CE3F9E" w14:textId="77777777" w:rsidR="004F5C56" w:rsidRPr="00AA1F4E" w:rsidRDefault="004F5C56" w:rsidP="00E70612">
            <w:pPr>
              <w:pStyle w:val="ListParagraph"/>
              <w:numPr>
                <w:ilvl w:val="0"/>
                <w:numId w:val="18"/>
              </w:numPr>
              <w:ind w:left="317" w:hanging="283"/>
              <w:rPr>
                <w:lang w:val="en-AU"/>
              </w:rPr>
            </w:pPr>
            <w:r w:rsidRPr="00AA1F4E">
              <w:rPr>
                <w:lang w:val="en-AU"/>
              </w:rPr>
              <w:t>Responsible for providing direction across the Service in relation to critical or potentially critical issues.</w:t>
            </w:r>
          </w:p>
          <w:p w14:paraId="0B6B6BE4" w14:textId="77777777" w:rsidR="004F5C56" w:rsidRPr="00AA1F4E" w:rsidRDefault="004F5C56" w:rsidP="00E70612">
            <w:pPr>
              <w:pStyle w:val="ListParagraph"/>
              <w:numPr>
                <w:ilvl w:val="0"/>
                <w:numId w:val="18"/>
              </w:numPr>
              <w:ind w:left="317" w:hanging="283"/>
              <w:rPr>
                <w:lang w:val="en-AU"/>
              </w:rPr>
            </w:pPr>
            <w:r w:rsidRPr="00AA1F4E">
              <w:rPr>
                <w:lang w:val="en-AU"/>
              </w:rPr>
              <w:t>Responsible for the performance, structure and integration of entire ACTPS.</w:t>
            </w:r>
          </w:p>
          <w:p w14:paraId="3316B4FD" w14:textId="77777777" w:rsidR="004F5C56" w:rsidRPr="00AA1F4E" w:rsidRDefault="004F5C56" w:rsidP="00E70612">
            <w:pPr>
              <w:pStyle w:val="ListParagraph"/>
              <w:numPr>
                <w:ilvl w:val="0"/>
                <w:numId w:val="18"/>
              </w:numPr>
              <w:ind w:left="317" w:hanging="283"/>
              <w:rPr>
                <w:lang w:val="en-AU"/>
              </w:rPr>
            </w:pPr>
            <w:r w:rsidRPr="00AA1F4E">
              <w:rPr>
                <w:lang w:val="en-AU"/>
              </w:rPr>
              <w:t xml:space="preserve">Responsible to the Chief Minister for the performance of Directors-General and all Executives in the ACTPS. </w:t>
            </w:r>
          </w:p>
          <w:p w14:paraId="63374947" w14:textId="092A195E" w:rsidR="004F5C56" w:rsidRPr="00AA1F4E" w:rsidRDefault="004F5C56" w:rsidP="00E70612">
            <w:pPr>
              <w:pStyle w:val="ListParagraph"/>
              <w:numPr>
                <w:ilvl w:val="0"/>
                <w:numId w:val="18"/>
              </w:numPr>
              <w:ind w:left="317" w:hanging="283"/>
            </w:pPr>
            <w:r w:rsidRPr="00AA1F4E">
              <w:rPr>
                <w:lang w:val="en-AU"/>
              </w:rPr>
              <w:t>Accountable for the above to the Chief Minister.</w:t>
            </w:r>
          </w:p>
        </w:tc>
      </w:tr>
    </w:tbl>
    <w:p w14:paraId="44625DF2" w14:textId="3898834C" w:rsidR="000001B7" w:rsidRDefault="000001B7" w:rsidP="000001B7">
      <w:pPr>
        <w:pStyle w:val="Heading3"/>
      </w:pPr>
      <w:bookmarkStart w:id="18" w:name="_Toc2327860"/>
      <w:r>
        <w:lastRenderedPageBreak/>
        <w:t>Shared Capability Framework – Executive Capabilities</w:t>
      </w:r>
      <w:bookmarkEnd w:id="18"/>
    </w:p>
    <w:p w14:paraId="70B08E64" w14:textId="77777777" w:rsidR="0046088A" w:rsidRDefault="00411BDC" w:rsidP="00E72415">
      <w:pPr>
        <w:rPr>
          <w:sz w:val="24"/>
          <w:szCs w:val="24"/>
        </w:rPr>
      </w:pPr>
      <w:r>
        <w:rPr>
          <w:sz w:val="24"/>
          <w:szCs w:val="24"/>
        </w:rPr>
        <w:t xml:space="preserve">In addition, executives are expected to demonstrate particular skills, knowledge and behaviour. </w:t>
      </w:r>
      <w:r w:rsidR="00F04114" w:rsidRPr="00A221B5">
        <w:rPr>
          <w:sz w:val="24"/>
          <w:szCs w:val="24"/>
        </w:rPr>
        <w:t xml:space="preserve">The ACT Public Service Executive Capability </w:t>
      </w:r>
      <w:r w:rsidR="00F04114">
        <w:rPr>
          <w:sz w:val="24"/>
          <w:szCs w:val="24"/>
        </w:rPr>
        <w:t>F</w:t>
      </w:r>
      <w:r w:rsidR="00F04114" w:rsidRPr="00A221B5">
        <w:rPr>
          <w:sz w:val="24"/>
          <w:szCs w:val="24"/>
        </w:rPr>
        <w:t>ramework describes the skills, knowledge and behaviour</w:t>
      </w:r>
      <w:r>
        <w:rPr>
          <w:sz w:val="24"/>
          <w:szCs w:val="24"/>
        </w:rPr>
        <w:t xml:space="preserve">, which </w:t>
      </w:r>
      <w:r w:rsidR="00F04114" w:rsidRPr="00A221B5">
        <w:rPr>
          <w:sz w:val="24"/>
          <w:szCs w:val="24"/>
        </w:rPr>
        <w:t>are expected of all executives reg</w:t>
      </w:r>
      <w:r w:rsidR="00F04114">
        <w:rPr>
          <w:sz w:val="24"/>
          <w:szCs w:val="24"/>
        </w:rPr>
        <w:t>ardless of their workplace. The Framework</w:t>
      </w:r>
      <w:r w:rsidR="00F04114" w:rsidRPr="00A221B5">
        <w:rPr>
          <w:sz w:val="24"/>
          <w:szCs w:val="24"/>
        </w:rPr>
        <w:t xml:space="preserve"> provide</w:t>
      </w:r>
      <w:r w:rsidR="00F04114">
        <w:rPr>
          <w:sz w:val="24"/>
          <w:szCs w:val="24"/>
        </w:rPr>
        <w:t>s a</w:t>
      </w:r>
      <w:r w:rsidR="00F04114" w:rsidRPr="00A221B5">
        <w:rPr>
          <w:sz w:val="24"/>
          <w:szCs w:val="24"/>
        </w:rPr>
        <w:t xml:space="preserve"> shared understanding of the capabilities required of successful and effective </w:t>
      </w:r>
      <w:r w:rsidR="00F04114" w:rsidRPr="00DC2CF1">
        <w:rPr>
          <w:sz w:val="24"/>
          <w:szCs w:val="24"/>
        </w:rPr>
        <w:t>leaders. The Executive Capabilities are used for recruitment and performance development purposes</w:t>
      </w:r>
      <w:r w:rsidR="0045628F">
        <w:rPr>
          <w:sz w:val="24"/>
          <w:szCs w:val="24"/>
        </w:rPr>
        <w:t xml:space="preserve"> and these are outlined below</w:t>
      </w:r>
      <w:r w:rsidR="00F04114" w:rsidRPr="00DC2CF1">
        <w:rPr>
          <w:sz w:val="24"/>
          <w:szCs w:val="24"/>
        </w:rPr>
        <w:t>.</w:t>
      </w:r>
    </w:p>
    <w:p w14:paraId="559D4F67" w14:textId="40538904" w:rsidR="003913E9" w:rsidRPr="00A05E65" w:rsidRDefault="004E1E4D" w:rsidP="00E72415">
      <w:pPr>
        <w:rPr>
          <w:sz w:val="24"/>
          <w:szCs w:val="24"/>
        </w:rPr>
      </w:pPr>
      <w:r>
        <w:rPr>
          <w:noProof/>
          <w:lang w:val="en-AU" w:eastAsia="en-AU"/>
        </w:rPr>
        <w:drawing>
          <wp:inline distT="0" distB="0" distL="0" distR="0" wp14:anchorId="53400B68" wp14:editId="0257F069">
            <wp:extent cx="5448300" cy="3219450"/>
            <wp:effectExtent l="0" t="19050" r="19050" b="571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sidR="003913E9">
        <w:br w:type="page"/>
      </w:r>
    </w:p>
    <w:p w14:paraId="3B82C7AE" w14:textId="2DDCAA07" w:rsidR="005B37AA" w:rsidRPr="001F0A42" w:rsidRDefault="005B37AA" w:rsidP="005B37AA">
      <w:pPr>
        <w:pStyle w:val="Heading1"/>
      </w:pPr>
      <w:bookmarkStart w:id="19" w:name="_Toc2327861"/>
      <w:r>
        <w:lastRenderedPageBreak/>
        <w:t>Key issues and decisions</w:t>
      </w:r>
      <w:bookmarkEnd w:id="19"/>
    </w:p>
    <w:p w14:paraId="254E4CC9" w14:textId="4BA5B421" w:rsidR="000E118B" w:rsidRDefault="000E118B" w:rsidP="00C9551A">
      <w:pPr>
        <w:spacing w:before="120" w:after="120"/>
        <w:rPr>
          <w:sz w:val="24"/>
          <w:szCs w:val="24"/>
        </w:rPr>
      </w:pPr>
      <w:r>
        <w:rPr>
          <w:sz w:val="24"/>
          <w:szCs w:val="24"/>
        </w:rPr>
        <w:t xml:space="preserve">This section addresses the main areas covered in the Tribunal’s </w:t>
      </w:r>
      <w:r w:rsidR="00646540">
        <w:rPr>
          <w:sz w:val="24"/>
          <w:szCs w:val="24"/>
        </w:rPr>
        <w:t>D</w:t>
      </w:r>
      <w:r>
        <w:rPr>
          <w:sz w:val="24"/>
          <w:szCs w:val="24"/>
        </w:rPr>
        <w:t xml:space="preserve">iscussion </w:t>
      </w:r>
      <w:r w:rsidR="00646540">
        <w:rPr>
          <w:sz w:val="24"/>
          <w:szCs w:val="24"/>
        </w:rPr>
        <w:t>P</w:t>
      </w:r>
      <w:r>
        <w:rPr>
          <w:sz w:val="24"/>
          <w:szCs w:val="24"/>
        </w:rPr>
        <w:t>aper which was open for consultation and feedback. The Tribunal has considered the following areas carefully and makes relevant comment, recommendations and decisions where appropriate.</w:t>
      </w:r>
    </w:p>
    <w:p w14:paraId="7BE7C63B" w14:textId="6C122AD5" w:rsidR="004F2AC1" w:rsidRDefault="00724609" w:rsidP="004F2AC1">
      <w:pPr>
        <w:pStyle w:val="Heading2"/>
      </w:pPr>
      <w:bookmarkStart w:id="20" w:name="_Toc2327862"/>
      <w:r w:rsidRPr="00724609">
        <w:t>Employment arrangements</w:t>
      </w:r>
      <w:bookmarkEnd w:id="20"/>
      <w:r w:rsidRPr="00724609">
        <w:t xml:space="preserve"> </w:t>
      </w:r>
    </w:p>
    <w:p w14:paraId="12546B12" w14:textId="4EF35CD9" w:rsidR="00BC2896" w:rsidRPr="00D67D30" w:rsidRDefault="00BC2896" w:rsidP="00C9551A">
      <w:pPr>
        <w:pStyle w:val="Heading3"/>
        <w:spacing w:before="120"/>
      </w:pPr>
      <w:bookmarkStart w:id="21" w:name="_Toc2327863"/>
      <w:r>
        <w:t>Executive contracts</w:t>
      </w:r>
      <w:bookmarkEnd w:id="21"/>
    </w:p>
    <w:p w14:paraId="277C9125" w14:textId="775CFC45" w:rsidR="00F81666" w:rsidRDefault="00100CCF" w:rsidP="00244015">
      <w:pPr>
        <w:spacing w:before="240" w:after="120"/>
        <w:rPr>
          <w:sz w:val="24"/>
          <w:szCs w:val="24"/>
        </w:rPr>
      </w:pPr>
      <w:r>
        <w:rPr>
          <w:sz w:val="24"/>
          <w:szCs w:val="24"/>
        </w:rPr>
        <w:t>Executives within the ACTPS are engaged</w:t>
      </w:r>
      <w:r w:rsidR="00F81666">
        <w:rPr>
          <w:sz w:val="24"/>
          <w:szCs w:val="24"/>
        </w:rPr>
        <w:t xml:space="preserve"> on either </w:t>
      </w:r>
      <w:r>
        <w:rPr>
          <w:sz w:val="24"/>
          <w:szCs w:val="24"/>
        </w:rPr>
        <w:t xml:space="preserve">a </w:t>
      </w:r>
      <w:r w:rsidR="00F81666">
        <w:rPr>
          <w:sz w:val="24"/>
          <w:szCs w:val="24"/>
        </w:rPr>
        <w:t xml:space="preserve">long term or short term </w:t>
      </w:r>
      <w:r>
        <w:rPr>
          <w:sz w:val="24"/>
          <w:szCs w:val="24"/>
        </w:rPr>
        <w:t xml:space="preserve">contractual basis. Long term engagements are for periods of up to 5 years, while short term engagements cannot exceed a period of 2 years. </w:t>
      </w:r>
    </w:p>
    <w:p w14:paraId="69B46343" w14:textId="5110810C" w:rsidR="00100CCF" w:rsidRDefault="00100CCF" w:rsidP="00244015">
      <w:pPr>
        <w:spacing w:before="240" w:after="120"/>
        <w:rPr>
          <w:sz w:val="24"/>
          <w:szCs w:val="24"/>
        </w:rPr>
      </w:pPr>
      <w:r>
        <w:rPr>
          <w:sz w:val="24"/>
          <w:szCs w:val="24"/>
        </w:rPr>
        <w:t xml:space="preserve">When an officer is engaged as an executive </w:t>
      </w:r>
      <w:r w:rsidR="005D6A1A">
        <w:rPr>
          <w:sz w:val="24"/>
          <w:szCs w:val="24"/>
        </w:rPr>
        <w:t xml:space="preserve">member </w:t>
      </w:r>
      <w:r>
        <w:rPr>
          <w:sz w:val="24"/>
          <w:szCs w:val="24"/>
        </w:rPr>
        <w:t>on a long term contract from a non-executive position in the ACTPS, the</w:t>
      </w:r>
      <w:r w:rsidR="005D6A1A">
        <w:rPr>
          <w:sz w:val="24"/>
          <w:szCs w:val="24"/>
        </w:rPr>
        <w:t xml:space="preserve"> member</w:t>
      </w:r>
      <w:r>
        <w:rPr>
          <w:sz w:val="24"/>
          <w:szCs w:val="24"/>
        </w:rPr>
        <w:t xml:space="preserve"> forfeit</w:t>
      </w:r>
      <w:r w:rsidR="005D6A1A">
        <w:rPr>
          <w:sz w:val="24"/>
          <w:szCs w:val="24"/>
        </w:rPr>
        <w:t>s their</w:t>
      </w:r>
      <w:r>
        <w:rPr>
          <w:sz w:val="24"/>
          <w:szCs w:val="24"/>
        </w:rPr>
        <w:t xml:space="preserve"> tenure as an officer. If the engagement is on a short term cont</w:t>
      </w:r>
      <w:r w:rsidR="009910BE">
        <w:rPr>
          <w:sz w:val="24"/>
          <w:szCs w:val="24"/>
        </w:rPr>
        <w:t>r</w:t>
      </w:r>
      <w:r>
        <w:rPr>
          <w:sz w:val="24"/>
          <w:szCs w:val="24"/>
        </w:rPr>
        <w:t>act, the tenure as an officer is maintained.</w:t>
      </w:r>
    </w:p>
    <w:p w14:paraId="651F61BC" w14:textId="0AA1FD17" w:rsidR="00FD4E5D" w:rsidRDefault="00FD4E5D" w:rsidP="00244015">
      <w:pPr>
        <w:spacing w:before="240" w:after="120"/>
        <w:rPr>
          <w:sz w:val="24"/>
          <w:szCs w:val="24"/>
        </w:rPr>
      </w:pPr>
      <w:r w:rsidRPr="002E216F">
        <w:rPr>
          <w:sz w:val="24"/>
          <w:szCs w:val="24"/>
        </w:rPr>
        <w:t xml:space="preserve">The executive contract system was implemented in the ACTPS in 1996. </w:t>
      </w:r>
      <w:r w:rsidR="00647C17" w:rsidRPr="002E216F">
        <w:rPr>
          <w:sz w:val="24"/>
          <w:szCs w:val="24"/>
        </w:rPr>
        <w:t>A</w:t>
      </w:r>
      <w:r w:rsidRPr="002E216F">
        <w:rPr>
          <w:sz w:val="24"/>
          <w:szCs w:val="24"/>
        </w:rPr>
        <w:t xml:space="preserve">mendments to the PSM Act and the </w:t>
      </w:r>
      <w:r w:rsidR="00647C17" w:rsidRPr="002E216F">
        <w:rPr>
          <w:sz w:val="24"/>
          <w:szCs w:val="24"/>
        </w:rPr>
        <w:t xml:space="preserve">PSM </w:t>
      </w:r>
      <w:r w:rsidRPr="002E216F">
        <w:rPr>
          <w:sz w:val="24"/>
          <w:szCs w:val="24"/>
        </w:rPr>
        <w:t xml:space="preserve">Standards </w:t>
      </w:r>
      <w:r w:rsidR="00647C17" w:rsidRPr="002E216F">
        <w:rPr>
          <w:sz w:val="24"/>
          <w:szCs w:val="24"/>
        </w:rPr>
        <w:t xml:space="preserve">in 2005 </w:t>
      </w:r>
      <w:r w:rsidRPr="002E216F">
        <w:rPr>
          <w:sz w:val="24"/>
          <w:szCs w:val="24"/>
        </w:rPr>
        <w:t>provided some greater flexibility in moving executives between jobs and in increasing termination benefits. The amendments included the capacity for recognition of ‘job growth’ without the need for a further merit process and for executives to be assigned to ‘other state functions in the public sector’</w:t>
      </w:r>
      <w:r w:rsidR="00647C17" w:rsidRPr="002E216F">
        <w:rPr>
          <w:sz w:val="24"/>
          <w:szCs w:val="24"/>
        </w:rPr>
        <w:t>.</w:t>
      </w:r>
      <w:r w:rsidR="00982E7D" w:rsidRPr="002E216F">
        <w:rPr>
          <w:sz w:val="24"/>
          <w:szCs w:val="24"/>
        </w:rPr>
        <w:t xml:space="preserve"> Further amendments were made in 2016 to </w:t>
      </w:r>
      <w:r w:rsidR="00633F1C" w:rsidRPr="002E216F">
        <w:rPr>
          <w:sz w:val="24"/>
          <w:szCs w:val="24"/>
        </w:rPr>
        <w:t>establish</w:t>
      </w:r>
      <w:r w:rsidR="00516463" w:rsidRPr="002E216F">
        <w:rPr>
          <w:sz w:val="24"/>
          <w:szCs w:val="24"/>
        </w:rPr>
        <w:t xml:space="preserve"> the Senior Executive Service</w:t>
      </w:r>
      <w:r w:rsidR="009F3D70" w:rsidRPr="002E216F">
        <w:rPr>
          <w:sz w:val="24"/>
          <w:szCs w:val="24"/>
        </w:rPr>
        <w:t xml:space="preserve"> </w:t>
      </w:r>
      <w:r w:rsidR="00633F1C" w:rsidRPr="002E216F">
        <w:rPr>
          <w:sz w:val="24"/>
          <w:szCs w:val="24"/>
        </w:rPr>
        <w:t>to remove</w:t>
      </w:r>
      <w:r w:rsidR="00DD19CA" w:rsidRPr="002E216F">
        <w:rPr>
          <w:sz w:val="24"/>
          <w:szCs w:val="24"/>
        </w:rPr>
        <w:t xml:space="preserve"> the concept of holding an office</w:t>
      </w:r>
      <w:r w:rsidR="00563B93" w:rsidRPr="002E216F">
        <w:rPr>
          <w:sz w:val="24"/>
          <w:szCs w:val="24"/>
        </w:rPr>
        <w:t>.</w:t>
      </w:r>
      <w:r w:rsidR="009478F2">
        <w:rPr>
          <w:sz w:val="24"/>
          <w:szCs w:val="24"/>
        </w:rPr>
        <w:t xml:space="preserve"> The 2018 amendments to the PSM Standards further strengthened and built upon the changes made in 2016.</w:t>
      </w:r>
    </w:p>
    <w:p w14:paraId="266A3F4E" w14:textId="5BD475C4" w:rsidR="001101A1" w:rsidRDefault="00867AE7" w:rsidP="00244015">
      <w:pPr>
        <w:spacing w:before="240" w:after="120"/>
        <w:rPr>
          <w:sz w:val="24"/>
          <w:szCs w:val="24"/>
        </w:rPr>
      </w:pPr>
      <w:r>
        <w:rPr>
          <w:sz w:val="24"/>
          <w:szCs w:val="24"/>
        </w:rPr>
        <w:t>Most other jurisdictions employ executives on a similar contractual basis as that used in the ACTPS. The exceptions being the APS where most SES are engaged on an ongoing basis, and the NSW State Government which has the option to employ executives on either an ongoing or contractual basis.</w:t>
      </w:r>
    </w:p>
    <w:p w14:paraId="3EFDE026" w14:textId="34E0629E" w:rsidR="00982E7D" w:rsidRDefault="007304B0" w:rsidP="00982E7D">
      <w:pPr>
        <w:spacing w:before="240" w:after="120"/>
        <w:rPr>
          <w:sz w:val="24"/>
          <w:szCs w:val="24"/>
        </w:rPr>
      </w:pPr>
      <w:r w:rsidRPr="00687549">
        <w:rPr>
          <w:sz w:val="24"/>
          <w:szCs w:val="24"/>
        </w:rPr>
        <w:t xml:space="preserve">The Tribunal </w:t>
      </w:r>
      <w:r w:rsidR="008C1C4E" w:rsidRPr="00687549">
        <w:rPr>
          <w:sz w:val="24"/>
          <w:szCs w:val="24"/>
        </w:rPr>
        <w:t>is aware</w:t>
      </w:r>
      <w:r w:rsidRPr="00687549">
        <w:rPr>
          <w:sz w:val="24"/>
          <w:szCs w:val="24"/>
        </w:rPr>
        <w:t xml:space="preserve"> that </w:t>
      </w:r>
      <w:r w:rsidR="00F60642" w:rsidRPr="00687549">
        <w:rPr>
          <w:sz w:val="24"/>
          <w:szCs w:val="24"/>
        </w:rPr>
        <w:t xml:space="preserve">the Victorian Public Sector Commission </w:t>
      </w:r>
      <w:r w:rsidRPr="00687549">
        <w:rPr>
          <w:sz w:val="24"/>
          <w:szCs w:val="24"/>
        </w:rPr>
        <w:t xml:space="preserve">recently </w:t>
      </w:r>
      <w:r w:rsidR="00516F58" w:rsidRPr="00687549">
        <w:rPr>
          <w:sz w:val="24"/>
          <w:szCs w:val="24"/>
        </w:rPr>
        <w:t xml:space="preserve">explored the views on fixed term contracts </w:t>
      </w:r>
      <w:r w:rsidR="0055731A" w:rsidRPr="00687549">
        <w:rPr>
          <w:sz w:val="24"/>
          <w:szCs w:val="24"/>
        </w:rPr>
        <w:t>versus</w:t>
      </w:r>
      <w:r w:rsidR="00516F58" w:rsidRPr="00687549">
        <w:rPr>
          <w:sz w:val="24"/>
          <w:szCs w:val="24"/>
        </w:rPr>
        <w:t xml:space="preserve"> on</w:t>
      </w:r>
      <w:r w:rsidRPr="00687549">
        <w:rPr>
          <w:sz w:val="24"/>
          <w:szCs w:val="24"/>
        </w:rPr>
        <w:t>going employment for executives</w:t>
      </w:r>
      <w:r w:rsidR="00982E7D" w:rsidRPr="00687549">
        <w:rPr>
          <w:rStyle w:val="FootnoteReference"/>
          <w:sz w:val="24"/>
          <w:szCs w:val="24"/>
        </w:rPr>
        <w:footnoteReference w:id="8"/>
      </w:r>
      <w:r w:rsidR="00982E7D" w:rsidRPr="00687549">
        <w:rPr>
          <w:sz w:val="24"/>
          <w:szCs w:val="24"/>
        </w:rPr>
        <w:t xml:space="preserve">. </w:t>
      </w:r>
      <w:r w:rsidRPr="00687549">
        <w:rPr>
          <w:sz w:val="24"/>
          <w:szCs w:val="24"/>
        </w:rPr>
        <w:t>The review’s recommended position was for the fixed term arrangement to be retained but their five year term to be removed from the legislation</w:t>
      </w:r>
      <w:r>
        <w:rPr>
          <w:rStyle w:val="FootnoteReference"/>
          <w:sz w:val="24"/>
          <w:szCs w:val="24"/>
        </w:rPr>
        <w:footnoteReference w:id="9"/>
      </w:r>
      <w:r>
        <w:rPr>
          <w:sz w:val="24"/>
          <w:szCs w:val="24"/>
        </w:rPr>
        <w:t xml:space="preserve">.  </w:t>
      </w:r>
    </w:p>
    <w:p w14:paraId="15639561" w14:textId="77777777" w:rsidR="00F64ADD" w:rsidRDefault="00F64ADD">
      <w:pPr>
        <w:rPr>
          <w:sz w:val="24"/>
          <w:szCs w:val="24"/>
        </w:rPr>
      </w:pPr>
      <w:r>
        <w:rPr>
          <w:sz w:val="24"/>
          <w:szCs w:val="24"/>
        </w:rPr>
        <w:br w:type="page"/>
      </w:r>
    </w:p>
    <w:p w14:paraId="3D69C724" w14:textId="25BB0086" w:rsidR="007543E8" w:rsidRPr="008E3D3E" w:rsidRDefault="007543E8" w:rsidP="007543E8">
      <w:pPr>
        <w:spacing w:before="240" w:after="120"/>
        <w:rPr>
          <w:sz w:val="24"/>
          <w:szCs w:val="24"/>
        </w:rPr>
      </w:pPr>
      <w:r w:rsidRPr="007543E8">
        <w:rPr>
          <w:sz w:val="24"/>
          <w:szCs w:val="24"/>
        </w:rPr>
        <w:lastRenderedPageBreak/>
        <w:t xml:space="preserve">In the </w:t>
      </w:r>
      <w:r w:rsidR="006E55E9">
        <w:rPr>
          <w:sz w:val="24"/>
          <w:szCs w:val="24"/>
        </w:rPr>
        <w:t>D</w:t>
      </w:r>
      <w:r w:rsidR="006E55E9" w:rsidRPr="007543E8">
        <w:rPr>
          <w:sz w:val="24"/>
          <w:szCs w:val="24"/>
        </w:rPr>
        <w:t xml:space="preserve">iscussion </w:t>
      </w:r>
      <w:r w:rsidR="006E55E9">
        <w:rPr>
          <w:sz w:val="24"/>
          <w:szCs w:val="24"/>
        </w:rPr>
        <w:t>P</w:t>
      </w:r>
      <w:r w:rsidR="006E55E9" w:rsidRPr="007543E8">
        <w:rPr>
          <w:sz w:val="24"/>
          <w:szCs w:val="24"/>
        </w:rPr>
        <w:t>aper</w:t>
      </w:r>
      <w:r w:rsidRPr="007543E8">
        <w:rPr>
          <w:sz w:val="24"/>
          <w:szCs w:val="24"/>
        </w:rPr>
        <w:t>, the Tribunal canvassed whether</w:t>
      </w:r>
      <w:r>
        <w:rPr>
          <w:sz w:val="24"/>
          <w:szCs w:val="24"/>
        </w:rPr>
        <w:t xml:space="preserve"> or </w:t>
      </w:r>
      <w:r w:rsidR="00193E39">
        <w:rPr>
          <w:sz w:val="24"/>
          <w:szCs w:val="24"/>
        </w:rPr>
        <w:t xml:space="preserve">not </w:t>
      </w:r>
      <w:r w:rsidRPr="007543E8">
        <w:rPr>
          <w:sz w:val="24"/>
          <w:szCs w:val="24"/>
        </w:rPr>
        <w:t>the lack of tenure was a</w:t>
      </w:r>
      <w:r>
        <w:rPr>
          <w:sz w:val="24"/>
          <w:szCs w:val="24"/>
        </w:rPr>
        <w:t xml:space="preserve"> barrier to attracting and retaining executive employees</w:t>
      </w:r>
      <w:r w:rsidR="00193E39">
        <w:rPr>
          <w:sz w:val="24"/>
          <w:szCs w:val="24"/>
        </w:rPr>
        <w:t xml:space="preserve">. </w:t>
      </w:r>
      <w:r w:rsidR="00A84963">
        <w:rPr>
          <w:sz w:val="24"/>
          <w:szCs w:val="24"/>
        </w:rPr>
        <w:t>N</w:t>
      </w:r>
      <w:r w:rsidR="00EC51F5">
        <w:rPr>
          <w:sz w:val="24"/>
          <w:szCs w:val="24"/>
        </w:rPr>
        <w:t>o evidence</w:t>
      </w:r>
      <w:r w:rsidR="00A84963">
        <w:rPr>
          <w:sz w:val="24"/>
          <w:szCs w:val="24"/>
        </w:rPr>
        <w:t xml:space="preserve"> was presented to the Tribunal</w:t>
      </w:r>
      <w:r w:rsidR="00EE676F">
        <w:rPr>
          <w:sz w:val="24"/>
          <w:szCs w:val="24"/>
        </w:rPr>
        <w:t xml:space="preserve"> to indicate this </w:t>
      </w:r>
      <w:r w:rsidR="00EC51F5">
        <w:rPr>
          <w:sz w:val="24"/>
          <w:szCs w:val="24"/>
        </w:rPr>
        <w:t xml:space="preserve">was a barrier. </w:t>
      </w:r>
      <w:r w:rsidR="008E3D3E">
        <w:rPr>
          <w:sz w:val="24"/>
          <w:szCs w:val="24"/>
        </w:rPr>
        <w:t xml:space="preserve">The Tribunal notes that </w:t>
      </w:r>
      <w:r w:rsidR="009478F2">
        <w:rPr>
          <w:sz w:val="24"/>
          <w:szCs w:val="24"/>
        </w:rPr>
        <w:t xml:space="preserve">these arrangements have been in place since 1996 and </w:t>
      </w:r>
      <w:r w:rsidR="005D7E9D">
        <w:rPr>
          <w:sz w:val="24"/>
          <w:szCs w:val="24"/>
        </w:rPr>
        <w:t xml:space="preserve">are </w:t>
      </w:r>
      <w:r w:rsidR="009478F2">
        <w:rPr>
          <w:sz w:val="24"/>
          <w:szCs w:val="24"/>
        </w:rPr>
        <w:t xml:space="preserve">now </w:t>
      </w:r>
      <w:r w:rsidR="00EE676F">
        <w:rPr>
          <w:sz w:val="24"/>
          <w:szCs w:val="24"/>
        </w:rPr>
        <w:t xml:space="preserve">considered </w:t>
      </w:r>
      <w:r w:rsidR="009478F2">
        <w:rPr>
          <w:sz w:val="24"/>
          <w:szCs w:val="24"/>
        </w:rPr>
        <w:t>normal practice.</w:t>
      </w:r>
    </w:p>
    <w:tbl>
      <w:tblPr>
        <w:tblStyle w:val="TableGrid"/>
        <w:tblW w:w="0" w:type="auto"/>
        <w:shd w:val="clear" w:color="auto" w:fill="E5DFEC" w:themeFill="accent4" w:themeFillTint="33"/>
        <w:tblLook w:val="04A0" w:firstRow="1" w:lastRow="0" w:firstColumn="1" w:lastColumn="0" w:noHBand="0" w:noVBand="1"/>
      </w:tblPr>
      <w:tblGrid>
        <w:gridCol w:w="9016"/>
      </w:tblGrid>
      <w:tr w:rsidR="00CA32A5" w14:paraId="17BFD633" w14:textId="77777777" w:rsidTr="00B40D89">
        <w:tc>
          <w:tcPr>
            <w:tcW w:w="9016" w:type="dxa"/>
            <w:shd w:val="clear" w:color="auto" w:fill="E5DFEC" w:themeFill="accent4" w:themeFillTint="33"/>
          </w:tcPr>
          <w:p w14:paraId="6CBC8825" w14:textId="0A6F3A12" w:rsidR="00CA32A5" w:rsidRDefault="002A297A" w:rsidP="00C51BB3">
            <w:pPr>
              <w:spacing w:before="120" w:after="120" w:line="276" w:lineRule="auto"/>
              <w:rPr>
                <w:sz w:val="24"/>
                <w:szCs w:val="24"/>
              </w:rPr>
            </w:pPr>
            <w:r w:rsidRPr="005B40E1">
              <w:rPr>
                <w:b/>
                <w:color w:val="000000" w:themeColor="text1"/>
                <w:sz w:val="24"/>
                <w:szCs w:val="24"/>
              </w:rPr>
              <w:t>Decision 2</w:t>
            </w:r>
            <w:r w:rsidR="00B40D89" w:rsidRPr="005B40E1">
              <w:rPr>
                <w:b/>
                <w:color w:val="000000" w:themeColor="text1"/>
                <w:sz w:val="24"/>
                <w:szCs w:val="24"/>
              </w:rPr>
              <w:t>:</w:t>
            </w:r>
            <w:r w:rsidR="00B40D89" w:rsidRPr="005B40E1">
              <w:rPr>
                <w:sz w:val="24"/>
                <w:szCs w:val="24"/>
              </w:rPr>
              <w:t xml:space="preserve"> </w:t>
            </w:r>
            <w:r w:rsidR="007304B0">
              <w:rPr>
                <w:sz w:val="24"/>
                <w:szCs w:val="24"/>
              </w:rPr>
              <w:t>The Tribunal notes the fixed-term contractual arrangement</w:t>
            </w:r>
            <w:r w:rsidR="00193E39">
              <w:rPr>
                <w:sz w:val="24"/>
                <w:szCs w:val="24"/>
              </w:rPr>
              <w:t xml:space="preserve"> currently</w:t>
            </w:r>
            <w:r w:rsidR="007304B0">
              <w:rPr>
                <w:sz w:val="24"/>
                <w:szCs w:val="24"/>
              </w:rPr>
              <w:t xml:space="preserve"> in place </w:t>
            </w:r>
            <w:r w:rsidR="00EC51F5">
              <w:rPr>
                <w:sz w:val="24"/>
                <w:szCs w:val="24"/>
              </w:rPr>
              <w:t xml:space="preserve">for ACTPS executives </w:t>
            </w:r>
            <w:r w:rsidR="007304B0">
              <w:rPr>
                <w:sz w:val="24"/>
                <w:szCs w:val="24"/>
              </w:rPr>
              <w:t xml:space="preserve">and </w:t>
            </w:r>
            <w:r w:rsidR="00C51BB3">
              <w:rPr>
                <w:sz w:val="24"/>
                <w:szCs w:val="24"/>
              </w:rPr>
              <w:t>has no reason to determine</w:t>
            </w:r>
            <w:r w:rsidR="00C51BB3" w:rsidDel="001110CD">
              <w:rPr>
                <w:sz w:val="24"/>
                <w:szCs w:val="24"/>
              </w:rPr>
              <w:t xml:space="preserve"> </w:t>
            </w:r>
            <w:r w:rsidR="00EC51F5">
              <w:rPr>
                <w:sz w:val="24"/>
                <w:szCs w:val="24"/>
              </w:rPr>
              <w:t>that this arrangement is a barrier to attraction and retention</w:t>
            </w:r>
            <w:r w:rsidR="007304B0">
              <w:rPr>
                <w:sz w:val="24"/>
                <w:szCs w:val="24"/>
              </w:rPr>
              <w:t xml:space="preserve">.  </w:t>
            </w:r>
          </w:p>
        </w:tc>
      </w:tr>
    </w:tbl>
    <w:p w14:paraId="04DC9918" w14:textId="497203EB" w:rsidR="008F2DE3" w:rsidRPr="00D67D30" w:rsidRDefault="008F2DE3" w:rsidP="00D67D30">
      <w:pPr>
        <w:pStyle w:val="Heading3"/>
      </w:pPr>
      <w:bookmarkStart w:id="22" w:name="_Toc2327864"/>
      <w:r w:rsidRPr="00D67D30">
        <w:t>Tabling of long term executives in the Legislative Assembly</w:t>
      </w:r>
      <w:bookmarkEnd w:id="22"/>
    </w:p>
    <w:p w14:paraId="1DE9EA57" w14:textId="5CE2B9EC" w:rsidR="008F2DE3" w:rsidRDefault="008F2DE3" w:rsidP="008F2DE3">
      <w:pPr>
        <w:spacing w:before="240" w:after="0"/>
        <w:rPr>
          <w:sz w:val="24"/>
          <w:szCs w:val="24"/>
        </w:rPr>
      </w:pPr>
      <w:r>
        <w:rPr>
          <w:sz w:val="24"/>
          <w:szCs w:val="24"/>
        </w:rPr>
        <w:t>The Chief Minister is required to present to the Legislative Assembly details of long term SES members including their name, classification and whether they are engaged at a salary higher than the base salary. This is a requirement under the PSM Standards</w:t>
      </w:r>
      <w:r w:rsidRPr="00821415">
        <w:rPr>
          <w:rStyle w:val="FootnoteReference"/>
          <w:sz w:val="24"/>
          <w:szCs w:val="24"/>
        </w:rPr>
        <w:footnoteReference w:id="10"/>
      </w:r>
      <w:r>
        <w:rPr>
          <w:sz w:val="24"/>
          <w:szCs w:val="24"/>
        </w:rPr>
        <w:t>.</w:t>
      </w:r>
      <w:r w:rsidR="007B5C48">
        <w:rPr>
          <w:sz w:val="24"/>
          <w:szCs w:val="24"/>
        </w:rPr>
        <w:t xml:space="preserve"> The Tribunal notes that </w:t>
      </w:r>
      <w:r w:rsidR="00247933">
        <w:rPr>
          <w:sz w:val="24"/>
          <w:szCs w:val="24"/>
        </w:rPr>
        <w:t xml:space="preserve">in the interests of </w:t>
      </w:r>
      <w:r w:rsidR="007B5C48">
        <w:rPr>
          <w:sz w:val="24"/>
          <w:szCs w:val="24"/>
        </w:rPr>
        <w:t>transparency,</w:t>
      </w:r>
      <w:r w:rsidR="00247933">
        <w:rPr>
          <w:sz w:val="24"/>
          <w:szCs w:val="24"/>
        </w:rPr>
        <w:t xml:space="preserve"> remuneration rates</w:t>
      </w:r>
      <w:r w:rsidR="007B5C48">
        <w:rPr>
          <w:sz w:val="24"/>
          <w:szCs w:val="24"/>
        </w:rPr>
        <w:t xml:space="preserve"> for executives should be available for scrutiny. </w:t>
      </w:r>
      <w:r w:rsidR="00247933">
        <w:rPr>
          <w:sz w:val="24"/>
          <w:szCs w:val="24"/>
        </w:rPr>
        <w:t xml:space="preserve">   </w:t>
      </w:r>
    </w:p>
    <w:p w14:paraId="45129606" w14:textId="77777777" w:rsidR="00B40D89" w:rsidRDefault="00B40D89" w:rsidP="00B40D89">
      <w:pPr>
        <w:spacing w:after="0" w:line="240" w:lineRule="auto"/>
        <w:rPr>
          <w:sz w:val="24"/>
          <w:szCs w:val="24"/>
        </w:rPr>
      </w:pPr>
    </w:p>
    <w:tbl>
      <w:tblPr>
        <w:tblStyle w:val="TableGrid"/>
        <w:tblW w:w="0" w:type="auto"/>
        <w:shd w:val="clear" w:color="auto" w:fill="E5DFEC" w:themeFill="accent4" w:themeFillTint="33"/>
        <w:tblLook w:val="04A0" w:firstRow="1" w:lastRow="0" w:firstColumn="1" w:lastColumn="0" w:noHBand="0" w:noVBand="1"/>
      </w:tblPr>
      <w:tblGrid>
        <w:gridCol w:w="9016"/>
      </w:tblGrid>
      <w:tr w:rsidR="00B40D89" w14:paraId="28315402" w14:textId="77777777" w:rsidTr="00B40D89">
        <w:tc>
          <w:tcPr>
            <w:tcW w:w="9016" w:type="dxa"/>
            <w:shd w:val="clear" w:color="auto" w:fill="E5DFEC" w:themeFill="accent4" w:themeFillTint="33"/>
          </w:tcPr>
          <w:p w14:paraId="25F7A2E8" w14:textId="32313B61" w:rsidR="00B40D89" w:rsidRDefault="002A297A" w:rsidP="00A53845">
            <w:pPr>
              <w:spacing w:before="120" w:after="120" w:line="276" w:lineRule="auto"/>
              <w:rPr>
                <w:sz w:val="24"/>
                <w:szCs w:val="24"/>
              </w:rPr>
            </w:pPr>
            <w:r w:rsidRPr="007570FB">
              <w:rPr>
                <w:b/>
                <w:color w:val="000000" w:themeColor="text1"/>
                <w:sz w:val="24"/>
                <w:szCs w:val="24"/>
              </w:rPr>
              <w:t xml:space="preserve">Decision </w:t>
            </w:r>
            <w:r>
              <w:rPr>
                <w:b/>
                <w:color w:val="000000" w:themeColor="text1"/>
                <w:sz w:val="24"/>
                <w:szCs w:val="24"/>
              </w:rPr>
              <w:t>3</w:t>
            </w:r>
            <w:r w:rsidRPr="007570FB">
              <w:rPr>
                <w:b/>
                <w:color w:val="000000" w:themeColor="text1"/>
                <w:sz w:val="24"/>
                <w:szCs w:val="24"/>
              </w:rPr>
              <w:t>:</w:t>
            </w:r>
            <w:r w:rsidRPr="007570FB">
              <w:rPr>
                <w:sz w:val="24"/>
                <w:szCs w:val="24"/>
              </w:rPr>
              <w:t xml:space="preserve"> </w:t>
            </w:r>
            <w:r w:rsidR="00B40D89" w:rsidRPr="00261F21">
              <w:rPr>
                <w:sz w:val="24"/>
                <w:szCs w:val="24"/>
              </w:rPr>
              <w:t xml:space="preserve">The Tribunal notes that the </w:t>
            </w:r>
            <w:r w:rsidR="00A53845">
              <w:rPr>
                <w:sz w:val="24"/>
                <w:szCs w:val="24"/>
              </w:rPr>
              <w:t xml:space="preserve">ACT </w:t>
            </w:r>
            <w:r w:rsidR="00B40D89" w:rsidRPr="00261F21">
              <w:rPr>
                <w:sz w:val="24"/>
                <w:szCs w:val="24"/>
              </w:rPr>
              <w:t>Government no longer tables entire executive contract</w:t>
            </w:r>
            <w:r w:rsidR="00A05E65">
              <w:rPr>
                <w:sz w:val="24"/>
                <w:szCs w:val="24"/>
              </w:rPr>
              <w:t>s</w:t>
            </w:r>
            <w:r w:rsidR="00B40D89" w:rsidRPr="00261F21">
              <w:rPr>
                <w:sz w:val="24"/>
                <w:szCs w:val="24"/>
              </w:rPr>
              <w:t xml:space="preserve">. The Tribunal considers this requirement to be a matter for the </w:t>
            </w:r>
            <w:r w:rsidR="00A53845">
              <w:rPr>
                <w:sz w:val="24"/>
                <w:szCs w:val="24"/>
              </w:rPr>
              <w:t xml:space="preserve">ACT </w:t>
            </w:r>
            <w:r w:rsidR="00B40D89" w:rsidRPr="00261F21">
              <w:rPr>
                <w:sz w:val="24"/>
                <w:szCs w:val="24"/>
              </w:rPr>
              <w:t>Government and the Legislative Assembly</w:t>
            </w:r>
            <w:r w:rsidR="00563B93">
              <w:rPr>
                <w:sz w:val="24"/>
                <w:szCs w:val="24"/>
              </w:rPr>
              <w:t>. The Tribunal does not</w:t>
            </w:r>
            <w:r w:rsidR="00B40D89">
              <w:rPr>
                <w:sz w:val="24"/>
                <w:szCs w:val="24"/>
              </w:rPr>
              <w:t xml:space="preserve"> make </w:t>
            </w:r>
            <w:r w:rsidR="00563B93">
              <w:rPr>
                <w:sz w:val="24"/>
                <w:szCs w:val="24"/>
              </w:rPr>
              <w:t xml:space="preserve">any </w:t>
            </w:r>
            <w:r w:rsidR="00B40D89">
              <w:rPr>
                <w:sz w:val="24"/>
                <w:szCs w:val="24"/>
              </w:rPr>
              <w:t>decision</w:t>
            </w:r>
            <w:r w:rsidR="00563B93">
              <w:rPr>
                <w:sz w:val="24"/>
                <w:szCs w:val="24"/>
              </w:rPr>
              <w:t xml:space="preserve"> </w:t>
            </w:r>
            <w:r w:rsidR="00B40D89">
              <w:rPr>
                <w:sz w:val="24"/>
                <w:szCs w:val="24"/>
              </w:rPr>
              <w:t>in relation to this matter</w:t>
            </w:r>
            <w:r w:rsidR="00B40D89" w:rsidRPr="00261F21">
              <w:rPr>
                <w:sz w:val="24"/>
                <w:szCs w:val="24"/>
              </w:rPr>
              <w:t>.</w:t>
            </w:r>
          </w:p>
        </w:tc>
      </w:tr>
    </w:tbl>
    <w:p w14:paraId="0994BDCC" w14:textId="197BC065" w:rsidR="008F2DE3" w:rsidRDefault="008F2DE3" w:rsidP="008F2DE3">
      <w:pPr>
        <w:spacing w:before="240" w:after="0"/>
        <w:rPr>
          <w:sz w:val="24"/>
          <w:szCs w:val="24"/>
        </w:rPr>
      </w:pPr>
      <w:r>
        <w:rPr>
          <w:sz w:val="24"/>
          <w:szCs w:val="24"/>
        </w:rPr>
        <w:t xml:space="preserve">Documents tabled in the Legislative Assembly are available on the </w:t>
      </w:r>
      <w:r w:rsidR="0046088A">
        <w:rPr>
          <w:sz w:val="24"/>
          <w:szCs w:val="24"/>
        </w:rPr>
        <w:t>A</w:t>
      </w:r>
      <w:r>
        <w:rPr>
          <w:sz w:val="24"/>
          <w:szCs w:val="24"/>
        </w:rPr>
        <w:t xml:space="preserve">ssembly website, </w:t>
      </w:r>
      <w:hyperlink r:id="rId30" w:history="1">
        <w:r w:rsidRPr="00F22281">
          <w:rPr>
            <w:rStyle w:val="Hyperlink"/>
            <w:sz w:val="24"/>
            <w:szCs w:val="24"/>
          </w:rPr>
          <w:t>https://www.parliament.act.gov.au/in-the-assembly/tabled_papers</w:t>
        </w:r>
      </w:hyperlink>
      <w:r w:rsidR="00D67D30" w:rsidRPr="00D67D30">
        <w:rPr>
          <w:rStyle w:val="Hyperlink"/>
          <w:color w:val="auto"/>
          <w:sz w:val="24"/>
          <w:szCs w:val="24"/>
          <w:u w:val="none"/>
        </w:rPr>
        <w:t>.</w:t>
      </w:r>
    </w:p>
    <w:p w14:paraId="7A4D99AE" w14:textId="538FB2C6" w:rsidR="00100B0E" w:rsidRDefault="00100B0E" w:rsidP="00100B0E">
      <w:pPr>
        <w:pStyle w:val="Heading3"/>
      </w:pPr>
      <w:bookmarkStart w:id="23" w:name="_Toc2327865"/>
      <w:bookmarkStart w:id="24" w:name="_Toc490469503"/>
      <w:r>
        <w:t>Re-engagements</w:t>
      </w:r>
      <w:bookmarkEnd w:id="23"/>
    </w:p>
    <w:p w14:paraId="52591DDC" w14:textId="61DDDAB0" w:rsidR="00DD19CA" w:rsidRDefault="00E2063B" w:rsidP="00100B0E">
      <w:pPr>
        <w:spacing w:before="240" w:after="120"/>
        <w:rPr>
          <w:sz w:val="24"/>
          <w:szCs w:val="24"/>
        </w:rPr>
      </w:pPr>
      <w:r w:rsidRPr="00E2063B">
        <w:rPr>
          <w:sz w:val="24"/>
          <w:szCs w:val="24"/>
        </w:rPr>
        <w:t xml:space="preserve">ACTPS executives engaged on a long term contract can be re-engaged for a further period of 5 years </w:t>
      </w:r>
      <w:r w:rsidR="00DD19CA" w:rsidRPr="00E2063B">
        <w:rPr>
          <w:sz w:val="24"/>
          <w:szCs w:val="24"/>
        </w:rPr>
        <w:t xml:space="preserve">following a comprehensive performance assessment made by the relevant Director-General and an executive (at a higher level) from another directorate. Prior to the </w:t>
      </w:r>
      <w:r w:rsidR="00DD19CA" w:rsidRPr="00100CCF">
        <w:rPr>
          <w:sz w:val="24"/>
          <w:szCs w:val="24"/>
        </w:rPr>
        <w:t xml:space="preserve">re-engagement being approved, the Head of Service must be satisfied that the respective </w:t>
      </w:r>
      <w:r w:rsidR="003F3C5F">
        <w:rPr>
          <w:sz w:val="24"/>
          <w:szCs w:val="24"/>
        </w:rPr>
        <w:t>executive</w:t>
      </w:r>
      <w:r w:rsidR="00DD19CA" w:rsidRPr="00100CCF">
        <w:rPr>
          <w:sz w:val="24"/>
          <w:szCs w:val="24"/>
        </w:rPr>
        <w:t xml:space="preserve"> has met all expectations set in </w:t>
      </w:r>
      <w:r w:rsidR="003F3C5F">
        <w:rPr>
          <w:sz w:val="24"/>
          <w:szCs w:val="24"/>
        </w:rPr>
        <w:t>their</w:t>
      </w:r>
      <w:r w:rsidR="00DD19CA" w:rsidRPr="00100CCF">
        <w:rPr>
          <w:sz w:val="24"/>
          <w:szCs w:val="24"/>
        </w:rPr>
        <w:t xml:space="preserve"> approved performance agreement</w:t>
      </w:r>
      <w:r w:rsidR="00DD19CA">
        <w:rPr>
          <w:sz w:val="24"/>
          <w:szCs w:val="24"/>
        </w:rPr>
        <w:t>.</w:t>
      </w:r>
    </w:p>
    <w:p w14:paraId="08FD5937" w14:textId="21A1ADF2" w:rsidR="00001BB2" w:rsidRPr="008C1C4E" w:rsidRDefault="00001BB2" w:rsidP="00001BB2">
      <w:pPr>
        <w:rPr>
          <w:sz w:val="24"/>
          <w:szCs w:val="24"/>
        </w:rPr>
      </w:pPr>
      <w:r w:rsidRPr="00F367EC">
        <w:rPr>
          <w:sz w:val="24"/>
          <w:szCs w:val="24"/>
        </w:rPr>
        <w:t>The Tribunal considered whether the re-</w:t>
      </w:r>
      <w:r w:rsidR="006E1EEA" w:rsidRPr="00F367EC">
        <w:rPr>
          <w:sz w:val="24"/>
          <w:szCs w:val="24"/>
        </w:rPr>
        <w:t>engagement</w:t>
      </w:r>
      <w:r w:rsidR="00F367EC" w:rsidRPr="00F367EC">
        <w:rPr>
          <w:sz w:val="24"/>
          <w:szCs w:val="24"/>
        </w:rPr>
        <w:t xml:space="preserve"> </w:t>
      </w:r>
      <w:r w:rsidR="006E1EEA" w:rsidRPr="00F367EC">
        <w:rPr>
          <w:sz w:val="24"/>
          <w:szCs w:val="24"/>
        </w:rPr>
        <w:t>arrangements</w:t>
      </w:r>
      <w:r w:rsidR="00F367EC" w:rsidRPr="00F367EC">
        <w:rPr>
          <w:sz w:val="24"/>
          <w:szCs w:val="24"/>
        </w:rPr>
        <w:t xml:space="preserve"> were preventing retention of executives within the ACTPS. </w:t>
      </w:r>
      <w:r w:rsidRPr="00F367EC">
        <w:rPr>
          <w:sz w:val="24"/>
          <w:szCs w:val="24"/>
        </w:rPr>
        <w:t xml:space="preserve">The Tribunal noted the provision in the </w:t>
      </w:r>
      <w:r w:rsidR="00A05E65">
        <w:rPr>
          <w:sz w:val="24"/>
          <w:szCs w:val="24"/>
        </w:rPr>
        <w:br/>
      </w:r>
      <w:r w:rsidRPr="00F367EC">
        <w:rPr>
          <w:sz w:val="24"/>
          <w:szCs w:val="24"/>
        </w:rPr>
        <w:t>PSM Standards which provide</w:t>
      </w:r>
      <w:r w:rsidR="0046088A">
        <w:rPr>
          <w:sz w:val="24"/>
          <w:szCs w:val="24"/>
        </w:rPr>
        <w:t>s</w:t>
      </w:r>
      <w:r w:rsidRPr="00F367EC">
        <w:rPr>
          <w:sz w:val="24"/>
          <w:szCs w:val="24"/>
        </w:rPr>
        <w:t xml:space="preserve"> for the Head of Service to approve salary up to 10</w:t>
      </w:r>
      <w:r w:rsidR="001B5103">
        <w:rPr>
          <w:sz w:val="24"/>
          <w:szCs w:val="24"/>
        </w:rPr>
        <w:t xml:space="preserve"> per cent</w:t>
      </w:r>
      <w:r w:rsidR="001B5103" w:rsidRPr="00F367EC">
        <w:rPr>
          <w:sz w:val="24"/>
          <w:szCs w:val="24"/>
        </w:rPr>
        <w:t xml:space="preserve"> </w:t>
      </w:r>
      <w:r w:rsidRPr="00F367EC">
        <w:rPr>
          <w:sz w:val="24"/>
          <w:szCs w:val="24"/>
        </w:rPr>
        <w:t>higher than the base salary in certain circumstances. The provision is used to attract</w:t>
      </w:r>
      <w:r w:rsidR="00F367EC" w:rsidRPr="00F367EC">
        <w:rPr>
          <w:sz w:val="24"/>
          <w:szCs w:val="24"/>
        </w:rPr>
        <w:t xml:space="preserve"> new executiv</w:t>
      </w:r>
      <w:r w:rsidR="00F367EC">
        <w:rPr>
          <w:sz w:val="24"/>
          <w:szCs w:val="24"/>
        </w:rPr>
        <w:t xml:space="preserve">es to the ACTPS but it also has </w:t>
      </w:r>
      <w:r w:rsidR="006E1EEA">
        <w:rPr>
          <w:sz w:val="24"/>
          <w:szCs w:val="24"/>
        </w:rPr>
        <w:t>a</w:t>
      </w:r>
      <w:r w:rsidR="00F367EC">
        <w:rPr>
          <w:sz w:val="24"/>
          <w:szCs w:val="24"/>
        </w:rPr>
        <w:t xml:space="preserve"> retention element. The provision is </w:t>
      </w:r>
      <w:r w:rsidRPr="008C1C4E">
        <w:rPr>
          <w:sz w:val="24"/>
          <w:szCs w:val="24"/>
        </w:rPr>
        <w:t xml:space="preserve">discussed </w:t>
      </w:r>
      <w:r w:rsidR="00F367EC">
        <w:rPr>
          <w:sz w:val="24"/>
          <w:szCs w:val="24"/>
        </w:rPr>
        <w:t xml:space="preserve">in more detail </w:t>
      </w:r>
      <w:r w:rsidR="00C51BB3">
        <w:rPr>
          <w:sz w:val="24"/>
          <w:szCs w:val="24"/>
        </w:rPr>
        <w:t>in the section titled ‘</w:t>
      </w:r>
      <w:r w:rsidR="00C51BB3" w:rsidRPr="00C51BB3">
        <w:rPr>
          <w:sz w:val="24"/>
          <w:szCs w:val="24"/>
        </w:rPr>
        <w:t>Additional salary in unusual or special circumstances</w:t>
      </w:r>
      <w:r w:rsidR="00C51BB3">
        <w:rPr>
          <w:sz w:val="24"/>
          <w:szCs w:val="24"/>
        </w:rPr>
        <w:t>’</w:t>
      </w:r>
      <w:r w:rsidRPr="00D67086">
        <w:rPr>
          <w:sz w:val="24"/>
          <w:szCs w:val="24"/>
        </w:rPr>
        <w:t>.</w:t>
      </w:r>
      <w:r w:rsidR="00C9551A">
        <w:rPr>
          <w:sz w:val="24"/>
          <w:szCs w:val="24"/>
        </w:rPr>
        <w:t xml:space="preserve"> </w:t>
      </w:r>
      <w:r w:rsidR="006B4C10">
        <w:rPr>
          <w:sz w:val="24"/>
          <w:szCs w:val="24"/>
        </w:rPr>
        <w:t xml:space="preserve"> </w:t>
      </w:r>
    </w:p>
    <w:p w14:paraId="648DBDE5" w14:textId="3A03C58E" w:rsidR="00393E1F" w:rsidRPr="00CA32A5" w:rsidRDefault="00967308" w:rsidP="00393E1F">
      <w:pPr>
        <w:rPr>
          <w:sz w:val="24"/>
          <w:szCs w:val="24"/>
        </w:rPr>
      </w:pPr>
      <w:r w:rsidRPr="00CA32A5">
        <w:rPr>
          <w:sz w:val="24"/>
          <w:szCs w:val="24"/>
        </w:rPr>
        <w:lastRenderedPageBreak/>
        <w:t xml:space="preserve">The Tribunal explored </w:t>
      </w:r>
      <w:r w:rsidR="00220BD5" w:rsidRPr="00CA32A5">
        <w:rPr>
          <w:sz w:val="24"/>
          <w:szCs w:val="24"/>
        </w:rPr>
        <w:t>some retention strate</w:t>
      </w:r>
      <w:r w:rsidR="00CA32A5" w:rsidRPr="00CA32A5">
        <w:rPr>
          <w:sz w:val="24"/>
          <w:szCs w:val="24"/>
        </w:rPr>
        <w:t>gies from other jurisdictions, and found that a</w:t>
      </w:r>
      <w:r w:rsidR="00D31FA9" w:rsidRPr="00CA32A5">
        <w:rPr>
          <w:sz w:val="24"/>
          <w:szCs w:val="24"/>
        </w:rPr>
        <w:t>ll jurisdictions have the ability to remunerate executives above the total remuneration package</w:t>
      </w:r>
      <w:r w:rsidR="00CA32A5" w:rsidRPr="00CA32A5">
        <w:rPr>
          <w:sz w:val="24"/>
          <w:szCs w:val="24"/>
        </w:rPr>
        <w:t>.</w:t>
      </w:r>
    </w:p>
    <w:p w14:paraId="54F01B48" w14:textId="1F170807" w:rsidR="00741505" w:rsidRPr="007A438C" w:rsidRDefault="006330C1" w:rsidP="00741505">
      <w:pPr>
        <w:rPr>
          <w:sz w:val="24"/>
          <w:szCs w:val="24"/>
        </w:rPr>
      </w:pPr>
      <w:r>
        <w:rPr>
          <w:sz w:val="24"/>
          <w:szCs w:val="24"/>
        </w:rPr>
        <w:t xml:space="preserve">The APS </w:t>
      </w:r>
      <w:r w:rsidR="002B58C0">
        <w:rPr>
          <w:sz w:val="24"/>
          <w:szCs w:val="24"/>
        </w:rPr>
        <w:t xml:space="preserve">has </w:t>
      </w:r>
      <w:r w:rsidR="008C6866">
        <w:rPr>
          <w:sz w:val="24"/>
          <w:szCs w:val="24"/>
        </w:rPr>
        <w:t>a range of incentive</w:t>
      </w:r>
      <w:r w:rsidR="00CA32A5">
        <w:rPr>
          <w:sz w:val="24"/>
          <w:szCs w:val="24"/>
        </w:rPr>
        <w:t xml:space="preserve"> </w:t>
      </w:r>
      <w:r w:rsidR="008C6866">
        <w:rPr>
          <w:sz w:val="24"/>
          <w:szCs w:val="24"/>
        </w:rPr>
        <w:t>bonus</w:t>
      </w:r>
      <w:r w:rsidR="00CA32A5">
        <w:rPr>
          <w:sz w:val="24"/>
          <w:szCs w:val="24"/>
        </w:rPr>
        <w:t xml:space="preserve">es for their executives. </w:t>
      </w:r>
      <w:r w:rsidR="002B58C0">
        <w:rPr>
          <w:sz w:val="24"/>
          <w:szCs w:val="24"/>
        </w:rPr>
        <w:t>However</w:t>
      </w:r>
      <w:r w:rsidR="002E216F">
        <w:rPr>
          <w:sz w:val="24"/>
          <w:szCs w:val="24"/>
        </w:rPr>
        <w:t>, t</w:t>
      </w:r>
      <w:r w:rsidR="00CA32A5">
        <w:rPr>
          <w:sz w:val="24"/>
          <w:szCs w:val="24"/>
        </w:rPr>
        <w:t>he 2017 APSC Remuneration Report noted a steady decline i</w:t>
      </w:r>
      <w:r w:rsidR="00741505" w:rsidRPr="007A438C">
        <w:rPr>
          <w:sz w:val="24"/>
          <w:szCs w:val="24"/>
        </w:rPr>
        <w:t>n the proportion of APS SES employees who receive</w:t>
      </w:r>
      <w:r w:rsidR="002E216F">
        <w:rPr>
          <w:sz w:val="24"/>
          <w:szCs w:val="24"/>
        </w:rPr>
        <w:t>d</w:t>
      </w:r>
      <w:r w:rsidR="00741505" w:rsidRPr="007A438C">
        <w:rPr>
          <w:sz w:val="24"/>
          <w:szCs w:val="24"/>
        </w:rPr>
        <w:t xml:space="preserve"> </w:t>
      </w:r>
      <w:r w:rsidR="00741505">
        <w:rPr>
          <w:sz w:val="24"/>
          <w:szCs w:val="24"/>
        </w:rPr>
        <w:t>incentive bonus</w:t>
      </w:r>
      <w:r w:rsidR="002B58C0">
        <w:rPr>
          <w:sz w:val="24"/>
          <w:szCs w:val="24"/>
        </w:rPr>
        <w:t>es</w:t>
      </w:r>
      <w:r w:rsidR="00CA32A5" w:rsidRPr="00CA32A5">
        <w:rPr>
          <w:sz w:val="24"/>
          <w:szCs w:val="24"/>
        </w:rPr>
        <w:t xml:space="preserve"> </w:t>
      </w:r>
      <w:r w:rsidR="00CA32A5">
        <w:rPr>
          <w:sz w:val="24"/>
          <w:szCs w:val="24"/>
        </w:rPr>
        <w:t xml:space="preserve">over the </w:t>
      </w:r>
      <w:r w:rsidR="00CA32A5" w:rsidRPr="007A438C">
        <w:rPr>
          <w:sz w:val="24"/>
          <w:szCs w:val="24"/>
        </w:rPr>
        <w:t>past five years</w:t>
      </w:r>
      <w:r w:rsidR="00741505">
        <w:rPr>
          <w:sz w:val="24"/>
          <w:szCs w:val="24"/>
        </w:rPr>
        <w:t xml:space="preserve">, </w:t>
      </w:r>
      <w:r w:rsidR="00741505" w:rsidRPr="00CA32A5">
        <w:rPr>
          <w:sz w:val="24"/>
          <w:szCs w:val="24"/>
        </w:rPr>
        <w:t>specifically p</w:t>
      </w:r>
      <w:r w:rsidR="00741505" w:rsidRPr="007A438C">
        <w:rPr>
          <w:sz w:val="24"/>
          <w:szCs w:val="24"/>
        </w:rPr>
        <w:t>erformance bonuses</w:t>
      </w:r>
      <w:r w:rsidR="00741505" w:rsidRPr="007A438C">
        <w:rPr>
          <w:rStyle w:val="FootnoteReference"/>
          <w:sz w:val="24"/>
          <w:szCs w:val="24"/>
        </w:rPr>
        <w:footnoteReference w:id="11"/>
      </w:r>
      <w:r w:rsidR="00741505" w:rsidRPr="007A438C">
        <w:rPr>
          <w:sz w:val="24"/>
          <w:szCs w:val="24"/>
        </w:rPr>
        <w:t xml:space="preserve">. </w:t>
      </w:r>
      <w:r w:rsidR="00741505" w:rsidRPr="00561A8C">
        <w:rPr>
          <w:sz w:val="24"/>
          <w:szCs w:val="24"/>
        </w:rPr>
        <w:t>In 2016, Victoria removed performance</w:t>
      </w:r>
      <w:r w:rsidR="00FC40FB">
        <w:rPr>
          <w:sz w:val="24"/>
          <w:szCs w:val="24"/>
        </w:rPr>
        <w:t>-</w:t>
      </w:r>
      <w:r w:rsidR="00741505" w:rsidRPr="00561A8C">
        <w:rPr>
          <w:sz w:val="24"/>
          <w:szCs w:val="24"/>
        </w:rPr>
        <w:t>related incentive payments from th</w:t>
      </w:r>
      <w:r w:rsidR="00E36153">
        <w:rPr>
          <w:sz w:val="24"/>
          <w:szCs w:val="24"/>
        </w:rPr>
        <w:t xml:space="preserve">eir public service executive </w:t>
      </w:r>
      <w:r w:rsidR="00741505" w:rsidRPr="00561A8C">
        <w:rPr>
          <w:sz w:val="24"/>
          <w:szCs w:val="24"/>
        </w:rPr>
        <w:t>remuneration polic</w:t>
      </w:r>
      <w:r w:rsidR="00E36153">
        <w:rPr>
          <w:sz w:val="24"/>
          <w:szCs w:val="24"/>
        </w:rPr>
        <w:t>y</w:t>
      </w:r>
      <w:r w:rsidR="00741505" w:rsidRPr="00561A8C">
        <w:rPr>
          <w:sz w:val="24"/>
          <w:szCs w:val="24"/>
        </w:rPr>
        <w:t xml:space="preserve"> following a review finding that the bonuses ha</w:t>
      </w:r>
      <w:r w:rsidR="00E36153">
        <w:rPr>
          <w:sz w:val="24"/>
          <w:szCs w:val="24"/>
        </w:rPr>
        <w:t>d</w:t>
      </w:r>
      <w:r w:rsidR="00741505" w:rsidRPr="00561A8C">
        <w:rPr>
          <w:sz w:val="24"/>
          <w:szCs w:val="24"/>
        </w:rPr>
        <w:t xml:space="preserve"> not been effective in driving performance</w:t>
      </w:r>
      <w:r w:rsidR="00741505" w:rsidRPr="00561A8C">
        <w:rPr>
          <w:rStyle w:val="FootnoteReference"/>
          <w:sz w:val="24"/>
          <w:szCs w:val="24"/>
        </w:rPr>
        <w:footnoteReference w:id="12"/>
      </w:r>
      <w:r w:rsidR="00741505" w:rsidRPr="00561A8C">
        <w:rPr>
          <w:sz w:val="24"/>
          <w:szCs w:val="24"/>
        </w:rPr>
        <w:t>.</w:t>
      </w:r>
    </w:p>
    <w:p w14:paraId="66F3B698" w14:textId="62F04F3F" w:rsidR="00536954" w:rsidRPr="00436871" w:rsidRDefault="002E216F" w:rsidP="00536954">
      <w:pPr>
        <w:rPr>
          <w:color w:val="FF0000"/>
          <w:sz w:val="24"/>
          <w:szCs w:val="24"/>
        </w:rPr>
      </w:pPr>
      <w:r>
        <w:rPr>
          <w:sz w:val="24"/>
          <w:szCs w:val="24"/>
        </w:rPr>
        <w:t>The Tribunal notes that i</w:t>
      </w:r>
      <w:r w:rsidR="00741505">
        <w:rPr>
          <w:sz w:val="24"/>
          <w:szCs w:val="24"/>
        </w:rPr>
        <w:t xml:space="preserve">ncentive </w:t>
      </w:r>
      <w:r w:rsidR="006330C1" w:rsidRPr="007A438C">
        <w:rPr>
          <w:sz w:val="24"/>
          <w:szCs w:val="24"/>
        </w:rPr>
        <w:t>payment</w:t>
      </w:r>
      <w:r w:rsidR="00563B93">
        <w:rPr>
          <w:sz w:val="24"/>
          <w:szCs w:val="24"/>
        </w:rPr>
        <w:t>s</w:t>
      </w:r>
      <w:r w:rsidR="006330C1" w:rsidRPr="007A438C">
        <w:rPr>
          <w:sz w:val="24"/>
          <w:szCs w:val="24"/>
        </w:rPr>
        <w:t xml:space="preserve"> for executives </w:t>
      </w:r>
      <w:r w:rsidR="00CF7E92" w:rsidRPr="007A438C">
        <w:rPr>
          <w:sz w:val="24"/>
          <w:szCs w:val="24"/>
        </w:rPr>
        <w:t xml:space="preserve">across other jurisdictions </w:t>
      </w:r>
      <w:r w:rsidR="006330C1" w:rsidRPr="007A438C">
        <w:rPr>
          <w:sz w:val="24"/>
          <w:szCs w:val="24"/>
        </w:rPr>
        <w:t>appear to be rare</w:t>
      </w:r>
      <w:r w:rsidR="008C6866">
        <w:rPr>
          <w:sz w:val="24"/>
          <w:szCs w:val="24"/>
        </w:rPr>
        <w:t xml:space="preserve">. </w:t>
      </w:r>
    </w:p>
    <w:p w14:paraId="0DD247B1" w14:textId="519BADCA" w:rsidR="00220BD5" w:rsidRPr="00561A8C" w:rsidRDefault="00220BD5" w:rsidP="00CA5CFF">
      <w:pPr>
        <w:rPr>
          <w:sz w:val="24"/>
          <w:szCs w:val="24"/>
        </w:rPr>
      </w:pPr>
      <w:r w:rsidRPr="00561A8C">
        <w:rPr>
          <w:sz w:val="24"/>
          <w:szCs w:val="24"/>
        </w:rPr>
        <w:t xml:space="preserve">The </w:t>
      </w:r>
      <w:r w:rsidR="00CA5CFF" w:rsidRPr="00561A8C">
        <w:rPr>
          <w:sz w:val="24"/>
          <w:szCs w:val="24"/>
        </w:rPr>
        <w:t>NSW</w:t>
      </w:r>
      <w:r w:rsidRPr="00561A8C">
        <w:rPr>
          <w:sz w:val="24"/>
          <w:szCs w:val="24"/>
        </w:rPr>
        <w:t xml:space="preserve"> R</w:t>
      </w:r>
      <w:r w:rsidR="00CA5CFF" w:rsidRPr="00561A8C">
        <w:rPr>
          <w:sz w:val="24"/>
          <w:szCs w:val="24"/>
        </w:rPr>
        <w:t>emuneration Tribunal</w:t>
      </w:r>
      <w:r w:rsidRPr="00561A8C">
        <w:rPr>
          <w:sz w:val="24"/>
          <w:szCs w:val="24"/>
        </w:rPr>
        <w:t xml:space="preserve"> has provision in </w:t>
      </w:r>
      <w:r w:rsidR="0077424F">
        <w:rPr>
          <w:sz w:val="24"/>
          <w:szCs w:val="24"/>
        </w:rPr>
        <w:t>its</w:t>
      </w:r>
      <w:r w:rsidR="0077424F" w:rsidRPr="00561A8C">
        <w:rPr>
          <w:sz w:val="24"/>
          <w:szCs w:val="24"/>
        </w:rPr>
        <w:t xml:space="preserve"> </w:t>
      </w:r>
      <w:r w:rsidRPr="00561A8C">
        <w:rPr>
          <w:sz w:val="24"/>
          <w:szCs w:val="24"/>
        </w:rPr>
        <w:t xml:space="preserve">legislation – </w:t>
      </w:r>
      <w:r w:rsidR="00263E83">
        <w:rPr>
          <w:sz w:val="24"/>
          <w:szCs w:val="24"/>
        </w:rPr>
        <w:t xml:space="preserve">the </w:t>
      </w:r>
      <w:r w:rsidRPr="0050318B">
        <w:rPr>
          <w:i/>
          <w:sz w:val="24"/>
          <w:szCs w:val="24"/>
        </w:rPr>
        <w:t>Statutory and Other Offices Remuneration Act 1975</w:t>
      </w:r>
      <w:r w:rsidRPr="00561A8C">
        <w:rPr>
          <w:sz w:val="24"/>
          <w:szCs w:val="24"/>
        </w:rPr>
        <w:t xml:space="preserve"> – to alter, on request by the Minister, the standard executive remuneration package for particular senior executives</w:t>
      </w:r>
      <w:r w:rsidRPr="00561A8C">
        <w:rPr>
          <w:rStyle w:val="FootnoteReference"/>
          <w:sz w:val="24"/>
          <w:szCs w:val="24"/>
        </w:rPr>
        <w:footnoteReference w:id="13"/>
      </w:r>
      <w:r w:rsidRPr="00561A8C">
        <w:rPr>
          <w:sz w:val="24"/>
          <w:szCs w:val="24"/>
        </w:rPr>
        <w:t>.</w:t>
      </w:r>
      <w:r w:rsidR="00BC2896" w:rsidRPr="00561A8C">
        <w:rPr>
          <w:sz w:val="24"/>
          <w:szCs w:val="24"/>
        </w:rPr>
        <w:t xml:space="preserve"> This appears to provide a useful attraction and retention tool for the </w:t>
      </w:r>
      <w:r w:rsidR="004273E3" w:rsidRPr="00561A8C">
        <w:rPr>
          <w:sz w:val="24"/>
          <w:szCs w:val="24"/>
        </w:rPr>
        <w:t xml:space="preserve">NSW Government. </w:t>
      </w:r>
    </w:p>
    <w:tbl>
      <w:tblPr>
        <w:tblStyle w:val="TableGrid"/>
        <w:tblW w:w="0" w:type="auto"/>
        <w:shd w:val="clear" w:color="auto" w:fill="E5DFEC" w:themeFill="accent4" w:themeFillTint="33"/>
        <w:tblLook w:val="04A0" w:firstRow="1" w:lastRow="0" w:firstColumn="1" w:lastColumn="0" w:noHBand="0" w:noVBand="1"/>
      </w:tblPr>
      <w:tblGrid>
        <w:gridCol w:w="9016"/>
      </w:tblGrid>
      <w:tr w:rsidR="00F53FE8" w:rsidRPr="00C9551A" w14:paraId="42A5DE4E" w14:textId="438A5D76" w:rsidTr="00CF7E92">
        <w:tc>
          <w:tcPr>
            <w:tcW w:w="9016" w:type="dxa"/>
            <w:shd w:val="clear" w:color="auto" w:fill="E5DFEC" w:themeFill="accent4" w:themeFillTint="33"/>
          </w:tcPr>
          <w:p w14:paraId="15218988" w14:textId="74000361" w:rsidR="00C9551A" w:rsidRPr="00C9551A" w:rsidRDefault="002A297A" w:rsidP="00872B92">
            <w:pPr>
              <w:spacing w:before="120" w:after="120" w:line="276" w:lineRule="auto"/>
              <w:rPr>
                <w:b/>
                <w:color w:val="000000" w:themeColor="text1"/>
                <w:sz w:val="24"/>
                <w:szCs w:val="24"/>
              </w:rPr>
            </w:pPr>
            <w:r w:rsidRPr="007570FB">
              <w:rPr>
                <w:b/>
                <w:color w:val="000000" w:themeColor="text1"/>
                <w:sz w:val="24"/>
                <w:szCs w:val="24"/>
              </w:rPr>
              <w:t xml:space="preserve">Decision </w:t>
            </w:r>
            <w:r>
              <w:rPr>
                <w:b/>
                <w:color w:val="000000" w:themeColor="text1"/>
                <w:sz w:val="24"/>
                <w:szCs w:val="24"/>
              </w:rPr>
              <w:t>4</w:t>
            </w:r>
            <w:r w:rsidRPr="007570FB">
              <w:rPr>
                <w:b/>
                <w:color w:val="000000" w:themeColor="text1"/>
                <w:sz w:val="24"/>
                <w:szCs w:val="24"/>
              </w:rPr>
              <w:t>:</w:t>
            </w:r>
            <w:r w:rsidRPr="00C9551A">
              <w:rPr>
                <w:b/>
                <w:color w:val="000000" w:themeColor="text1"/>
                <w:sz w:val="24"/>
                <w:szCs w:val="24"/>
              </w:rPr>
              <w:t xml:space="preserve"> </w:t>
            </w:r>
            <w:r w:rsidR="00740633" w:rsidRPr="00E72415">
              <w:rPr>
                <w:color w:val="000000" w:themeColor="text1"/>
                <w:sz w:val="24"/>
                <w:szCs w:val="24"/>
              </w:rPr>
              <w:t xml:space="preserve">The Tribunal </w:t>
            </w:r>
            <w:r w:rsidR="00B91F4F">
              <w:rPr>
                <w:color w:val="000000" w:themeColor="text1"/>
                <w:sz w:val="24"/>
                <w:szCs w:val="24"/>
              </w:rPr>
              <w:t>is of the view</w:t>
            </w:r>
            <w:r w:rsidR="00B91F4F" w:rsidRPr="00E72415">
              <w:rPr>
                <w:color w:val="000000" w:themeColor="text1"/>
                <w:sz w:val="24"/>
                <w:szCs w:val="24"/>
              </w:rPr>
              <w:t xml:space="preserve"> </w:t>
            </w:r>
            <w:r w:rsidR="00872B92">
              <w:rPr>
                <w:color w:val="000000" w:themeColor="text1"/>
                <w:sz w:val="24"/>
                <w:szCs w:val="24"/>
              </w:rPr>
              <w:t xml:space="preserve">that </w:t>
            </w:r>
            <w:r w:rsidR="009478F2" w:rsidRPr="00E72415">
              <w:rPr>
                <w:color w:val="000000" w:themeColor="text1"/>
                <w:sz w:val="24"/>
                <w:szCs w:val="24"/>
              </w:rPr>
              <w:t xml:space="preserve">the current re-engagement process </w:t>
            </w:r>
            <w:r w:rsidR="00872B92">
              <w:rPr>
                <w:color w:val="000000" w:themeColor="text1"/>
                <w:sz w:val="24"/>
                <w:szCs w:val="24"/>
              </w:rPr>
              <w:t xml:space="preserve">is </w:t>
            </w:r>
            <w:r w:rsidR="009478F2" w:rsidRPr="00E72415">
              <w:rPr>
                <w:color w:val="000000" w:themeColor="text1"/>
                <w:sz w:val="24"/>
                <w:szCs w:val="24"/>
              </w:rPr>
              <w:t xml:space="preserve">appropriate and </w:t>
            </w:r>
            <w:r w:rsidR="0040752F" w:rsidRPr="00E72415">
              <w:rPr>
                <w:color w:val="000000" w:themeColor="text1"/>
                <w:sz w:val="24"/>
                <w:szCs w:val="24"/>
              </w:rPr>
              <w:t>makes no</w:t>
            </w:r>
            <w:r w:rsidR="000740E5" w:rsidRPr="00E72415">
              <w:rPr>
                <w:color w:val="000000" w:themeColor="text1"/>
                <w:sz w:val="24"/>
                <w:szCs w:val="24"/>
              </w:rPr>
              <w:t xml:space="preserve"> recommendations </w:t>
            </w:r>
            <w:r w:rsidR="009478F2" w:rsidRPr="00E72415">
              <w:rPr>
                <w:color w:val="000000" w:themeColor="text1"/>
                <w:sz w:val="24"/>
                <w:szCs w:val="24"/>
              </w:rPr>
              <w:t>in this area.</w:t>
            </w:r>
            <w:r w:rsidR="00740633" w:rsidRPr="00E72415">
              <w:rPr>
                <w:color w:val="000000" w:themeColor="text1"/>
                <w:sz w:val="24"/>
                <w:szCs w:val="24"/>
              </w:rPr>
              <w:t xml:space="preserve">  </w:t>
            </w:r>
          </w:p>
        </w:tc>
      </w:tr>
    </w:tbl>
    <w:p w14:paraId="0C77AC3B" w14:textId="141D3F97" w:rsidR="00244015" w:rsidRPr="00015E1D" w:rsidRDefault="00A05E65" w:rsidP="00244015">
      <w:pPr>
        <w:pStyle w:val="Heading3"/>
      </w:pPr>
      <w:bookmarkStart w:id="25" w:name="_Toc2327866"/>
      <w:r>
        <w:t>Inter</w:t>
      </w:r>
      <w:r w:rsidR="009478F2">
        <w:t>n</w:t>
      </w:r>
      <w:r>
        <w:t>al e</w:t>
      </w:r>
      <w:r w:rsidR="00244015" w:rsidRPr="00015E1D">
        <w:t>xecutive comparability and mobility</w:t>
      </w:r>
      <w:bookmarkEnd w:id="24"/>
      <w:bookmarkEnd w:id="25"/>
      <w:r w:rsidR="00244015" w:rsidRPr="00015E1D">
        <w:t xml:space="preserve"> </w:t>
      </w:r>
    </w:p>
    <w:p w14:paraId="59FE39A6" w14:textId="71EED9A6" w:rsidR="00926CBB" w:rsidRDefault="00076112" w:rsidP="00244015">
      <w:pPr>
        <w:spacing w:before="240" w:after="120"/>
        <w:rPr>
          <w:sz w:val="24"/>
          <w:szCs w:val="24"/>
        </w:rPr>
      </w:pPr>
      <w:r>
        <w:rPr>
          <w:sz w:val="24"/>
          <w:szCs w:val="24"/>
        </w:rPr>
        <w:t>ACTPS executive</w:t>
      </w:r>
      <w:r w:rsidR="007F239D">
        <w:rPr>
          <w:sz w:val="24"/>
          <w:szCs w:val="24"/>
        </w:rPr>
        <w:t>s</w:t>
      </w:r>
      <w:r>
        <w:rPr>
          <w:sz w:val="24"/>
          <w:szCs w:val="24"/>
        </w:rPr>
        <w:t xml:space="preserve"> are engaged as members of the SES rather than in specific positions</w:t>
      </w:r>
      <w:r w:rsidR="006369DE">
        <w:rPr>
          <w:sz w:val="24"/>
          <w:szCs w:val="24"/>
        </w:rPr>
        <w:t>, which is a significant change from earlier arrangements</w:t>
      </w:r>
      <w:r>
        <w:rPr>
          <w:sz w:val="24"/>
          <w:szCs w:val="24"/>
        </w:rPr>
        <w:t>. Th</w:t>
      </w:r>
      <w:r w:rsidR="00BA1F3E">
        <w:rPr>
          <w:sz w:val="24"/>
          <w:szCs w:val="24"/>
        </w:rPr>
        <w:t xml:space="preserve">is </w:t>
      </w:r>
      <w:r>
        <w:rPr>
          <w:sz w:val="24"/>
          <w:szCs w:val="24"/>
        </w:rPr>
        <w:t xml:space="preserve">arrangement </w:t>
      </w:r>
      <w:r w:rsidR="00BA1F3E">
        <w:rPr>
          <w:sz w:val="24"/>
          <w:szCs w:val="24"/>
        </w:rPr>
        <w:t>provides the administrative mechanism</w:t>
      </w:r>
      <w:r>
        <w:rPr>
          <w:sz w:val="24"/>
          <w:szCs w:val="24"/>
        </w:rPr>
        <w:t xml:space="preserve"> to ensure that mobility across the </w:t>
      </w:r>
      <w:r w:rsidR="003F3C5F">
        <w:rPr>
          <w:sz w:val="24"/>
          <w:szCs w:val="24"/>
        </w:rPr>
        <w:t xml:space="preserve">Service </w:t>
      </w:r>
      <w:r>
        <w:rPr>
          <w:sz w:val="24"/>
          <w:szCs w:val="24"/>
        </w:rPr>
        <w:t>can be facilitated efficiently</w:t>
      </w:r>
      <w:r w:rsidR="00BA1F3E">
        <w:rPr>
          <w:sz w:val="24"/>
          <w:szCs w:val="24"/>
        </w:rPr>
        <w:t>.</w:t>
      </w:r>
      <w:r>
        <w:rPr>
          <w:sz w:val="24"/>
          <w:szCs w:val="24"/>
        </w:rPr>
        <w:t xml:space="preserve"> </w:t>
      </w:r>
    </w:p>
    <w:p w14:paraId="618138A6" w14:textId="309F3A28" w:rsidR="00015E1D" w:rsidRDefault="00015E1D" w:rsidP="00015E1D">
      <w:pPr>
        <w:rPr>
          <w:sz w:val="24"/>
          <w:szCs w:val="24"/>
        </w:rPr>
      </w:pPr>
      <w:r>
        <w:rPr>
          <w:sz w:val="24"/>
          <w:szCs w:val="24"/>
        </w:rPr>
        <w:t>The ACTPS also supports mobility of their executives with opportunities for short term or long term mobility movement</w:t>
      </w:r>
      <w:r w:rsidR="007F2AAE">
        <w:rPr>
          <w:sz w:val="24"/>
          <w:szCs w:val="24"/>
        </w:rPr>
        <w:t>s</w:t>
      </w:r>
      <w:r>
        <w:rPr>
          <w:sz w:val="24"/>
          <w:szCs w:val="24"/>
        </w:rPr>
        <w:t xml:space="preserve"> across the Service</w:t>
      </w:r>
      <w:r>
        <w:rPr>
          <w:rStyle w:val="FootnoteReference"/>
          <w:sz w:val="24"/>
          <w:szCs w:val="24"/>
        </w:rPr>
        <w:footnoteReference w:id="14"/>
      </w:r>
      <w:r>
        <w:rPr>
          <w:sz w:val="24"/>
          <w:szCs w:val="24"/>
        </w:rPr>
        <w:t xml:space="preserve">.  </w:t>
      </w:r>
    </w:p>
    <w:p w14:paraId="7A7C4345" w14:textId="77777777" w:rsidR="00F64ADD" w:rsidRDefault="00F64ADD">
      <w:pPr>
        <w:rPr>
          <w:sz w:val="24"/>
          <w:szCs w:val="24"/>
        </w:rPr>
      </w:pPr>
      <w:r>
        <w:rPr>
          <w:sz w:val="24"/>
          <w:szCs w:val="24"/>
        </w:rPr>
        <w:br w:type="page"/>
      </w:r>
    </w:p>
    <w:p w14:paraId="519C9FA2" w14:textId="28665FF7" w:rsidR="00E72415" w:rsidRDefault="003567A8" w:rsidP="00721055">
      <w:pPr>
        <w:spacing w:before="240"/>
        <w:rPr>
          <w:sz w:val="24"/>
          <w:szCs w:val="24"/>
        </w:rPr>
      </w:pPr>
      <w:r>
        <w:rPr>
          <w:sz w:val="24"/>
          <w:szCs w:val="24"/>
        </w:rPr>
        <w:lastRenderedPageBreak/>
        <w:t xml:space="preserve">The </w:t>
      </w:r>
      <w:r w:rsidR="00A05E65">
        <w:rPr>
          <w:sz w:val="24"/>
          <w:szCs w:val="24"/>
        </w:rPr>
        <w:t xml:space="preserve">Tribunal’s </w:t>
      </w:r>
      <w:r w:rsidR="006E55E9">
        <w:rPr>
          <w:sz w:val="24"/>
          <w:szCs w:val="24"/>
        </w:rPr>
        <w:t xml:space="preserve">Discussion Paper </w:t>
      </w:r>
      <w:r w:rsidR="00A05E65">
        <w:rPr>
          <w:sz w:val="24"/>
          <w:szCs w:val="24"/>
        </w:rPr>
        <w:t xml:space="preserve">noted </w:t>
      </w:r>
      <w:r>
        <w:rPr>
          <w:sz w:val="24"/>
          <w:szCs w:val="24"/>
        </w:rPr>
        <w:t xml:space="preserve">that the </w:t>
      </w:r>
      <w:r w:rsidR="007F239D">
        <w:rPr>
          <w:sz w:val="24"/>
          <w:szCs w:val="24"/>
        </w:rPr>
        <w:t xml:space="preserve">varied executive position titles and nomenclature </w:t>
      </w:r>
      <w:r w:rsidR="00D55578">
        <w:rPr>
          <w:sz w:val="24"/>
          <w:szCs w:val="24"/>
        </w:rPr>
        <w:t xml:space="preserve">used </w:t>
      </w:r>
      <w:r w:rsidR="007F239D">
        <w:rPr>
          <w:sz w:val="24"/>
          <w:szCs w:val="24"/>
        </w:rPr>
        <w:t xml:space="preserve">across </w:t>
      </w:r>
      <w:r w:rsidR="0063029C">
        <w:rPr>
          <w:sz w:val="24"/>
          <w:szCs w:val="24"/>
        </w:rPr>
        <w:t xml:space="preserve">ACTPS </w:t>
      </w:r>
      <w:r w:rsidR="00D55578">
        <w:rPr>
          <w:sz w:val="24"/>
          <w:szCs w:val="24"/>
        </w:rPr>
        <w:t>are confusing and impact</w:t>
      </w:r>
      <w:r w:rsidR="00ED61D6">
        <w:rPr>
          <w:sz w:val="24"/>
          <w:szCs w:val="24"/>
        </w:rPr>
        <w:t xml:space="preserve"> on</w:t>
      </w:r>
      <w:r w:rsidR="00D55578">
        <w:rPr>
          <w:sz w:val="24"/>
          <w:szCs w:val="24"/>
        </w:rPr>
        <w:t xml:space="preserve"> the ease of mobility</w:t>
      </w:r>
      <w:r w:rsidR="00ED61D6">
        <w:rPr>
          <w:sz w:val="24"/>
          <w:szCs w:val="24"/>
        </w:rPr>
        <w:t xml:space="preserve"> across Directorates</w:t>
      </w:r>
      <w:r w:rsidR="007F239D">
        <w:rPr>
          <w:sz w:val="24"/>
          <w:szCs w:val="24"/>
        </w:rPr>
        <w:t xml:space="preserve">. </w:t>
      </w:r>
      <w:r w:rsidR="00D55578">
        <w:rPr>
          <w:sz w:val="24"/>
          <w:szCs w:val="24"/>
        </w:rPr>
        <w:t xml:space="preserve">In the Tribunal’s view, there is merit in establishing consistency and standardisation of executive </w:t>
      </w:r>
      <w:r w:rsidR="00D55578" w:rsidRPr="00ED61D6">
        <w:rPr>
          <w:sz w:val="24"/>
          <w:szCs w:val="24"/>
        </w:rPr>
        <w:t>position titles across the ACTPS</w:t>
      </w:r>
      <w:r w:rsidR="00ED61D6" w:rsidRPr="00ED61D6">
        <w:rPr>
          <w:sz w:val="24"/>
          <w:szCs w:val="24"/>
        </w:rPr>
        <w:t xml:space="preserve"> to support mobility, consistency and reduce confusion. </w:t>
      </w:r>
    </w:p>
    <w:p w14:paraId="270EBF94" w14:textId="416B40DB" w:rsidR="007229E4" w:rsidRDefault="007229E4" w:rsidP="00721055">
      <w:pPr>
        <w:spacing w:before="240"/>
        <w:rPr>
          <w:sz w:val="24"/>
          <w:szCs w:val="24"/>
        </w:rPr>
      </w:pPr>
      <w:r w:rsidRPr="007229E4">
        <w:rPr>
          <w:sz w:val="24"/>
          <w:szCs w:val="24"/>
        </w:rPr>
        <w:t xml:space="preserve">The Tribunal </w:t>
      </w:r>
      <w:r w:rsidR="00387F42">
        <w:rPr>
          <w:sz w:val="24"/>
          <w:szCs w:val="24"/>
        </w:rPr>
        <w:t>understands</w:t>
      </w:r>
      <w:r>
        <w:rPr>
          <w:sz w:val="24"/>
          <w:szCs w:val="24"/>
        </w:rPr>
        <w:t xml:space="preserve"> </w:t>
      </w:r>
      <w:r w:rsidRPr="007229E4">
        <w:rPr>
          <w:sz w:val="24"/>
          <w:szCs w:val="24"/>
        </w:rPr>
        <w:t>that the Head of Service</w:t>
      </w:r>
      <w:r>
        <w:rPr>
          <w:sz w:val="24"/>
          <w:szCs w:val="24"/>
        </w:rPr>
        <w:t xml:space="preserve"> has already commenced the</w:t>
      </w:r>
      <w:r w:rsidRPr="007229E4">
        <w:rPr>
          <w:sz w:val="24"/>
          <w:szCs w:val="24"/>
        </w:rPr>
        <w:t xml:space="preserve"> implement</w:t>
      </w:r>
      <w:r>
        <w:rPr>
          <w:sz w:val="24"/>
          <w:szCs w:val="24"/>
        </w:rPr>
        <w:t>ation of</w:t>
      </w:r>
      <w:r w:rsidRPr="007229E4">
        <w:rPr>
          <w:sz w:val="24"/>
          <w:szCs w:val="24"/>
        </w:rPr>
        <w:t xml:space="preserve"> consistent approach to position titles for executives across the ACTPS.</w:t>
      </w:r>
      <w:r>
        <w:rPr>
          <w:sz w:val="24"/>
          <w:szCs w:val="24"/>
        </w:rPr>
        <w:t xml:space="preserve"> The standardised position titles are:</w:t>
      </w:r>
    </w:p>
    <w:p w14:paraId="0DB7BBE3" w14:textId="25DC7BF0" w:rsidR="007229E4" w:rsidRDefault="007229E4" w:rsidP="00784975">
      <w:pPr>
        <w:pStyle w:val="ListParagraph"/>
        <w:numPr>
          <w:ilvl w:val="0"/>
          <w:numId w:val="26"/>
        </w:numPr>
        <w:rPr>
          <w:sz w:val="24"/>
          <w:szCs w:val="24"/>
        </w:rPr>
      </w:pPr>
      <w:r>
        <w:rPr>
          <w:sz w:val="24"/>
          <w:szCs w:val="24"/>
        </w:rPr>
        <w:t>Band 1: Executive Branch Manager;</w:t>
      </w:r>
    </w:p>
    <w:p w14:paraId="3050C684" w14:textId="7EBBB53B" w:rsidR="007229E4" w:rsidRDefault="007229E4" w:rsidP="00784975">
      <w:pPr>
        <w:pStyle w:val="ListParagraph"/>
        <w:numPr>
          <w:ilvl w:val="0"/>
          <w:numId w:val="26"/>
        </w:numPr>
        <w:ind w:left="714" w:hanging="357"/>
        <w:rPr>
          <w:sz w:val="24"/>
          <w:szCs w:val="24"/>
        </w:rPr>
      </w:pPr>
      <w:r>
        <w:rPr>
          <w:sz w:val="24"/>
          <w:szCs w:val="24"/>
        </w:rPr>
        <w:t>Band 2: Executive Group Manager;</w:t>
      </w:r>
    </w:p>
    <w:p w14:paraId="168B72B1" w14:textId="11749B09" w:rsidR="007229E4" w:rsidRDefault="007229E4" w:rsidP="00784975">
      <w:pPr>
        <w:pStyle w:val="ListParagraph"/>
        <w:numPr>
          <w:ilvl w:val="0"/>
          <w:numId w:val="26"/>
        </w:numPr>
        <w:ind w:left="714" w:hanging="357"/>
        <w:rPr>
          <w:sz w:val="24"/>
          <w:szCs w:val="24"/>
        </w:rPr>
      </w:pPr>
      <w:r>
        <w:rPr>
          <w:sz w:val="24"/>
          <w:szCs w:val="24"/>
        </w:rPr>
        <w:t>Band 3: Deputy Director-General; and</w:t>
      </w:r>
    </w:p>
    <w:p w14:paraId="62DD3159" w14:textId="431A913D" w:rsidR="007229E4" w:rsidRDefault="007229E4" w:rsidP="00784975">
      <w:pPr>
        <w:pStyle w:val="ListParagraph"/>
        <w:numPr>
          <w:ilvl w:val="0"/>
          <w:numId w:val="26"/>
        </w:numPr>
        <w:spacing w:after="120"/>
        <w:ind w:left="714" w:hanging="357"/>
        <w:rPr>
          <w:sz w:val="24"/>
          <w:szCs w:val="24"/>
        </w:rPr>
      </w:pPr>
      <w:r w:rsidRPr="009C5343">
        <w:rPr>
          <w:sz w:val="24"/>
          <w:szCs w:val="24"/>
        </w:rPr>
        <w:t xml:space="preserve">Band 4: Director-General. </w:t>
      </w:r>
    </w:p>
    <w:p w14:paraId="3670E342" w14:textId="5DE5C737" w:rsidR="00963BBB" w:rsidRPr="00963BBB" w:rsidRDefault="00963BBB" w:rsidP="00784975">
      <w:pPr>
        <w:spacing w:after="0"/>
        <w:rPr>
          <w:sz w:val="24"/>
          <w:szCs w:val="24"/>
        </w:rPr>
      </w:pPr>
    </w:p>
    <w:tbl>
      <w:tblPr>
        <w:tblStyle w:val="TableGrid"/>
        <w:tblW w:w="0" w:type="auto"/>
        <w:shd w:val="clear" w:color="auto" w:fill="E5DFEC" w:themeFill="accent4" w:themeFillTint="33"/>
        <w:tblLook w:val="04A0" w:firstRow="1" w:lastRow="0" w:firstColumn="1" w:lastColumn="0" w:noHBand="0" w:noVBand="1"/>
      </w:tblPr>
      <w:tblGrid>
        <w:gridCol w:w="9016"/>
      </w:tblGrid>
      <w:tr w:rsidR="00963BBB" w:rsidRPr="00C9551A" w14:paraId="46B2FC38" w14:textId="77777777" w:rsidTr="00E2551D">
        <w:tc>
          <w:tcPr>
            <w:tcW w:w="9016" w:type="dxa"/>
            <w:shd w:val="clear" w:color="auto" w:fill="E5DFEC" w:themeFill="accent4" w:themeFillTint="33"/>
          </w:tcPr>
          <w:p w14:paraId="23CB3B69" w14:textId="788DA678" w:rsidR="00963BBB" w:rsidRPr="00C9551A" w:rsidRDefault="00963BBB" w:rsidP="003F3C5F">
            <w:pPr>
              <w:spacing w:before="120" w:after="120" w:line="276" w:lineRule="auto"/>
              <w:rPr>
                <w:b/>
                <w:color w:val="000000" w:themeColor="text1"/>
                <w:sz w:val="24"/>
                <w:szCs w:val="24"/>
              </w:rPr>
            </w:pPr>
            <w:r w:rsidRPr="007570FB">
              <w:rPr>
                <w:b/>
                <w:color w:val="000000" w:themeColor="text1"/>
                <w:sz w:val="24"/>
                <w:szCs w:val="24"/>
              </w:rPr>
              <w:t xml:space="preserve">Decision </w:t>
            </w:r>
            <w:r>
              <w:rPr>
                <w:b/>
                <w:color w:val="000000" w:themeColor="text1"/>
                <w:sz w:val="24"/>
                <w:szCs w:val="24"/>
              </w:rPr>
              <w:t>5</w:t>
            </w:r>
            <w:r w:rsidRPr="007570FB">
              <w:rPr>
                <w:b/>
                <w:color w:val="000000" w:themeColor="text1"/>
                <w:sz w:val="24"/>
                <w:szCs w:val="24"/>
              </w:rPr>
              <w:t>:</w:t>
            </w:r>
            <w:r w:rsidRPr="00C9551A">
              <w:rPr>
                <w:b/>
                <w:color w:val="000000" w:themeColor="text1"/>
                <w:sz w:val="24"/>
                <w:szCs w:val="24"/>
              </w:rPr>
              <w:t xml:space="preserve"> </w:t>
            </w:r>
            <w:r w:rsidRPr="00E72415">
              <w:rPr>
                <w:color w:val="000000" w:themeColor="text1"/>
                <w:sz w:val="24"/>
                <w:szCs w:val="24"/>
              </w:rPr>
              <w:t>The Tribunal</w:t>
            </w:r>
            <w:r>
              <w:rPr>
                <w:color w:val="000000" w:themeColor="text1"/>
                <w:sz w:val="24"/>
                <w:szCs w:val="24"/>
              </w:rPr>
              <w:t xml:space="preserve"> notes the new position titling recently introduced by the Head of Service for executives across the ACTPS and </w:t>
            </w:r>
            <w:r w:rsidR="00387F42">
              <w:rPr>
                <w:color w:val="000000" w:themeColor="text1"/>
                <w:sz w:val="24"/>
                <w:szCs w:val="24"/>
              </w:rPr>
              <w:t>agrees</w:t>
            </w:r>
            <w:r>
              <w:rPr>
                <w:color w:val="000000" w:themeColor="text1"/>
                <w:sz w:val="24"/>
                <w:szCs w:val="24"/>
              </w:rPr>
              <w:t xml:space="preserve"> that </w:t>
            </w:r>
            <w:r w:rsidR="003F3C5F">
              <w:rPr>
                <w:color w:val="000000" w:themeColor="text1"/>
                <w:sz w:val="24"/>
                <w:szCs w:val="24"/>
              </w:rPr>
              <w:t xml:space="preserve">this </w:t>
            </w:r>
            <w:r>
              <w:rPr>
                <w:color w:val="000000" w:themeColor="text1"/>
                <w:sz w:val="24"/>
                <w:szCs w:val="24"/>
              </w:rPr>
              <w:t>will enhance consistency and transparency.</w:t>
            </w:r>
            <w:r w:rsidRPr="00E72415">
              <w:rPr>
                <w:color w:val="000000" w:themeColor="text1"/>
                <w:sz w:val="24"/>
                <w:szCs w:val="24"/>
              </w:rPr>
              <w:t xml:space="preserve">  </w:t>
            </w:r>
          </w:p>
        </w:tc>
      </w:tr>
    </w:tbl>
    <w:p w14:paraId="7816C7E0" w14:textId="77777777" w:rsidR="00F64ADD" w:rsidRDefault="00F64ADD" w:rsidP="001420EB">
      <w:pPr>
        <w:pStyle w:val="Heading2"/>
        <w:spacing w:before="240"/>
      </w:pPr>
    </w:p>
    <w:p w14:paraId="75952BC9" w14:textId="77777777" w:rsidR="00F64ADD" w:rsidRDefault="00F64ADD">
      <w:pPr>
        <w:rPr>
          <w:rFonts w:asciiTheme="majorHAnsi" w:eastAsiaTheme="majorEastAsia" w:hAnsiTheme="majorHAnsi" w:cstheme="majorBidi"/>
          <w:b/>
          <w:bCs/>
          <w:color w:val="4F81BD" w:themeColor="accent1"/>
          <w:sz w:val="26"/>
          <w:szCs w:val="26"/>
        </w:rPr>
      </w:pPr>
      <w:r>
        <w:br w:type="page"/>
      </w:r>
    </w:p>
    <w:p w14:paraId="43466D4D" w14:textId="1CFEC9EC" w:rsidR="0095008B" w:rsidRDefault="0095008B" w:rsidP="001420EB">
      <w:pPr>
        <w:pStyle w:val="Heading2"/>
        <w:spacing w:before="240"/>
      </w:pPr>
      <w:bookmarkStart w:id="26" w:name="_Toc2327867"/>
      <w:r>
        <w:lastRenderedPageBreak/>
        <w:t>Remuneration</w:t>
      </w:r>
      <w:r w:rsidR="0051256C" w:rsidRPr="0051256C">
        <w:t xml:space="preserve"> </w:t>
      </w:r>
      <w:r w:rsidR="0051256C">
        <w:t xml:space="preserve">/ </w:t>
      </w:r>
      <w:r w:rsidR="0051256C" w:rsidRPr="0051256C">
        <w:t>SES Total Remuneration Package</w:t>
      </w:r>
      <w:bookmarkEnd w:id="26"/>
      <w:r>
        <w:t xml:space="preserve"> </w:t>
      </w:r>
      <w:r w:rsidRPr="00724609">
        <w:t xml:space="preserve"> </w:t>
      </w:r>
    </w:p>
    <w:p w14:paraId="66205D9A" w14:textId="6D384479" w:rsidR="0063029C" w:rsidRPr="0063029C" w:rsidRDefault="0063029C" w:rsidP="00F24D7B">
      <w:pPr>
        <w:spacing w:before="240" w:after="120"/>
        <w:rPr>
          <w:sz w:val="24"/>
          <w:szCs w:val="24"/>
        </w:rPr>
      </w:pPr>
      <w:r w:rsidRPr="0063029C">
        <w:rPr>
          <w:sz w:val="24"/>
          <w:szCs w:val="24"/>
        </w:rPr>
        <w:t>Evaluating and reviewing the methodologies used to decide the remuneration of executives is an important process in maintaining a consistent and transparent approach at the core of the Tribunal’s operations and legislative responsibilities.</w:t>
      </w:r>
    </w:p>
    <w:p w14:paraId="4601B177" w14:textId="15B70E7B" w:rsidR="0063029C" w:rsidRDefault="0063029C" w:rsidP="00F24D7B">
      <w:pPr>
        <w:spacing w:before="240" w:after="120"/>
        <w:rPr>
          <w:color w:val="FF0000"/>
          <w:sz w:val="24"/>
          <w:szCs w:val="24"/>
        </w:rPr>
      </w:pPr>
      <w:r w:rsidRPr="0063029C">
        <w:rPr>
          <w:sz w:val="24"/>
          <w:szCs w:val="24"/>
        </w:rPr>
        <w:t xml:space="preserve">As part of its annual </w:t>
      </w:r>
      <w:r w:rsidRPr="0056245D">
        <w:rPr>
          <w:sz w:val="24"/>
          <w:szCs w:val="24"/>
        </w:rPr>
        <w:t>inquiry</w:t>
      </w:r>
      <w:r>
        <w:rPr>
          <w:sz w:val="24"/>
          <w:szCs w:val="24"/>
        </w:rPr>
        <w:t xml:space="preserve"> into the remuneration of executives, the </w:t>
      </w:r>
      <w:r w:rsidRPr="0056245D">
        <w:rPr>
          <w:sz w:val="24"/>
          <w:szCs w:val="24"/>
        </w:rPr>
        <w:t>Tribunal consider</w:t>
      </w:r>
      <w:r>
        <w:rPr>
          <w:sz w:val="24"/>
          <w:szCs w:val="24"/>
        </w:rPr>
        <w:t>s</w:t>
      </w:r>
      <w:r w:rsidRPr="0056245D">
        <w:rPr>
          <w:sz w:val="24"/>
          <w:szCs w:val="24"/>
        </w:rPr>
        <w:t xml:space="preserve"> information from a number of sources</w:t>
      </w:r>
      <w:r>
        <w:rPr>
          <w:sz w:val="24"/>
          <w:szCs w:val="24"/>
        </w:rPr>
        <w:t xml:space="preserve">, </w:t>
      </w:r>
      <w:r w:rsidR="00E371C4">
        <w:rPr>
          <w:sz w:val="24"/>
          <w:szCs w:val="24"/>
        </w:rPr>
        <w:t>in particular</w:t>
      </w:r>
      <w:r>
        <w:rPr>
          <w:sz w:val="24"/>
          <w:szCs w:val="24"/>
        </w:rPr>
        <w:t xml:space="preserve"> work value, prevailing economic conditions, market and jurisdictional comparative data and views of stakeholders.</w:t>
      </w:r>
    </w:p>
    <w:p w14:paraId="6E68B0A3" w14:textId="2AB3305E" w:rsidR="005D4B3E" w:rsidRPr="009C31AB" w:rsidRDefault="00E21DEE" w:rsidP="00F24D7B">
      <w:pPr>
        <w:spacing w:before="240" w:after="120"/>
        <w:rPr>
          <w:sz w:val="24"/>
          <w:szCs w:val="24"/>
        </w:rPr>
      </w:pPr>
      <w:r w:rsidRPr="00C766FA">
        <w:rPr>
          <w:sz w:val="24"/>
          <w:szCs w:val="24"/>
        </w:rPr>
        <w:t xml:space="preserve">Over the past </w:t>
      </w:r>
      <w:r w:rsidR="0090323D">
        <w:rPr>
          <w:sz w:val="24"/>
          <w:szCs w:val="24"/>
        </w:rPr>
        <w:t>30</w:t>
      </w:r>
      <w:r w:rsidR="0090323D" w:rsidRPr="00C766FA">
        <w:rPr>
          <w:sz w:val="24"/>
          <w:szCs w:val="24"/>
        </w:rPr>
        <w:t xml:space="preserve"> </w:t>
      </w:r>
      <w:r w:rsidRPr="00C766FA">
        <w:rPr>
          <w:sz w:val="24"/>
          <w:szCs w:val="24"/>
        </w:rPr>
        <w:t xml:space="preserve">years, the roles, responsibilities and expectations of executives have </w:t>
      </w:r>
      <w:r w:rsidRPr="009C31AB">
        <w:rPr>
          <w:sz w:val="24"/>
          <w:szCs w:val="24"/>
        </w:rPr>
        <w:t xml:space="preserve">evolved significantly. </w:t>
      </w:r>
      <w:r w:rsidR="005D4B3E" w:rsidRPr="009C31AB">
        <w:rPr>
          <w:sz w:val="24"/>
          <w:szCs w:val="24"/>
        </w:rPr>
        <w:t xml:space="preserve">The Tribunal notes that remuneration for the senior roles should be sufficient to ensure the best candidates can be attracted and retained. </w:t>
      </w:r>
      <w:r w:rsidR="00D2026D" w:rsidRPr="009C31AB">
        <w:rPr>
          <w:sz w:val="24"/>
          <w:szCs w:val="24"/>
        </w:rPr>
        <w:t xml:space="preserve">The Government has advised the Tribunal that: </w:t>
      </w:r>
    </w:p>
    <w:p w14:paraId="3772D93A" w14:textId="0B992357" w:rsidR="00D2026D" w:rsidRPr="009C31AB" w:rsidRDefault="00D2026D" w:rsidP="00D2026D">
      <w:pPr>
        <w:ind w:left="426"/>
        <w:rPr>
          <w:i/>
          <w:sz w:val="24"/>
          <w:szCs w:val="24"/>
        </w:rPr>
      </w:pPr>
      <w:r w:rsidRPr="009C31AB">
        <w:rPr>
          <w:i/>
          <w:sz w:val="24"/>
          <w:szCs w:val="24"/>
        </w:rPr>
        <w:t>‘The Head of Service, Directors-General and ACTPS executives play a key role in delivering the Government’s agenda by leading the provision of programs and services to the ACT community. The Government recognises the importance of competitive remuneration for leaders of the public service to attract and retain the best people to lead and drive change across the Service. It is the view of the Government that the remuneration, allowances and other entitlements of these officers should continue to be commensurate with the roles and responsibilities.</w:t>
      </w:r>
    </w:p>
    <w:p w14:paraId="4C0450A0" w14:textId="737C0DD1" w:rsidR="00D2026D" w:rsidRPr="00F64ADD" w:rsidRDefault="00D2026D" w:rsidP="00F64ADD">
      <w:pPr>
        <w:ind w:left="426"/>
        <w:rPr>
          <w:sz w:val="20"/>
          <w:szCs w:val="20"/>
        </w:rPr>
      </w:pPr>
      <w:r w:rsidRPr="009C31AB">
        <w:rPr>
          <w:i/>
          <w:sz w:val="24"/>
          <w:szCs w:val="24"/>
        </w:rPr>
        <w:t xml:space="preserve">The Government recognises that the ACT Public Service is in direct competition for experienced executives with the Commonwealth and other jurisdictions. If the Territory is to be well positioned to attract and retain a high performing executive workforce for the Government of the day, the remuneration, allowances and other entitlements will need to be competitive and relatively comparable.’ </w:t>
      </w:r>
      <w:r w:rsidR="007F239D" w:rsidRPr="00F64ADD">
        <w:rPr>
          <w:sz w:val="20"/>
          <w:szCs w:val="20"/>
        </w:rPr>
        <w:footnoteReference w:id="15"/>
      </w:r>
    </w:p>
    <w:p w14:paraId="68044AB1" w14:textId="19BCE815" w:rsidR="009478F2" w:rsidRDefault="00FC0704" w:rsidP="00E21DEE">
      <w:pPr>
        <w:spacing w:before="240" w:after="120"/>
        <w:rPr>
          <w:sz w:val="24"/>
          <w:szCs w:val="24"/>
        </w:rPr>
      </w:pPr>
      <w:r w:rsidRPr="0024490C">
        <w:rPr>
          <w:sz w:val="24"/>
          <w:szCs w:val="24"/>
        </w:rPr>
        <w:t>T</w:t>
      </w:r>
      <w:r w:rsidR="00273387" w:rsidRPr="0024490C">
        <w:rPr>
          <w:sz w:val="24"/>
          <w:szCs w:val="24"/>
        </w:rPr>
        <w:t xml:space="preserve">he SES Total Remuneration Package (TRP) is based on a cash component </w:t>
      </w:r>
      <w:r w:rsidR="00EC51F5">
        <w:rPr>
          <w:sz w:val="24"/>
          <w:szCs w:val="24"/>
        </w:rPr>
        <w:t xml:space="preserve">(base salary) </w:t>
      </w:r>
      <w:r w:rsidR="00273387" w:rsidRPr="0024490C">
        <w:rPr>
          <w:sz w:val="24"/>
          <w:szCs w:val="24"/>
        </w:rPr>
        <w:t>and additional employer</w:t>
      </w:r>
      <w:r w:rsidR="00F64DD5">
        <w:rPr>
          <w:sz w:val="24"/>
          <w:szCs w:val="24"/>
        </w:rPr>
        <w:t>-</w:t>
      </w:r>
      <w:r w:rsidR="00273387" w:rsidRPr="0024490C">
        <w:rPr>
          <w:sz w:val="24"/>
          <w:szCs w:val="24"/>
        </w:rPr>
        <w:t xml:space="preserve">provided benefits of a fringe benefit tax (FBT) allowance, vehicle allowance, parking allowance/arrangements and an employer superannuation contribution. </w:t>
      </w:r>
      <w:r w:rsidR="009478F2">
        <w:rPr>
          <w:sz w:val="24"/>
          <w:szCs w:val="24"/>
        </w:rPr>
        <w:t xml:space="preserve">The cash component </w:t>
      </w:r>
      <w:r w:rsidR="00247933">
        <w:rPr>
          <w:sz w:val="24"/>
          <w:szCs w:val="24"/>
        </w:rPr>
        <w:t xml:space="preserve">and FBT allowance </w:t>
      </w:r>
      <w:r w:rsidR="009478F2">
        <w:rPr>
          <w:sz w:val="24"/>
          <w:szCs w:val="24"/>
        </w:rPr>
        <w:t xml:space="preserve">of the TRP is the </w:t>
      </w:r>
      <w:r w:rsidR="0040752F">
        <w:rPr>
          <w:sz w:val="24"/>
          <w:szCs w:val="24"/>
        </w:rPr>
        <w:t>responsibility</w:t>
      </w:r>
      <w:r w:rsidR="009478F2">
        <w:rPr>
          <w:sz w:val="24"/>
          <w:szCs w:val="24"/>
        </w:rPr>
        <w:t xml:space="preserve"> of the Tribunal, whereas the other components of the TRP </w:t>
      </w:r>
      <w:r w:rsidR="003E3D3C">
        <w:rPr>
          <w:sz w:val="24"/>
          <w:szCs w:val="24"/>
        </w:rPr>
        <w:t xml:space="preserve">are </w:t>
      </w:r>
      <w:r w:rsidR="009478F2">
        <w:rPr>
          <w:sz w:val="24"/>
          <w:szCs w:val="24"/>
        </w:rPr>
        <w:t>determined by the Government</w:t>
      </w:r>
      <w:r w:rsidR="003E3D3C">
        <w:rPr>
          <w:sz w:val="24"/>
          <w:szCs w:val="24"/>
        </w:rPr>
        <w:t xml:space="preserve">. This </w:t>
      </w:r>
      <w:r w:rsidR="009478F2">
        <w:rPr>
          <w:sz w:val="24"/>
          <w:szCs w:val="24"/>
        </w:rPr>
        <w:t xml:space="preserve">has been </w:t>
      </w:r>
      <w:r w:rsidR="003E3D3C">
        <w:rPr>
          <w:sz w:val="24"/>
          <w:szCs w:val="24"/>
        </w:rPr>
        <w:t xml:space="preserve">the </w:t>
      </w:r>
      <w:r w:rsidR="009478F2">
        <w:rPr>
          <w:sz w:val="24"/>
          <w:szCs w:val="24"/>
        </w:rPr>
        <w:t xml:space="preserve">practice for a number of years. </w:t>
      </w:r>
    </w:p>
    <w:p w14:paraId="1B832C17" w14:textId="7F203568" w:rsidR="00E21DEE" w:rsidRPr="0024490C" w:rsidRDefault="00F5713F" w:rsidP="00E21DEE">
      <w:pPr>
        <w:spacing w:before="240" w:after="120"/>
        <w:rPr>
          <w:sz w:val="24"/>
          <w:szCs w:val="24"/>
        </w:rPr>
      </w:pPr>
      <w:r w:rsidRPr="00784975">
        <w:rPr>
          <w:sz w:val="24"/>
          <w:szCs w:val="24"/>
        </w:rPr>
        <w:t xml:space="preserve">In the Discussion Paper, </w:t>
      </w:r>
      <w:r w:rsidR="00A05E65" w:rsidRPr="00606446">
        <w:rPr>
          <w:sz w:val="24"/>
          <w:szCs w:val="24"/>
          <w:u w:val="single"/>
        </w:rPr>
        <w:t xml:space="preserve">Attachment </w:t>
      </w:r>
      <w:r w:rsidRPr="00606446">
        <w:rPr>
          <w:sz w:val="24"/>
          <w:szCs w:val="24"/>
          <w:u w:val="single"/>
        </w:rPr>
        <w:t>C</w:t>
      </w:r>
      <w:r w:rsidRPr="00F5713F">
        <w:rPr>
          <w:sz w:val="24"/>
          <w:szCs w:val="24"/>
        </w:rPr>
        <w:t xml:space="preserve"> </w:t>
      </w:r>
      <w:r w:rsidR="00E21DEE" w:rsidRPr="00F5713F">
        <w:rPr>
          <w:sz w:val="24"/>
          <w:szCs w:val="24"/>
        </w:rPr>
        <w:t xml:space="preserve">and </w:t>
      </w:r>
      <w:r w:rsidR="00A05E65" w:rsidRPr="00606446">
        <w:rPr>
          <w:sz w:val="24"/>
          <w:szCs w:val="24"/>
          <w:u w:val="single"/>
        </w:rPr>
        <w:t xml:space="preserve">Attachment </w:t>
      </w:r>
      <w:r w:rsidRPr="00606446">
        <w:rPr>
          <w:sz w:val="24"/>
          <w:szCs w:val="24"/>
          <w:u w:val="single"/>
        </w:rPr>
        <w:t>D</w:t>
      </w:r>
      <w:r w:rsidRPr="00F5713F">
        <w:rPr>
          <w:sz w:val="24"/>
          <w:szCs w:val="24"/>
        </w:rPr>
        <w:t xml:space="preserve"> </w:t>
      </w:r>
      <w:r w:rsidR="00E21DEE" w:rsidRPr="0024490C">
        <w:rPr>
          <w:sz w:val="24"/>
          <w:szCs w:val="24"/>
        </w:rPr>
        <w:t>outline</w:t>
      </w:r>
      <w:r>
        <w:rPr>
          <w:sz w:val="24"/>
          <w:szCs w:val="24"/>
        </w:rPr>
        <w:t>d</w:t>
      </w:r>
      <w:r w:rsidR="00E21DEE" w:rsidRPr="0024490C">
        <w:rPr>
          <w:sz w:val="24"/>
          <w:szCs w:val="24"/>
        </w:rPr>
        <w:t xml:space="preserve"> the </w:t>
      </w:r>
      <w:r w:rsidR="00FC0704" w:rsidRPr="0024490C">
        <w:rPr>
          <w:sz w:val="24"/>
          <w:szCs w:val="24"/>
        </w:rPr>
        <w:t>TRP</w:t>
      </w:r>
      <w:r w:rsidR="00E21DEE" w:rsidRPr="0024490C">
        <w:rPr>
          <w:sz w:val="24"/>
          <w:szCs w:val="24"/>
        </w:rPr>
        <w:t xml:space="preserve"> (excluding relocation allowance) and employer</w:t>
      </w:r>
      <w:r w:rsidR="00F64DD5">
        <w:rPr>
          <w:sz w:val="24"/>
          <w:szCs w:val="24"/>
        </w:rPr>
        <w:t>-</w:t>
      </w:r>
      <w:r w:rsidR="00E21DEE" w:rsidRPr="0024490C">
        <w:rPr>
          <w:sz w:val="24"/>
          <w:szCs w:val="24"/>
        </w:rPr>
        <w:t xml:space="preserve">provided benefits for executives depending on their level and superannuation arrangements. </w:t>
      </w:r>
    </w:p>
    <w:p w14:paraId="1197A4A1" w14:textId="03D36B78" w:rsidR="00E21DEE" w:rsidRPr="00627D9A" w:rsidRDefault="00273387" w:rsidP="00F367EC">
      <w:pPr>
        <w:rPr>
          <w:sz w:val="24"/>
          <w:szCs w:val="24"/>
        </w:rPr>
      </w:pPr>
      <w:r w:rsidRPr="00627D9A">
        <w:rPr>
          <w:sz w:val="24"/>
          <w:szCs w:val="24"/>
        </w:rPr>
        <w:lastRenderedPageBreak/>
        <w:t xml:space="preserve">As noted in the </w:t>
      </w:r>
      <w:r w:rsidR="00C71F7E">
        <w:rPr>
          <w:sz w:val="24"/>
          <w:szCs w:val="24"/>
        </w:rPr>
        <w:t>D</w:t>
      </w:r>
      <w:r w:rsidR="00C71F7E" w:rsidRPr="00627D9A">
        <w:rPr>
          <w:sz w:val="24"/>
          <w:szCs w:val="24"/>
        </w:rPr>
        <w:t xml:space="preserve">iscussion </w:t>
      </w:r>
      <w:r w:rsidR="00C71F7E">
        <w:rPr>
          <w:sz w:val="24"/>
          <w:szCs w:val="24"/>
        </w:rPr>
        <w:t>P</w:t>
      </w:r>
      <w:r w:rsidR="00C71F7E" w:rsidRPr="00627D9A">
        <w:rPr>
          <w:sz w:val="24"/>
          <w:szCs w:val="24"/>
        </w:rPr>
        <w:t>aper</w:t>
      </w:r>
      <w:r w:rsidRPr="00627D9A">
        <w:rPr>
          <w:sz w:val="24"/>
          <w:szCs w:val="24"/>
        </w:rPr>
        <w:t xml:space="preserve">, progression through remuneration points is not incremental and can only be achieved through promotion into a role classified at a higher point on the scale. However, there is scope for increases in classification to be granted within a band, where a formal </w:t>
      </w:r>
      <w:r w:rsidR="00627D9A" w:rsidRPr="00627D9A">
        <w:rPr>
          <w:sz w:val="24"/>
          <w:szCs w:val="24"/>
        </w:rPr>
        <w:t xml:space="preserve">position evaluation </w:t>
      </w:r>
      <w:r w:rsidRPr="00627D9A">
        <w:rPr>
          <w:sz w:val="24"/>
          <w:szCs w:val="24"/>
        </w:rPr>
        <w:t xml:space="preserve">recommends an increase </w:t>
      </w:r>
      <w:r w:rsidR="00627D9A" w:rsidRPr="00627D9A">
        <w:rPr>
          <w:sz w:val="24"/>
          <w:szCs w:val="24"/>
        </w:rPr>
        <w:t xml:space="preserve">to the </w:t>
      </w:r>
      <w:r w:rsidRPr="00627D9A">
        <w:rPr>
          <w:sz w:val="24"/>
          <w:szCs w:val="24"/>
        </w:rPr>
        <w:t>classification</w:t>
      </w:r>
      <w:r w:rsidR="00627D9A" w:rsidRPr="00627D9A">
        <w:rPr>
          <w:sz w:val="24"/>
          <w:szCs w:val="24"/>
        </w:rPr>
        <w:t xml:space="preserve"> of the position</w:t>
      </w:r>
      <w:r w:rsidRPr="00627D9A">
        <w:rPr>
          <w:sz w:val="24"/>
          <w:szCs w:val="24"/>
        </w:rPr>
        <w:t xml:space="preserve">. </w:t>
      </w:r>
    </w:p>
    <w:p w14:paraId="1FB07CB9" w14:textId="11ADD770" w:rsidR="00350474" w:rsidRPr="009117F5" w:rsidRDefault="00C766FA" w:rsidP="00350474">
      <w:pPr>
        <w:spacing w:before="240" w:after="120"/>
        <w:rPr>
          <w:sz w:val="24"/>
          <w:szCs w:val="24"/>
        </w:rPr>
      </w:pPr>
      <w:r w:rsidRPr="00C766FA">
        <w:rPr>
          <w:sz w:val="24"/>
          <w:szCs w:val="24"/>
        </w:rPr>
        <w:t xml:space="preserve">The Tribunal’s latest increase to the remuneration </w:t>
      </w:r>
      <w:r w:rsidR="009478F2">
        <w:rPr>
          <w:sz w:val="24"/>
          <w:szCs w:val="24"/>
        </w:rPr>
        <w:t xml:space="preserve">(cash component) </w:t>
      </w:r>
      <w:r w:rsidRPr="00C766FA">
        <w:rPr>
          <w:sz w:val="24"/>
          <w:szCs w:val="24"/>
        </w:rPr>
        <w:t>of ACT</w:t>
      </w:r>
      <w:r w:rsidR="004B4187">
        <w:rPr>
          <w:sz w:val="24"/>
          <w:szCs w:val="24"/>
        </w:rPr>
        <w:t>PS</w:t>
      </w:r>
      <w:r w:rsidRPr="00C766FA">
        <w:rPr>
          <w:sz w:val="24"/>
          <w:szCs w:val="24"/>
        </w:rPr>
        <w:t xml:space="preserve"> </w:t>
      </w:r>
      <w:r w:rsidR="001420EB">
        <w:rPr>
          <w:sz w:val="24"/>
          <w:szCs w:val="24"/>
        </w:rPr>
        <w:t>e</w:t>
      </w:r>
      <w:r w:rsidR="001420EB" w:rsidRPr="00C766FA">
        <w:rPr>
          <w:sz w:val="24"/>
          <w:szCs w:val="24"/>
        </w:rPr>
        <w:t xml:space="preserve">xecutives </w:t>
      </w:r>
      <w:r w:rsidRPr="00C766FA">
        <w:rPr>
          <w:sz w:val="24"/>
          <w:szCs w:val="24"/>
        </w:rPr>
        <w:t>was 2.5 per</w:t>
      </w:r>
      <w:r w:rsidR="00A05E65">
        <w:rPr>
          <w:sz w:val="24"/>
          <w:szCs w:val="24"/>
        </w:rPr>
        <w:t xml:space="preserve"> </w:t>
      </w:r>
      <w:r w:rsidRPr="00C766FA">
        <w:rPr>
          <w:sz w:val="24"/>
          <w:szCs w:val="24"/>
        </w:rPr>
        <w:t>cent, which took effect on 1 July 2018</w:t>
      </w:r>
      <w:r w:rsidR="00350474" w:rsidRPr="00C766FA">
        <w:rPr>
          <w:rStyle w:val="FootnoteReference"/>
          <w:sz w:val="24"/>
          <w:szCs w:val="24"/>
        </w:rPr>
        <w:footnoteReference w:id="16"/>
      </w:r>
      <w:r w:rsidR="00350474" w:rsidRPr="00C766FA">
        <w:rPr>
          <w:sz w:val="24"/>
          <w:szCs w:val="24"/>
        </w:rPr>
        <w:t>.</w:t>
      </w:r>
      <w:r w:rsidR="000D5BE9" w:rsidRPr="00C766FA">
        <w:rPr>
          <w:sz w:val="24"/>
          <w:szCs w:val="24"/>
        </w:rPr>
        <w:t xml:space="preserve"> </w:t>
      </w:r>
      <w:r w:rsidR="00350474" w:rsidRPr="00C766FA">
        <w:rPr>
          <w:sz w:val="24"/>
          <w:szCs w:val="24"/>
        </w:rPr>
        <w:t>This follow</w:t>
      </w:r>
      <w:r w:rsidR="000D5BE9" w:rsidRPr="00C766FA">
        <w:rPr>
          <w:sz w:val="24"/>
          <w:szCs w:val="24"/>
        </w:rPr>
        <w:t>ed</w:t>
      </w:r>
      <w:r w:rsidR="00350474" w:rsidRPr="00C766FA">
        <w:rPr>
          <w:sz w:val="24"/>
          <w:szCs w:val="24"/>
        </w:rPr>
        <w:t xml:space="preserve"> previous increases of 2</w:t>
      </w:r>
      <w:r w:rsidRPr="00C766FA">
        <w:rPr>
          <w:sz w:val="24"/>
          <w:szCs w:val="24"/>
        </w:rPr>
        <w:t> </w:t>
      </w:r>
      <w:r w:rsidR="00350474" w:rsidRPr="00C766FA">
        <w:rPr>
          <w:sz w:val="24"/>
          <w:szCs w:val="24"/>
        </w:rPr>
        <w:t>per</w:t>
      </w:r>
      <w:r w:rsidR="00A05E65">
        <w:rPr>
          <w:sz w:val="24"/>
          <w:szCs w:val="24"/>
        </w:rPr>
        <w:t xml:space="preserve"> </w:t>
      </w:r>
      <w:r w:rsidR="00350474" w:rsidRPr="00C766FA">
        <w:rPr>
          <w:sz w:val="24"/>
          <w:szCs w:val="24"/>
        </w:rPr>
        <w:t>cent in 2017 and 2.5</w:t>
      </w:r>
      <w:r w:rsidR="00FC0704" w:rsidRPr="00C766FA">
        <w:rPr>
          <w:sz w:val="24"/>
          <w:szCs w:val="24"/>
        </w:rPr>
        <w:t xml:space="preserve"> per</w:t>
      </w:r>
      <w:r w:rsidR="00A05E65">
        <w:rPr>
          <w:sz w:val="24"/>
          <w:szCs w:val="24"/>
        </w:rPr>
        <w:t xml:space="preserve"> </w:t>
      </w:r>
      <w:r w:rsidR="00FC0704" w:rsidRPr="00C766FA">
        <w:rPr>
          <w:sz w:val="24"/>
          <w:szCs w:val="24"/>
        </w:rPr>
        <w:t>cent</w:t>
      </w:r>
      <w:r w:rsidR="00350474" w:rsidRPr="00C766FA">
        <w:rPr>
          <w:sz w:val="24"/>
          <w:szCs w:val="24"/>
        </w:rPr>
        <w:t xml:space="preserve"> in 2016. </w:t>
      </w:r>
      <w:r w:rsidR="009117F5" w:rsidRPr="00C766FA">
        <w:rPr>
          <w:sz w:val="24"/>
          <w:szCs w:val="24"/>
        </w:rPr>
        <w:t>O</w:t>
      </w:r>
      <w:r w:rsidR="00D77614" w:rsidRPr="00C766FA">
        <w:rPr>
          <w:sz w:val="24"/>
          <w:szCs w:val="24"/>
        </w:rPr>
        <w:t>ver t</w:t>
      </w:r>
      <w:r w:rsidR="009117F5" w:rsidRPr="00C766FA">
        <w:rPr>
          <w:sz w:val="24"/>
          <w:szCs w:val="24"/>
        </w:rPr>
        <w:t xml:space="preserve">he past 10 years, </w:t>
      </w:r>
      <w:r w:rsidR="000D5BE9" w:rsidRPr="00C766FA">
        <w:rPr>
          <w:sz w:val="24"/>
          <w:szCs w:val="24"/>
        </w:rPr>
        <w:t>the Tribunal has increased</w:t>
      </w:r>
      <w:r w:rsidR="00FC0704" w:rsidRPr="00C766FA">
        <w:rPr>
          <w:sz w:val="24"/>
          <w:szCs w:val="24"/>
        </w:rPr>
        <w:t xml:space="preserve"> remuneration by an average of 2.4 per</w:t>
      </w:r>
      <w:r w:rsidR="00A05E65">
        <w:rPr>
          <w:sz w:val="24"/>
          <w:szCs w:val="24"/>
        </w:rPr>
        <w:t xml:space="preserve"> </w:t>
      </w:r>
      <w:r w:rsidR="00FC0704" w:rsidRPr="00C766FA">
        <w:rPr>
          <w:sz w:val="24"/>
          <w:szCs w:val="24"/>
        </w:rPr>
        <w:t xml:space="preserve">cent per annum. </w:t>
      </w:r>
      <w:r w:rsidR="009478F2">
        <w:rPr>
          <w:sz w:val="24"/>
          <w:szCs w:val="24"/>
        </w:rPr>
        <w:t xml:space="preserve">It is useful to note that the Tribunal </w:t>
      </w:r>
      <w:r w:rsidR="00263E83">
        <w:rPr>
          <w:sz w:val="24"/>
          <w:szCs w:val="24"/>
        </w:rPr>
        <w:t xml:space="preserve">determined </w:t>
      </w:r>
      <w:r w:rsidR="003E3D3C">
        <w:rPr>
          <w:sz w:val="24"/>
          <w:szCs w:val="24"/>
        </w:rPr>
        <w:t xml:space="preserve">an </w:t>
      </w:r>
      <w:r w:rsidR="009478F2">
        <w:rPr>
          <w:sz w:val="24"/>
          <w:szCs w:val="24"/>
        </w:rPr>
        <w:t xml:space="preserve">increase as low as 1.5 per cent in 2009. </w:t>
      </w:r>
      <w:r w:rsidR="009117F5" w:rsidRPr="00E72415">
        <w:rPr>
          <w:sz w:val="24"/>
          <w:szCs w:val="24"/>
        </w:rPr>
        <w:t xml:space="preserve">Graph </w:t>
      </w:r>
      <w:r w:rsidR="00EA4981" w:rsidRPr="00E72415">
        <w:rPr>
          <w:sz w:val="24"/>
          <w:szCs w:val="24"/>
        </w:rPr>
        <w:t xml:space="preserve">1 </w:t>
      </w:r>
      <w:r w:rsidR="009117F5" w:rsidRPr="00E72415">
        <w:rPr>
          <w:sz w:val="24"/>
          <w:szCs w:val="24"/>
        </w:rPr>
        <w:t>shows executive remuneration increases over the past ten years.</w:t>
      </w:r>
      <w:r w:rsidR="000D5BE9" w:rsidRPr="00E72415">
        <w:rPr>
          <w:sz w:val="24"/>
          <w:szCs w:val="24"/>
        </w:rPr>
        <w:t xml:space="preserve"> Table </w:t>
      </w:r>
      <w:r w:rsidR="00E72415" w:rsidRPr="00E72415">
        <w:rPr>
          <w:sz w:val="24"/>
          <w:szCs w:val="24"/>
        </w:rPr>
        <w:t xml:space="preserve">4 </w:t>
      </w:r>
      <w:r w:rsidR="000D5BE9" w:rsidRPr="00E72415">
        <w:rPr>
          <w:sz w:val="24"/>
          <w:szCs w:val="24"/>
        </w:rPr>
        <w:t>shows the</w:t>
      </w:r>
      <w:r w:rsidR="00FC0704" w:rsidRPr="00E72415">
        <w:rPr>
          <w:sz w:val="24"/>
          <w:szCs w:val="24"/>
        </w:rPr>
        <w:t xml:space="preserve"> annual percentage increase to the </w:t>
      </w:r>
      <w:r w:rsidR="00983C93" w:rsidRPr="00E72415">
        <w:rPr>
          <w:sz w:val="24"/>
          <w:szCs w:val="24"/>
        </w:rPr>
        <w:t>Consumer</w:t>
      </w:r>
      <w:r w:rsidR="00FC0704" w:rsidRPr="00E72415">
        <w:rPr>
          <w:sz w:val="24"/>
          <w:szCs w:val="24"/>
        </w:rPr>
        <w:t xml:space="preserve"> Price Index, Annual wage review and Wage </w:t>
      </w:r>
      <w:r w:rsidR="00FC0704" w:rsidRPr="00FC0704">
        <w:rPr>
          <w:sz w:val="24"/>
          <w:szCs w:val="24"/>
        </w:rPr>
        <w:t>Cost/Labour Price Index</w:t>
      </w:r>
      <w:r w:rsidR="00FC0704">
        <w:rPr>
          <w:sz w:val="24"/>
          <w:szCs w:val="24"/>
        </w:rPr>
        <w:t xml:space="preserve"> over the </w:t>
      </w:r>
      <w:r w:rsidR="00171E03">
        <w:rPr>
          <w:sz w:val="24"/>
          <w:szCs w:val="24"/>
        </w:rPr>
        <w:t>same period.</w:t>
      </w:r>
    </w:p>
    <w:p w14:paraId="1057FD13" w14:textId="1A98A8FA" w:rsidR="00F24D7B" w:rsidRPr="0051256C" w:rsidRDefault="00F24D7B" w:rsidP="00F24D7B">
      <w:pPr>
        <w:keepNext/>
        <w:rPr>
          <w:b/>
          <w:sz w:val="24"/>
          <w:szCs w:val="24"/>
        </w:rPr>
      </w:pPr>
      <w:r w:rsidRPr="0051256C">
        <w:rPr>
          <w:b/>
          <w:sz w:val="24"/>
          <w:szCs w:val="24"/>
        </w:rPr>
        <w:t xml:space="preserve">Graph </w:t>
      </w:r>
      <w:r w:rsidR="00EA4981">
        <w:rPr>
          <w:b/>
          <w:sz w:val="24"/>
          <w:szCs w:val="24"/>
        </w:rPr>
        <w:t>1</w:t>
      </w:r>
      <w:r w:rsidR="00EA4981" w:rsidRPr="0051256C">
        <w:rPr>
          <w:b/>
          <w:sz w:val="24"/>
          <w:szCs w:val="24"/>
        </w:rPr>
        <w:t xml:space="preserve"> </w:t>
      </w:r>
      <w:r w:rsidRPr="0051256C">
        <w:rPr>
          <w:b/>
          <w:sz w:val="24"/>
          <w:szCs w:val="24"/>
        </w:rPr>
        <w:t>–</w:t>
      </w:r>
      <w:r w:rsidR="0051256C">
        <w:rPr>
          <w:b/>
          <w:sz w:val="24"/>
          <w:szCs w:val="24"/>
        </w:rPr>
        <w:t xml:space="preserve"> </w:t>
      </w:r>
      <w:r w:rsidRPr="0051256C">
        <w:rPr>
          <w:b/>
          <w:sz w:val="24"/>
          <w:szCs w:val="24"/>
        </w:rPr>
        <w:t xml:space="preserve">executive remuneration </w:t>
      </w:r>
      <w:r w:rsidR="009478F2">
        <w:rPr>
          <w:b/>
          <w:sz w:val="24"/>
          <w:szCs w:val="24"/>
        </w:rPr>
        <w:t xml:space="preserve">(cash component) </w:t>
      </w:r>
      <w:r w:rsidR="0051256C">
        <w:rPr>
          <w:b/>
          <w:sz w:val="24"/>
          <w:szCs w:val="24"/>
        </w:rPr>
        <w:t xml:space="preserve">percentage </w:t>
      </w:r>
      <w:r w:rsidRPr="0051256C">
        <w:rPr>
          <w:b/>
          <w:sz w:val="24"/>
          <w:szCs w:val="24"/>
        </w:rPr>
        <w:t xml:space="preserve">increases </w:t>
      </w:r>
      <w:r w:rsidR="00E15F2E" w:rsidRPr="0051256C">
        <w:rPr>
          <w:b/>
          <w:sz w:val="24"/>
          <w:szCs w:val="24"/>
        </w:rPr>
        <w:t>between 2009 and 2018</w:t>
      </w:r>
    </w:p>
    <w:p w14:paraId="143A783F" w14:textId="0862956A" w:rsidR="00B86EA2" w:rsidRDefault="00DC2CF1" w:rsidP="003B6377">
      <w:pPr>
        <w:contextualSpacing/>
        <w:rPr>
          <w:color w:val="FF0000"/>
          <w:sz w:val="24"/>
          <w:szCs w:val="24"/>
        </w:rPr>
      </w:pPr>
      <w:r>
        <w:rPr>
          <w:noProof/>
          <w:lang w:val="en-AU" w:eastAsia="en-AU"/>
        </w:rPr>
        <w:drawing>
          <wp:inline distT="0" distB="0" distL="0" distR="0" wp14:anchorId="490ABCFA" wp14:editId="2FD598B7">
            <wp:extent cx="5878286" cy="3241964"/>
            <wp:effectExtent l="0" t="0" r="8255" b="158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7E7A7BE" w14:textId="77777777" w:rsidR="00F64ADD" w:rsidRDefault="00F64ADD" w:rsidP="00F64ADD">
      <w:pPr>
        <w:spacing w:after="0"/>
        <w:rPr>
          <w:rFonts w:ascii="Calibri" w:hAnsi="Calibri" w:cs="Calibri"/>
          <w:b/>
          <w:bCs/>
          <w:sz w:val="24"/>
          <w:szCs w:val="24"/>
          <w:lang w:val="en-AU"/>
        </w:rPr>
      </w:pPr>
    </w:p>
    <w:p w14:paraId="4E2A6E55" w14:textId="77777777" w:rsidR="00F64ADD" w:rsidRDefault="00F64ADD">
      <w:pPr>
        <w:rPr>
          <w:rFonts w:ascii="Calibri" w:hAnsi="Calibri" w:cs="Calibri"/>
          <w:b/>
          <w:bCs/>
          <w:sz w:val="24"/>
          <w:szCs w:val="24"/>
          <w:lang w:val="en-AU"/>
        </w:rPr>
      </w:pPr>
      <w:r>
        <w:rPr>
          <w:rFonts w:ascii="Calibri" w:hAnsi="Calibri" w:cs="Calibri"/>
          <w:b/>
          <w:bCs/>
          <w:sz w:val="24"/>
          <w:szCs w:val="24"/>
          <w:lang w:val="en-AU"/>
        </w:rPr>
        <w:br w:type="page"/>
      </w:r>
    </w:p>
    <w:p w14:paraId="5F1DE1E5" w14:textId="0C2DA548" w:rsidR="004E3A26" w:rsidRPr="00E21DEE" w:rsidRDefault="004E3A26" w:rsidP="00F64ADD">
      <w:pPr>
        <w:rPr>
          <w:b/>
          <w:sz w:val="24"/>
          <w:szCs w:val="24"/>
        </w:rPr>
      </w:pPr>
      <w:r w:rsidRPr="00E21DEE">
        <w:rPr>
          <w:rFonts w:ascii="Calibri" w:hAnsi="Calibri" w:cs="Calibri"/>
          <w:b/>
          <w:bCs/>
          <w:sz w:val="24"/>
          <w:szCs w:val="24"/>
          <w:lang w:val="en-AU"/>
        </w:rPr>
        <w:lastRenderedPageBreak/>
        <w:t xml:space="preserve">Table </w:t>
      </w:r>
      <w:r w:rsidR="00E72415">
        <w:rPr>
          <w:rFonts w:ascii="Calibri" w:hAnsi="Calibri" w:cs="Calibri"/>
          <w:b/>
          <w:bCs/>
          <w:sz w:val="24"/>
          <w:szCs w:val="24"/>
          <w:lang w:val="en-AU"/>
        </w:rPr>
        <w:t>4</w:t>
      </w:r>
      <w:r w:rsidRPr="00E21DEE">
        <w:rPr>
          <w:rFonts w:ascii="Calibri" w:hAnsi="Calibri" w:cs="Calibri"/>
          <w:b/>
          <w:bCs/>
          <w:sz w:val="24"/>
          <w:szCs w:val="24"/>
          <w:lang w:val="en-AU"/>
        </w:rPr>
        <w:t>: Economic Changes over 10 years (2009-2018)</w:t>
      </w:r>
    </w:p>
    <w:tbl>
      <w:tblPr>
        <w:tblStyle w:val="TableGrid"/>
        <w:tblW w:w="9919" w:type="dxa"/>
        <w:jc w:val="center"/>
        <w:tblLayout w:type="fixed"/>
        <w:tblLook w:val="04A0" w:firstRow="1" w:lastRow="0" w:firstColumn="1" w:lastColumn="0" w:noHBand="0" w:noVBand="1"/>
      </w:tblPr>
      <w:tblGrid>
        <w:gridCol w:w="2122"/>
        <w:gridCol w:w="708"/>
        <w:gridCol w:w="709"/>
        <w:gridCol w:w="709"/>
        <w:gridCol w:w="709"/>
        <w:gridCol w:w="708"/>
        <w:gridCol w:w="709"/>
        <w:gridCol w:w="709"/>
        <w:gridCol w:w="709"/>
        <w:gridCol w:w="712"/>
        <w:gridCol w:w="705"/>
        <w:gridCol w:w="710"/>
      </w:tblGrid>
      <w:tr w:rsidR="00863F82" w:rsidRPr="00E21DEE" w14:paraId="5B054849" w14:textId="44C91E81" w:rsidTr="00031CA5">
        <w:trPr>
          <w:jc w:val="center"/>
        </w:trPr>
        <w:tc>
          <w:tcPr>
            <w:tcW w:w="21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3A4952C" w14:textId="77777777" w:rsidR="00863F82" w:rsidRPr="00031CA5" w:rsidRDefault="00863F82" w:rsidP="00771428">
            <w:pPr>
              <w:rPr>
                <w:b/>
                <w:sz w:val="20"/>
                <w:szCs w:val="20"/>
              </w:rPr>
            </w:pPr>
            <w:r w:rsidRPr="00031CA5">
              <w:rPr>
                <w:rFonts w:ascii="Calibri" w:hAnsi="Calibri" w:cs="Calibri"/>
                <w:b/>
                <w:bCs/>
                <w:sz w:val="20"/>
                <w:szCs w:val="20"/>
                <w:lang w:val="en-AU"/>
              </w:rPr>
              <w:t>YEAR</w:t>
            </w:r>
          </w:p>
        </w:tc>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FB87BB" w14:textId="70562466" w:rsidR="00863F82" w:rsidRPr="00031CA5" w:rsidRDefault="00863F82" w:rsidP="00031CA5">
            <w:pPr>
              <w:jc w:val="center"/>
              <w:rPr>
                <w:rFonts w:ascii="Calibri" w:hAnsi="Calibri" w:cs="Calibri"/>
                <w:b/>
                <w:bCs/>
                <w:sz w:val="20"/>
                <w:szCs w:val="20"/>
                <w:lang w:val="en-AU"/>
              </w:rPr>
            </w:pPr>
            <w:r w:rsidRPr="00031CA5">
              <w:rPr>
                <w:rFonts w:ascii="Calibri" w:hAnsi="Calibri" w:cs="Calibri"/>
                <w:b/>
                <w:bCs/>
                <w:sz w:val="20"/>
                <w:szCs w:val="20"/>
                <w:lang w:val="en-AU"/>
              </w:rPr>
              <w:t>2009</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930D76" w14:textId="74E32351" w:rsidR="00863F82" w:rsidRPr="00031CA5" w:rsidRDefault="00863F82" w:rsidP="00031CA5">
            <w:pPr>
              <w:jc w:val="center"/>
              <w:rPr>
                <w:rFonts w:ascii="Calibri" w:hAnsi="Calibri" w:cs="Calibri"/>
                <w:b/>
                <w:bCs/>
                <w:sz w:val="20"/>
                <w:szCs w:val="20"/>
                <w:lang w:val="en-AU"/>
              </w:rPr>
            </w:pPr>
            <w:r w:rsidRPr="00031CA5">
              <w:rPr>
                <w:rFonts w:ascii="Calibri" w:hAnsi="Calibri" w:cs="Calibri"/>
                <w:b/>
                <w:bCs/>
                <w:sz w:val="20"/>
                <w:szCs w:val="20"/>
                <w:lang w:val="en-AU"/>
              </w:rPr>
              <w:t>2010</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7863DF" w14:textId="40B4DAAF" w:rsidR="00863F82" w:rsidRPr="00031CA5" w:rsidRDefault="00863F82" w:rsidP="00031CA5">
            <w:pPr>
              <w:jc w:val="center"/>
              <w:rPr>
                <w:rFonts w:ascii="Calibri" w:hAnsi="Calibri" w:cs="Calibri"/>
                <w:b/>
                <w:bCs/>
                <w:sz w:val="20"/>
                <w:szCs w:val="20"/>
                <w:lang w:val="en-AU"/>
              </w:rPr>
            </w:pPr>
            <w:r w:rsidRPr="00031CA5">
              <w:rPr>
                <w:rFonts w:ascii="Calibri" w:hAnsi="Calibri" w:cs="Calibri"/>
                <w:b/>
                <w:bCs/>
                <w:sz w:val="20"/>
                <w:szCs w:val="20"/>
                <w:lang w:val="en-AU"/>
              </w:rPr>
              <w:t>2011</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9C5387" w14:textId="753642F0" w:rsidR="00863F82" w:rsidRPr="00031CA5" w:rsidRDefault="00863F82" w:rsidP="00031CA5">
            <w:pPr>
              <w:jc w:val="center"/>
              <w:rPr>
                <w:rFonts w:ascii="Calibri" w:hAnsi="Calibri" w:cs="Calibri"/>
                <w:b/>
                <w:bCs/>
                <w:sz w:val="20"/>
                <w:szCs w:val="20"/>
                <w:lang w:val="en-AU"/>
              </w:rPr>
            </w:pPr>
            <w:r w:rsidRPr="00031CA5">
              <w:rPr>
                <w:rFonts w:ascii="Calibri" w:hAnsi="Calibri" w:cs="Calibri"/>
                <w:b/>
                <w:bCs/>
                <w:sz w:val="20"/>
                <w:szCs w:val="20"/>
                <w:lang w:val="en-AU"/>
              </w:rPr>
              <w:t>2012</w:t>
            </w:r>
          </w:p>
        </w:tc>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3D4301" w14:textId="3DB2E973" w:rsidR="00863F82" w:rsidRPr="00031CA5" w:rsidRDefault="00863F82" w:rsidP="00031CA5">
            <w:pPr>
              <w:jc w:val="center"/>
              <w:rPr>
                <w:rFonts w:ascii="Calibri" w:hAnsi="Calibri" w:cs="Calibri"/>
                <w:b/>
                <w:bCs/>
                <w:sz w:val="20"/>
                <w:szCs w:val="20"/>
                <w:lang w:val="en-AU"/>
              </w:rPr>
            </w:pPr>
            <w:r w:rsidRPr="00031CA5">
              <w:rPr>
                <w:rFonts w:ascii="Calibri" w:hAnsi="Calibri" w:cs="Calibri"/>
                <w:b/>
                <w:bCs/>
                <w:sz w:val="20"/>
                <w:szCs w:val="20"/>
                <w:lang w:val="en-AU"/>
              </w:rPr>
              <w:t>2013</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40327C" w14:textId="13B2A8C9" w:rsidR="00863F82" w:rsidRPr="00031CA5" w:rsidRDefault="00863F82" w:rsidP="00031CA5">
            <w:pPr>
              <w:jc w:val="center"/>
              <w:rPr>
                <w:rFonts w:ascii="Calibri" w:hAnsi="Calibri" w:cs="Calibri"/>
                <w:b/>
                <w:bCs/>
                <w:sz w:val="20"/>
                <w:szCs w:val="20"/>
                <w:lang w:val="en-AU"/>
              </w:rPr>
            </w:pPr>
            <w:r w:rsidRPr="00031CA5">
              <w:rPr>
                <w:rFonts w:ascii="Calibri" w:hAnsi="Calibri" w:cs="Calibri"/>
                <w:b/>
                <w:bCs/>
                <w:sz w:val="20"/>
                <w:szCs w:val="20"/>
                <w:lang w:val="en-AU"/>
              </w:rPr>
              <w:t>2014</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DDB6F0" w14:textId="4801EFDA" w:rsidR="00863F82" w:rsidRPr="00031CA5" w:rsidRDefault="00863F82" w:rsidP="00031CA5">
            <w:pPr>
              <w:jc w:val="center"/>
              <w:rPr>
                <w:rFonts w:ascii="Calibri" w:hAnsi="Calibri" w:cs="Calibri"/>
                <w:b/>
                <w:bCs/>
                <w:sz w:val="20"/>
                <w:szCs w:val="20"/>
                <w:lang w:val="en-AU"/>
              </w:rPr>
            </w:pPr>
            <w:r w:rsidRPr="00031CA5">
              <w:rPr>
                <w:rFonts w:ascii="Calibri" w:hAnsi="Calibri" w:cs="Calibri"/>
                <w:b/>
                <w:bCs/>
                <w:sz w:val="20"/>
                <w:szCs w:val="20"/>
                <w:lang w:val="en-AU"/>
              </w:rPr>
              <w:t>2015</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BFBA48" w14:textId="0D5B46F4" w:rsidR="00863F82" w:rsidRPr="00031CA5" w:rsidRDefault="00863F82" w:rsidP="00031CA5">
            <w:pPr>
              <w:jc w:val="center"/>
              <w:rPr>
                <w:rFonts w:ascii="Calibri" w:hAnsi="Calibri" w:cs="Calibri"/>
                <w:b/>
                <w:bCs/>
                <w:sz w:val="20"/>
                <w:szCs w:val="20"/>
                <w:lang w:val="en-AU"/>
              </w:rPr>
            </w:pPr>
            <w:r w:rsidRPr="00031CA5">
              <w:rPr>
                <w:rFonts w:ascii="Calibri" w:hAnsi="Calibri" w:cs="Calibri"/>
                <w:b/>
                <w:bCs/>
                <w:sz w:val="20"/>
                <w:szCs w:val="20"/>
                <w:lang w:val="en-AU"/>
              </w:rPr>
              <w:t>2016</w:t>
            </w:r>
          </w:p>
        </w:tc>
        <w:tc>
          <w:tcPr>
            <w:tcW w:w="7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5A0C43" w14:textId="01BDC06F" w:rsidR="00863F82" w:rsidRPr="00031CA5" w:rsidRDefault="00863F82" w:rsidP="00031CA5">
            <w:pPr>
              <w:jc w:val="center"/>
              <w:rPr>
                <w:rFonts w:ascii="Calibri" w:hAnsi="Calibri" w:cs="Calibri"/>
                <w:b/>
                <w:bCs/>
                <w:sz w:val="20"/>
                <w:szCs w:val="20"/>
                <w:lang w:val="en-AU"/>
              </w:rPr>
            </w:pPr>
            <w:r w:rsidRPr="00031CA5">
              <w:rPr>
                <w:rFonts w:ascii="Calibri" w:hAnsi="Calibri" w:cs="Calibri"/>
                <w:b/>
                <w:bCs/>
                <w:sz w:val="20"/>
                <w:szCs w:val="20"/>
                <w:lang w:val="en-AU"/>
              </w:rPr>
              <w:t>2017</w:t>
            </w:r>
          </w:p>
        </w:tc>
        <w:tc>
          <w:tcPr>
            <w:tcW w:w="7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954858" w14:textId="678C01DE" w:rsidR="00863F82" w:rsidRPr="00031CA5" w:rsidRDefault="00863F82" w:rsidP="00031CA5">
            <w:pPr>
              <w:jc w:val="center"/>
              <w:rPr>
                <w:rFonts w:ascii="Calibri" w:hAnsi="Calibri" w:cs="Calibri"/>
                <w:b/>
                <w:bCs/>
                <w:sz w:val="20"/>
                <w:szCs w:val="20"/>
                <w:lang w:val="en-AU"/>
              </w:rPr>
            </w:pPr>
            <w:r w:rsidRPr="00031CA5">
              <w:rPr>
                <w:rFonts w:ascii="Calibri" w:hAnsi="Calibri" w:cs="Calibri"/>
                <w:b/>
                <w:bCs/>
                <w:sz w:val="20"/>
                <w:szCs w:val="20"/>
                <w:lang w:val="en-AU"/>
              </w:rPr>
              <w:t>2018</w:t>
            </w:r>
          </w:p>
        </w:tc>
        <w:tc>
          <w:tcPr>
            <w:tcW w:w="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A40AE2" w14:textId="0E4910A2" w:rsidR="00863F82" w:rsidRPr="00031CA5" w:rsidRDefault="00264A5D" w:rsidP="00031CA5">
            <w:pPr>
              <w:jc w:val="center"/>
              <w:rPr>
                <w:rFonts w:ascii="Calibri" w:hAnsi="Calibri" w:cs="Calibri"/>
                <w:b/>
                <w:bCs/>
                <w:sz w:val="20"/>
                <w:szCs w:val="20"/>
                <w:lang w:val="en-AU"/>
              </w:rPr>
            </w:pPr>
            <w:r w:rsidRPr="00031CA5">
              <w:rPr>
                <w:rFonts w:ascii="Calibri" w:hAnsi="Calibri" w:cs="Calibri"/>
                <w:b/>
                <w:bCs/>
                <w:sz w:val="20"/>
                <w:szCs w:val="20"/>
                <w:lang w:val="en-AU"/>
              </w:rPr>
              <w:t>Avg.</w:t>
            </w:r>
          </w:p>
        </w:tc>
      </w:tr>
      <w:tr w:rsidR="00863F82" w:rsidRPr="00E21DEE" w14:paraId="5AABA81C" w14:textId="1A428002" w:rsidTr="00031CA5">
        <w:trPr>
          <w:jc w:val="center"/>
        </w:trPr>
        <w:tc>
          <w:tcPr>
            <w:tcW w:w="21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4B2FD12" w14:textId="77777777" w:rsidR="00863F82" w:rsidRPr="00031CA5" w:rsidRDefault="00863F82" w:rsidP="00771428">
            <w:pPr>
              <w:autoSpaceDE w:val="0"/>
              <w:autoSpaceDN w:val="0"/>
              <w:adjustRightInd w:val="0"/>
              <w:rPr>
                <w:rFonts w:ascii="Calibri" w:hAnsi="Calibri" w:cs="Calibri"/>
                <w:sz w:val="20"/>
                <w:szCs w:val="20"/>
                <w:lang w:val="en-AU"/>
              </w:rPr>
            </w:pPr>
            <w:r w:rsidRPr="00031CA5">
              <w:rPr>
                <w:rFonts w:ascii="Calibri" w:hAnsi="Calibri" w:cs="Calibri"/>
                <w:b/>
                <w:bCs/>
                <w:sz w:val="20"/>
                <w:szCs w:val="20"/>
                <w:lang w:val="en-AU"/>
              </w:rPr>
              <w:t xml:space="preserve">CPI </w:t>
            </w:r>
          </w:p>
          <w:p w14:paraId="11A3929A" w14:textId="1D27B514" w:rsidR="00863F82" w:rsidRPr="00031CA5" w:rsidRDefault="00863F82" w:rsidP="00771428">
            <w:pPr>
              <w:rPr>
                <w:b/>
                <w:sz w:val="20"/>
                <w:szCs w:val="20"/>
              </w:rPr>
            </w:pPr>
            <w:r w:rsidRPr="00031CA5">
              <w:rPr>
                <w:rFonts w:ascii="Calibri" w:hAnsi="Calibri" w:cs="Calibri"/>
                <w:sz w:val="20"/>
                <w:szCs w:val="20"/>
                <w:lang w:val="en-AU"/>
              </w:rPr>
              <w:t>(</w:t>
            </w:r>
            <w:r w:rsidR="00031CA5">
              <w:rPr>
                <w:rFonts w:ascii="Calibri" w:hAnsi="Calibri" w:cs="Calibri"/>
                <w:sz w:val="20"/>
                <w:szCs w:val="20"/>
                <w:lang w:val="en-AU"/>
              </w:rPr>
              <w:t>% change for the year to June quarte</w:t>
            </w:r>
            <w:r w:rsidRPr="00031CA5">
              <w:rPr>
                <w:rFonts w:ascii="Calibri" w:hAnsi="Calibri" w:cs="Calibri"/>
                <w:sz w:val="20"/>
                <w:szCs w:val="20"/>
                <w:lang w:val="en-AU"/>
              </w:rPr>
              <w:t>r – from ABS)</w:t>
            </w:r>
          </w:p>
        </w:tc>
        <w:tc>
          <w:tcPr>
            <w:tcW w:w="708" w:type="dxa"/>
            <w:tcBorders>
              <w:top w:val="single" w:sz="4" w:space="0" w:color="auto"/>
              <w:left w:val="single" w:sz="4" w:space="0" w:color="auto"/>
              <w:bottom w:val="single" w:sz="4" w:space="0" w:color="auto"/>
              <w:right w:val="single" w:sz="4" w:space="0" w:color="auto"/>
            </w:tcBorders>
          </w:tcPr>
          <w:p w14:paraId="4B3BE98C" w14:textId="7D120645" w:rsidR="00863F82" w:rsidRPr="00031CA5" w:rsidRDefault="00863F82" w:rsidP="00771428">
            <w:pPr>
              <w:jc w:val="center"/>
              <w:rPr>
                <w:rFonts w:ascii="Calibri" w:hAnsi="Calibri" w:cs="Calibri"/>
                <w:sz w:val="20"/>
                <w:szCs w:val="20"/>
                <w:lang w:val="en-AU"/>
              </w:rPr>
            </w:pPr>
            <w:r w:rsidRPr="00031CA5">
              <w:rPr>
                <w:rFonts w:ascii="Calibri" w:hAnsi="Calibri" w:cs="Calibri"/>
                <w:sz w:val="20"/>
                <w:szCs w:val="20"/>
                <w:lang w:val="en-AU"/>
              </w:rPr>
              <w:t>1.5</w:t>
            </w:r>
          </w:p>
        </w:tc>
        <w:tc>
          <w:tcPr>
            <w:tcW w:w="709" w:type="dxa"/>
            <w:tcBorders>
              <w:top w:val="single" w:sz="4" w:space="0" w:color="auto"/>
              <w:left w:val="single" w:sz="4" w:space="0" w:color="auto"/>
              <w:bottom w:val="single" w:sz="4" w:space="0" w:color="auto"/>
              <w:right w:val="single" w:sz="4" w:space="0" w:color="auto"/>
            </w:tcBorders>
          </w:tcPr>
          <w:p w14:paraId="547B8443" w14:textId="03C73DAF" w:rsidR="00863F82" w:rsidRPr="00031CA5" w:rsidRDefault="00863F82" w:rsidP="00771428">
            <w:pPr>
              <w:jc w:val="center"/>
              <w:rPr>
                <w:rFonts w:ascii="Calibri" w:hAnsi="Calibri" w:cs="Calibri"/>
                <w:sz w:val="20"/>
                <w:szCs w:val="20"/>
                <w:lang w:val="en-AU"/>
              </w:rPr>
            </w:pPr>
            <w:r w:rsidRPr="00031CA5">
              <w:rPr>
                <w:rFonts w:ascii="Calibri" w:hAnsi="Calibri" w:cs="Calibri"/>
                <w:sz w:val="20"/>
                <w:szCs w:val="20"/>
                <w:lang w:val="en-AU"/>
              </w:rPr>
              <w:t>3.1</w:t>
            </w:r>
          </w:p>
        </w:tc>
        <w:tc>
          <w:tcPr>
            <w:tcW w:w="709" w:type="dxa"/>
            <w:tcBorders>
              <w:top w:val="single" w:sz="4" w:space="0" w:color="auto"/>
              <w:left w:val="single" w:sz="4" w:space="0" w:color="auto"/>
              <w:bottom w:val="single" w:sz="4" w:space="0" w:color="auto"/>
              <w:right w:val="single" w:sz="4" w:space="0" w:color="auto"/>
            </w:tcBorders>
          </w:tcPr>
          <w:p w14:paraId="218DE777" w14:textId="71241E55" w:rsidR="00863F82" w:rsidRPr="00031CA5" w:rsidRDefault="00863F82" w:rsidP="00771428">
            <w:pPr>
              <w:jc w:val="center"/>
              <w:rPr>
                <w:rFonts w:ascii="Calibri" w:hAnsi="Calibri" w:cs="Calibri"/>
                <w:sz w:val="20"/>
                <w:szCs w:val="20"/>
                <w:lang w:val="en-AU"/>
              </w:rPr>
            </w:pPr>
            <w:r w:rsidRPr="00031CA5">
              <w:rPr>
                <w:rFonts w:ascii="Calibri" w:hAnsi="Calibri" w:cs="Calibri"/>
                <w:sz w:val="20"/>
                <w:szCs w:val="20"/>
                <w:lang w:val="en-AU"/>
              </w:rPr>
              <w:t>3.5</w:t>
            </w:r>
          </w:p>
        </w:tc>
        <w:tc>
          <w:tcPr>
            <w:tcW w:w="709" w:type="dxa"/>
            <w:tcBorders>
              <w:top w:val="single" w:sz="4" w:space="0" w:color="auto"/>
              <w:left w:val="single" w:sz="4" w:space="0" w:color="auto"/>
              <w:bottom w:val="single" w:sz="4" w:space="0" w:color="auto"/>
              <w:right w:val="single" w:sz="4" w:space="0" w:color="auto"/>
            </w:tcBorders>
          </w:tcPr>
          <w:p w14:paraId="5BF59400" w14:textId="76A5D387" w:rsidR="00863F82" w:rsidRPr="00031CA5" w:rsidRDefault="00863F82" w:rsidP="00771428">
            <w:pPr>
              <w:jc w:val="center"/>
              <w:rPr>
                <w:rFonts w:ascii="Calibri" w:hAnsi="Calibri" w:cs="Calibri"/>
                <w:sz w:val="20"/>
                <w:szCs w:val="20"/>
                <w:lang w:val="en-AU"/>
              </w:rPr>
            </w:pPr>
            <w:r w:rsidRPr="00031CA5">
              <w:rPr>
                <w:rFonts w:ascii="Calibri" w:hAnsi="Calibri" w:cs="Calibri"/>
                <w:sz w:val="20"/>
                <w:szCs w:val="20"/>
                <w:lang w:val="en-AU"/>
              </w:rPr>
              <w:t>1.2</w:t>
            </w:r>
          </w:p>
        </w:tc>
        <w:tc>
          <w:tcPr>
            <w:tcW w:w="708" w:type="dxa"/>
            <w:tcBorders>
              <w:top w:val="single" w:sz="4" w:space="0" w:color="auto"/>
              <w:left w:val="single" w:sz="4" w:space="0" w:color="auto"/>
              <w:bottom w:val="single" w:sz="4" w:space="0" w:color="auto"/>
              <w:right w:val="single" w:sz="4" w:space="0" w:color="auto"/>
            </w:tcBorders>
          </w:tcPr>
          <w:p w14:paraId="773BA0AF" w14:textId="13A077AC" w:rsidR="00863F82" w:rsidRPr="00031CA5" w:rsidRDefault="00863F82" w:rsidP="00771428">
            <w:pPr>
              <w:jc w:val="center"/>
              <w:rPr>
                <w:rFonts w:ascii="Calibri" w:hAnsi="Calibri" w:cs="Calibri"/>
                <w:sz w:val="20"/>
                <w:szCs w:val="20"/>
                <w:lang w:val="en-AU"/>
              </w:rPr>
            </w:pPr>
            <w:r w:rsidRPr="00031CA5">
              <w:rPr>
                <w:rFonts w:ascii="Calibri" w:hAnsi="Calibri" w:cs="Calibri"/>
                <w:sz w:val="20"/>
                <w:szCs w:val="20"/>
                <w:lang w:val="en-AU"/>
              </w:rPr>
              <w:t>2.4</w:t>
            </w:r>
          </w:p>
        </w:tc>
        <w:tc>
          <w:tcPr>
            <w:tcW w:w="709" w:type="dxa"/>
            <w:tcBorders>
              <w:top w:val="single" w:sz="4" w:space="0" w:color="auto"/>
              <w:left w:val="single" w:sz="4" w:space="0" w:color="auto"/>
              <w:bottom w:val="single" w:sz="4" w:space="0" w:color="auto"/>
              <w:right w:val="single" w:sz="4" w:space="0" w:color="auto"/>
            </w:tcBorders>
          </w:tcPr>
          <w:p w14:paraId="45904DDD" w14:textId="149DC2C0" w:rsidR="00863F82" w:rsidRPr="00031CA5" w:rsidRDefault="00863F82" w:rsidP="00771428">
            <w:pPr>
              <w:jc w:val="center"/>
              <w:rPr>
                <w:b/>
                <w:sz w:val="20"/>
                <w:szCs w:val="20"/>
              </w:rPr>
            </w:pPr>
            <w:r w:rsidRPr="00031CA5">
              <w:rPr>
                <w:rFonts w:ascii="Calibri" w:hAnsi="Calibri" w:cs="Calibri"/>
                <w:sz w:val="20"/>
                <w:szCs w:val="20"/>
                <w:lang w:val="en-AU"/>
              </w:rPr>
              <w:t>3.0</w:t>
            </w:r>
          </w:p>
        </w:tc>
        <w:tc>
          <w:tcPr>
            <w:tcW w:w="709" w:type="dxa"/>
            <w:tcBorders>
              <w:top w:val="single" w:sz="4" w:space="0" w:color="auto"/>
              <w:left w:val="single" w:sz="4" w:space="0" w:color="auto"/>
              <w:bottom w:val="single" w:sz="4" w:space="0" w:color="auto"/>
              <w:right w:val="single" w:sz="4" w:space="0" w:color="auto"/>
            </w:tcBorders>
          </w:tcPr>
          <w:p w14:paraId="4C07ED87" w14:textId="1B73FFB9" w:rsidR="00863F82" w:rsidRPr="00031CA5" w:rsidRDefault="00863F82" w:rsidP="00771428">
            <w:pPr>
              <w:jc w:val="center"/>
              <w:rPr>
                <w:b/>
                <w:sz w:val="20"/>
                <w:szCs w:val="20"/>
              </w:rPr>
            </w:pPr>
            <w:r w:rsidRPr="00031CA5">
              <w:rPr>
                <w:rFonts w:ascii="Calibri" w:hAnsi="Calibri" w:cs="Calibri"/>
                <w:sz w:val="20"/>
                <w:szCs w:val="20"/>
                <w:lang w:val="en-AU"/>
              </w:rPr>
              <w:t>1.5</w:t>
            </w:r>
          </w:p>
        </w:tc>
        <w:tc>
          <w:tcPr>
            <w:tcW w:w="709" w:type="dxa"/>
            <w:tcBorders>
              <w:top w:val="single" w:sz="4" w:space="0" w:color="auto"/>
              <w:left w:val="single" w:sz="4" w:space="0" w:color="auto"/>
              <w:bottom w:val="single" w:sz="4" w:space="0" w:color="auto"/>
              <w:right w:val="single" w:sz="4" w:space="0" w:color="auto"/>
            </w:tcBorders>
          </w:tcPr>
          <w:p w14:paraId="67303081" w14:textId="4AD268CC" w:rsidR="00863F82" w:rsidRPr="00031CA5" w:rsidRDefault="00863F82" w:rsidP="00771428">
            <w:pPr>
              <w:jc w:val="center"/>
              <w:rPr>
                <w:b/>
                <w:sz w:val="20"/>
                <w:szCs w:val="20"/>
              </w:rPr>
            </w:pPr>
            <w:r w:rsidRPr="00031CA5">
              <w:rPr>
                <w:rFonts w:ascii="Calibri" w:hAnsi="Calibri" w:cs="Calibri"/>
                <w:sz w:val="20"/>
                <w:szCs w:val="20"/>
                <w:lang w:val="en-AU"/>
              </w:rPr>
              <w:t>1.0</w:t>
            </w:r>
          </w:p>
        </w:tc>
        <w:tc>
          <w:tcPr>
            <w:tcW w:w="712" w:type="dxa"/>
            <w:tcBorders>
              <w:top w:val="single" w:sz="4" w:space="0" w:color="auto"/>
              <w:left w:val="single" w:sz="4" w:space="0" w:color="auto"/>
              <w:bottom w:val="single" w:sz="4" w:space="0" w:color="auto"/>
              <w:right w:val="single" w:sz="4" w:space="0" w:color="auto"/>
            </w:tcBorders>
          </w:tcPr>
          <w:p w14:paraId="3EC1A43F" w14:textId="60868AF6" w:rsidR="00863F82" w:rsidRPr="00031CA5" w:rsidRDefault="00863F82" w:rsidP="00771428">
            <w:pPr>
              <w:jc w:val="center"/>
              <w:rPr>
                <w:b/>
                <w:sz w:val="20"/>
                <w:szCs w:val="20"/>
              </w:rPr>
            </w:pPr>
            <w:r w:rsidRPr="00031CA5">
              <w:rPr>
                <w:rFonts w:ascii="Calibri" w:hAnsi="Calibri" w:cs="Calibri"/>
                <w:sz w:val="20"/>
                <w:szCs w:val="20"/>
                <w:lang w:val="en-AU"/>
              </w:rPr>
              <w:t>1.9</w:t>
            </w:r>
          </w:p>
        </w:tc>
        <w:tc>
          <w:tcPr>
            <w:tcW w:w="705" w:type="dxa"/>
            <w:tcBorders>
              <w:top w:val="single" w:sz="4" w:space="0" w:color="auto"/>
              <w:left w:val="single" w:sz="4" w:space="0" w:color="auto"/>
              <w:bottom w:val="single" w:sz="4" w:space="0" w:color="auto"/>
              <w:right w:val="single" w:sz="4" w:space="0" w:color="auto"/>
            </w:tcBorders>
          </w:tcPr>
          <w:p w14:paraId="25C6E77F" w14:textId="4F049435" w:rsidR="00863F82" w:rsidRPr="00031CA5" w:rsidRDefault="00863F82" w:rsidP="00771428">
            <w:pPr>
              <w:jc w:val="center"/>
              <w:rPr>
                <w:b/>
                <w:sz w:val="20"/>
                <w:szCs w:val="20"/>
              </w:rPr>
            </w:pPr>
            <w:r w:rsidRPr="00031CA5">
              <w:rPr>
                <w:rFonts w:ascii="Calibri" w:hAnsi="Calibri" w:cs="Calibri"/>
                <w:sz w:val="20"/>
                <w:szCs w:val="20"/>
                <w:lang w:val="en-AU"/>
              </w:rPr>
              <w:t>2.1</w:t>
            </w:r>
          </w:p>
        </w:tc>
        <w:tc>
          <w:tcPr>
            <w:tcW w:w="710" w:type="dxa"/>
            <w:tcBorders>
              <w:top w:val="single" w:sz="4" w:space="0" w:color="auto"/>
              <w:left w:val="single" w:sz="4" w:space="0" w:color="auto"/>
              <w:bottom w:val="single" w:sz="4" w:space="0" w:color="auto"/>
              <w:right w:val="single" w:sz="4" w:space="0" w:color="auto"/>
            </w:tcBorders>
          </w:tcPr>
          <w:p w14:paraId="0435829B" w14:textId="3A586ECA" w:rsidR="00863F82" w:rsidRPr="00031CA5" w:rsidRDefault="00264A5D" w:rsidP="00264A5D">
            <w:pPr>
              <w:jc w:val="center"/>
              <w:rPr>
                <w:rFonts w:ascii="Calibri" w:hAnsi="Calibri" w:cs="Calibri"/>
                <w:sz w:val="20"/>
                <w:szCs w:val="20"/>
                <w:lang w:val="en-AU"/>
              </w:rPr>
            </w:pPr>
            <w:r w:rsidRPr="00031CA5">
              <w:rPr>
                <w:rFonts w:ascii="Calibri" w:hAnsi="Calibri" w:cs="Calibri"/>
                <w:sz w:val="20"/>
                <w:szCs w:val="20"/>
                <w:lang w:val="en-AU"/>
              </w:rPr>
              <w:t>2.1</w:t>
            </w:r>
          </w:p>
        </w:tc>
      </w:tr>
      <w:tr w:rsidR="00863F82" w:rsidRPr="00E21DEE" w14:paraId="227FD818" w14:textId="13E0186D" w:rsidTr="00031CA5">
        <w:trPr>
          <w:jc w:val="center"/>
        </w:trPr>
        <w:tc>
          <w:tcPr>
            <w:tcW w:w="21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65D2420" w14:textId="77777777" w:rsidR="00863F82" w:rsidRPr="00031CA5" w:rsidRDefault="00863F82" w:rsidP="00771428">
            <w:pPr>
              <w:autoSpaceDE w:val="0"/>
              <w:autoSpaceDN w:val="0"/>
              <w:adjustRightInd w:val="0"/>
              <w:rPr>
                <w:rFonts w:ascii="Calibri" w:hAnsi="Calibri" w:cs="Calibri"/>
                <w:sz w:val="20"/>
                <w:szCs w:val="20"/>
                <w:lang w:val="en-AU"/>
              </w:rPr>
            </w:pPr>
            <w:r w:rsidRPr="00031CA5">
              <w:rPr>
                <w:rFonts w:ascii="Calibri" w:hAnsi="Calibri" w:cs="Calibri"/>
                <w:b/>
                <w:bCs/>
                <w:sz w:val="20"/>
                <w:szCs w:val="20"/>
                <w:lang w:val="en-AU"/>
              </w:rPr>
              <w:t xml:space="preserve">Annual wage review </w:t>
            </w:r>
          </w:p>
          <w:p w14:paraId="3E3F8CF5" w14:textId="77777777" w:rsidR="00863F82" w:rsidRPr="00031CA5" w:rsidRDefault="00863F82" w:rsidP="00771428">
            <w:pPr>
              <w:rPr>
                <w:b/>
                <w:sz w:val="20"/>
                <w:szCs w:val="20"/>
              </w:rPr>
            </w:pPr>
            <w:r w:rsidRPr="00031CA5">
              <w:rPr>
                <w:rFonts w:ascii="Calibri" w:hAnsi="Calibri" w:cs="Calibri"/>
                <w:sz w:val="20"/>
                <w:szCs w:val="20"/>
                <w:lang w:val="en-AU"/>
              </w:rPr>
              <w:t>(% increase – from Fair Work Commission)</w:t>
            </w:r>
          </w:p>
        </w:tc>
        <w:tc>
          <w:tcPr>
            <w:tcW w:w="708" w:type="dxa"/>
            <w:tcBorders>
              <w:top w:val="single" w:sz="4" w:space="0" w:color="auto"/>
              <w:left w:val="single" w:sz="4" w:space="0" w:color="auto"/>
              <w:bottom w:val="single" w:sz="4" w:space="0" w:color="auto"/>
              <w:right w:val="single" w:sz="4" w:space="0" w:color="auto"/>
            </w:tcBorders>
          </w:tcPr>
          <w:p w14:paraId="270F68B9" w14:textId="37879215" w:rsidR="00863F82" w:rsidRPr="00031CA5" w:rsidRDefault="00863F82" w:rsidP="00771428">
            <w:pPr>
              <w:jc w:val="center"/>
              <w:rPr>
                <w:rFonts w:ascii="Calibri" w:hAnsi="Calibri" w:cs="Calibri"/>
                <w:sz w:val="20"/>
                <w:szCs w:val="20"/>
                <w:lang w:val="en-AU"/>
              </w:rPr>
            </w:pPr>
            <w:r w:rsidRPr="00031CA5">
              <w:rPr>
                <w:rFonts w:ascii="Calibri" w:hAnsi="Calibri" w:cs="Calibri"/>
                <w:sz w:val="20"/>
                <w:szCs w:val="20"/>
                <w:lang w:val="en-AU"/>
              </w:rPr>
              <w:t>0</w:t>
            </w:r>
          </w:p>
        </w:tc>
        <w:tc>
          <w:tcPr>
            <w:tcW w:w="709" w:type="dxa"/>
            <w:tcBorders>
              <w:top w:val="single" w:sz="4" w:space="0" w:color="auto"/>
              <w:left w:val="single" w:sz="4" w:space="0" w:color="auto"/>
              <w:bottom w:val="single" w:sz="4" w:space="0" w:color="auto"/>
              <w:right w:val="single" w:sz="4" w:space="0" w:color="auto"/>
            </w:tcBorders>
          </w:tcPr>
          <w:p w14:paraId="15315342" w14:textId="0D9607BE" w:rsidR="00863F82" w:rsidRPr="00031CA5" w:rsidRDefault="00863F82" w:rsidP="00771428">
            <w:pPr>
              <w:jc w:val="center"/>
              <w:rPr>
                <w:rFonts w:ascii="Calibri" w:hAnsi="Calibri" w:cs="Calibri"/>
                <w:sz w:val="20"/>
                <w:szCs w:val="20"/>
                <w:lang w:val="en-AU"/>
              </w:rPr>
            </w:pPr>
            <w:r w:rsidRPr="00031CA5">
              <w:rPr>
                <w:rFonts w:ascii="Calibri" w:hAnsi="Calibri" w:cs="Calibri"/>
                <w:sz w:val="20"/>
                <w:szCs w:val="20"/>
                <w:lang w:val="en-AU"/>
              </w:rPr>
              <w:t>4.8</w:t>
            </w:r>
          </w:p>
        </w:tc>
        <w:tc>
          <w:tcPr>
            <w:tcW w:w="709" w:type="dxa"/>
            <w:tcBorders>
              <w:top w:val="single" w:sz="4" w:space="0" w:color="auto"/>
              <w:left w:val="single" w:sz="4" w:space="0" w:color="auto"/>
              <w:bottom w:val="single" w:sz="4" w:space="0" w:color="auto"/>
              <w:right w:val="single" w:sz="4" w:space="0" w:color="auto"/>
            </w:tcBorders>
          </w:tcPr>
          <w:p w14:paraId="2053BA7C" w14:textId="11AC8A6F" w:rsidR="00863F82" w:rsidRPr="00031CA5" w:rsidRDefault="00863F82" w:rsidP="00771428">
            <w:pPr>
              <w:jc w:val="center"/>
              <w:rPr>
                <w:rFonts w:ascii="Calibri" w:hAnsi="Calibri" w:cs="Calibri"/>
                <w:sz w:val="20"/>
                <w:szCs w:val="20"/>
                <w:lang w:val="en-AU"/>
              </w:rPr>
            </w:pPr>
            <w:r w:rsidRPr="00031CA5">
              <w:rPr>
                <w:rFonts w:ascii="Calibri" w:hAnsi="Calibri" w:cs="Calibri"/>
                <w:sz w:val="20"/>
                <w:szCs w:val="20"/>
                <w:lang w:val="en-AU"/>
              </w:rPr>
              <w:t>3.4</w:t>
            </w:r>
          </w:p>
        </w:tc>
        <w:tc>
          <w:tcPr>
            <w:tcW w:w="709" w:type="dxa"/>
            <w:tcBorders>
              <w:top w:val="single" w:sz="4" w:space="0" w:color="auto"/>
              <w:left w:val="single" w:sz="4" w:space="0" w:color="auto"/>
              <w:bottom w:val="single" w:sz="4" w:space="0" w:color="auto"/>
              <w:right w:val="single" w:sz="4" w:space="0" w:color="auto"/>
            </w:tcBorders>
          </w:tcPr>
          <w:p w14:paraId="4725E0AB" w14:textId="52B0E012" w:rsidR="00863F82" w:rsidRPr="00031CA5" w:rsidRDefault="00863F82" w:rsidP="00771428">
            <w:pPr>
              <w:jc w:val="center"/>
              <w:rPr>
                <w:rFonts w:ascii="Calibri" w:hAnsi="Calibri" w:cs="Calibri"/>
                <w:sz w:val="20"/>
                <w:szCs w:val="20"/>
                <w:lang w:val="en-AU"/>
              </w:rPr>
            </w:pPr>
            <w:r w:rsidRPr="00031CA5">
              <w:rPr>
                <w:rFonts w:ascii="Calibri" w:hAnsi="Calibri" w:cs="Calibri"/>
                <w:sz w:val="20"/>
                <w:szCs w:val="20"/>
                <w:lang w:val="en-AU"/>
              </w:rPr>
              <w:t>2.9</w:t>
            </w:r>
          </w:p>
        </w:tc>
        <w:tc>
          <w:tcPr>
            <w:tcW w:w="708" w:type="dxa"/>
            <w:tcBorders>
              <w:top w:val="single" w:sz="4" w:space="0" w:color="auto"/>
              <w:left w:val="single" w:sz="4" w:space="0" w:color="auto"/>
              <w:bottom w:val="single" w:sz="4" w:space="0" w:color="auto"/>
              <w:right w:val="single" w:sz="4" w:space="0" w:color="auto"/>
            </w:tcBorders>
          </w:tcPr>
          <w:p w14:paraId="1328CDC0" w14:textId="0E1BAB5F" w:rsidR="00863F82" w:rsidRPr="00031CA5" w:rsidRDefault="00863F82" w:rsidP="00771428">
            <w:pPr>
              <w:jc w:val="center"/>
              <w:rPr>
                <w:rFonts w:ascii="Calibri" w:hAnsi="Calibri" w:cs="Calibri"/>
                <w:sz w:val="20"/>
                <w:szCs w:val="20"/>
                <w:lang w:val="en-AU"/>
              </w:rPr>
            </w:pPr>
            <w:r w:rsidRPr="00031CA5">
              <w:rPr>
                <w:rFonts w:ascii="Calibri" w:hAnsi="Calibri" w:cs="Calibri"/>
                <w:sz w:val="20"/>
                <w:szCs w:val="20"/>
                <w:lang w:val="en-AU"/>
              </w:rPr>
              <w:t>2.6</w:t>
            </w:r>
          </w:p>
        </w:tc>
        <w:tc>
          <w:tcPr>
            <w:tcW w:w="709" w:type="dxa"/>
            <w:tcBorders>
              <w:top w:val="single" w:sz="4" w:space="0" w:color="auto"/>
              <w:left w:val="single" w:sz="4" w:space="0" w:color="auto"/>
              <w:bottom w:val="single" w:sz="4" w:space="0" w:color="auto"/>
              <w:right w:val="single" w:sz="4" w:space="0" w:color="auto"/>
            </w:tcBorders>
          </w:tcPr>
          <w:p w14:paraId="1F69F91F" w14:textId="03450AD5" w:rsidR="00863F82" w:rsidRPr="00031CA5" w:rsidRDefault="00863F82" w:rsidP="00771428">
            <w:pPr>
              <w:jc w:val="center"/>
              <w:rPr>
                <w:b/>
                <w:sz w:val="20"/>
                <w:szCs w:val="20"/>
              </w:rPr>
            </w:pPr>
            <w:r w:rsidRPr="00031CA5">
              <w:rPr>
                <w:rFonts w:ascii="Calibri" w:hAnsi="Calibri" w:cs="Calibri"/>
                <w:sz w:val="20"/>
                <w:szCs w:val="20"/>
                <w:lang w:val="en-AU"/>
              </w:rPr>
              <w:t>3.0</w:t>
            </w:r>
          </w:p>
        </w:tc>
        <w:tc>
          <w:tcPr>
            <w:tcW w:w="709" w:type="dxa"/>
            <w:tcBorders>
              <w:top w:val="single" w:sz="4" w:space="0" w:color="auto"/>
              <w:left w:val="single" w:sz="4" w:space="0" w:color="auto"/>
              <w:bottom w:val="single" w:sz="4" w:space="0" w:color="auto"/>
              <w:right w:val="single" w:sz="4" w:space="0" w:color="auto"/>
            </w:tcBorders>
          </w:tcPr>
          <w:p w14:paraId="3F86E0D8" w14:textId="4C2618D3" w:rsidR="00863F82" w:rsidRPr="00031CA5" w:rsidRDefault="00863F82" w:rsidP="00771428">
            <w:pPr>
              <w:jc w:val="center"/>
              <w:rPr>
                <w:b/>
                <w:sz w:val="20"/>
                <w:szCs w:val="20"/>
              </w:rPr>
            </w:pPr>
            <w:r w:rsidRPr="00031CA5">
              <w:rPr>
                <w:rFonts w:ascii="Calibri" w:hAnsi="Calibri" w:cs="Calibri"/>
                <w:sz w:val="20"/>
                <w:szCs w:val="20"/>
                <w:lang w:val="en-AU"/>
              </w:rPr>
              <w:t>2.5</w:t>
            </w:r>
          </w:p>
        </w:tc>
        <w:tc>
          <w:tcPr>
            <w:tcW w:w="709" w:type="dxa"/>
            <w:tcBorders>
              <w:top w:val="single" w:sz="4" w:space="0" w:color="auto"/>
              <w:left w:val="single" w:sz="4" w:space="0" w:color="auto"/>
              <w:bottom w:val="single" w:sz="4" w:space="0" w:color="auto"/>
              <w:right w:val="single" w:sz="4" w:space="0" w:color="auto"/>
            </w:tcBorders>
          </w:tcPr>
          <w:p w14:paraId="346C9C5B" w14:textId="199E2569" w:rsidR="00863F82" w:rsidRPr="00031CA5" w:rsidRDefault="00863F82" w:rsidP="00771428">
            <w:pPr>
              <w:jc w:val="center"/>
              <w:rPr>
                <w:b/>
                <w:sz w:val="20"/>
                <w:szCs w:val="20"/>
              </w:rPr>
            </w:pPr>
            <w:r w:rsidRPr="00031CA5">
              <w:rPr>
                <w:rFonts w:ascii="Calibri" w:hAnsi="Calibri" w:cs="Calibri"/>
                <w:sz w:val="20"/>
                <w:szCs w:val="20"/>
                <w:lang w:val="en-AU"/>
              </w:rPr>
              <w:t>2.4</w:t>
            </w:r>
          </w:p>
        </w:tc>
        <w:tc>
          <w:tcPr>
            <w:tcW w:w="712" w:type="dxa"/>
            <w:tcBorders>
              <w:top w:val="single" w:sz="4" w:space="0" w:color="auto"/>
              <w:left w:val="single" w:sz="4" w:space="0" w:color="auto"/>
              <w:bottom w:val="single" w:sz="4" w:space="0" w:color="auto"/>
              <w:right w:val="single" w:sz="4" w:space="0" w:color="auto"/>
            </w:tcBorders>
          </w:tcPr>
          <w:p w14:paraId="45B71963" w14:textId="248DDF94" w:rsidR="00863F82" w:rsidRPr="00031CA5" w:rsidRDefault="00863F82" w:rsidP="00771428">
            <w:pPr>
              <w:jc w:val="center"/>
              <w:rPr>
                <w:b/>
                <w:sz w:val="20"/>
                <w:szCs w:val="20"/>
              </w:rPr>
            </w:pPr>
            <w:r w:rsidRPr="00031CA5">
              <w:rPr>
                <w:rFonts w:ascii="Calibri" w:hAnsi="Calibri" w:cs="Calibri"/>
                <w:sz w:val="20"/>
                <w:szCs w:val="20"/>
                <w:lang w:val="en-AU"/>
              </w:rPr>
              <w:t>3.3</w:t>
            </w:r>
          </w:p>
        </w:tc>
        <w:tc>
          <w:tcPr>
            <w:tcW w:w="705" w:type="dxa"/>
            <w:tcBorders>
              <w:top w:val="single" w:sz="4" w:space="0" w:color="auto"/>
              <w:left w:val="single" w:sz="4" w:space="0" w:color="auto"/>
              <w:bottom w:val="single" w:sz="4" w:space="0" w:color="auto"/>
              <w:right w:val="single" w:sz="4" w:space="0" w:color="auto"/>
            </w:tcBorders>
          </w:tcPr>
          <w:p w14:paraId="1C55CC00" w14:textId="7DB6A57E" w:rsidR="00863F82" w:rsidRPr="00031CA5" w:rsidRDefault="00863F82" w:rsidP="00771428">
            <w:pPr>
              <w:jc w:val="center"/>
              <w:rPr>
                <w:b/>
                <w:sz w:val="20"/>
                <w:szCs w:val="20"/>
              </w:rPr>
            </w:pPr>
            <w:r w:rsidRPr="00031CA5">
              <w:rPr>
                <w:rFonts w:ascii="Calibri" w:hAnsi="Calibri" w:cs="Calibri"/>
                <w:sz w:val="20"/>
                <w:szCs w:val="20"/>
                <w:lang w:val="en-AU"/>
              </w:rPr>
              <w:t>3.5</w:t>
            </w:r>
          </w:p>
        </w:tc>
        <w:tc>
          <w:tcPr>
            <w:tcW w:w="710" w:type="dxa"/>
            <w:tcBorders>
              <w:top w:val="single" w:sz="4" w:space="0" w:color="auto"/>
              <w:left w:val="single" w:sz="4" w:space="0" w:color="auto"/>
              <w:bottom w:val="single" w:sz="4" w:space="0" w:color="auto"/>
              <w:right w:val="single" w:sz="4" w:space="0" w:color="auto"/>
            </w:tcBorders>
          </w:tcPr>
          <w:p w14:paraId="1715D635" w14:textId="6F9B13ED" w:rsidR="00863F82" w:rsidRPr="00031CA5" w:rsidRDefault="00264A5D" w:rsidP="00264A5D">
            <w:pPr>
              <w:jc w:val="center"/>
              <w:rPr>
                <w:rFonts w:ascii="Calibri" w:hAnsi="Calibri" w:cs="Calibri"/>
                <w:sz w:val="20"/>
                <w:szCs w:val="20"/>
                <w:lang w:val="en-AU"/>
              </w:rPr>
            </w:pPr>
            <w:r w:rsidRPr="00031CA5">
              <w:rPr>
                <w:rFonts w:ascii="Calibri" w:hAnsi="Calibri" w:cs="Calibri"/>
                <w:sz w:val="20"/>
                <w:szCs w:val="20"/>
                <w:lang w:val="en-AU"/>
              </w:rPr>
              <w:t>2.8</w:t>
            </w:r>
          </w:p>
        </w:tc>
      </w:tr>
      <w:tr w:rsidR="00863F82" w:rsidRPr="00E21DEE" w14:paraId="05053606" w14:textId="3BC7631B" w:rsidTr="00031CA5">
        <w:trPr>
          <w:jc w:val="center"/>
        </w:trPr>
        <w:tc>
          <w:tcPr>
            <w:tcW w:w="21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D91DE1F" w14:textId="77777777" w:rsidR="00863F82" w:rsidRPr="00031CA5" w:rsidRDefault="00863F82" w:rsidP="00771428">
            <w:pPr>
              <w:autoSpaceDE w:val="0"/>
              <w:autoSpaceDN w:val="0"/>
              <w:adjustRightInd w:val="0"/>
              <w:rPr>
                <w:rFonts w:ascii="Calibri" w:hAnsi="Calibri" w:cs="Calibri"/>
                <w:sz w:val="20"/>
                <w:szCs w:val="20"/>
                <w:lang w:val="en-AU"/>
              </w:rPr>
            </w:pPr>
            <w:r w:rsidRPr="00031CA5">
              <w:rPr>
                <w:rFonts w:ascii="Calibri" w:hAnsi="Calibri" w:cs="Calibri"/>
                <w:b/>
                <w:bCs/>
                <w:sz w:val="20"/>
                <w:szCs w:val="20"/>
                <w:lang w:val="en-AU"/>
              </w:rPr>
              <w:t xml:space="preserve">Wage Cost / Labour Price Index </w:t>
            </w:r>
          </w:p>
          <w:p w14:paraId="00031718" w14:textId="09107868" w:rsidR="00863F82" w:rsidRPr="00031CA5" w:rsidRDefault="00863F82" w:rsidP="00771428">
            <w:pPr>
              <w:rPr>
                <w:b/>
                <w:sz w:val="20"/>
                <w:szCs w:val="20"/>
              </w:rPr>
            </w:pPr>
            <w:r w:rsidRPr="00031CA5">
              <w:rPr>
                <w:rFonts w:ascii="Calibri" w:hAnsi="Calibri" w:cs="Calibri"/>
                <w:sz w:val="20"/>
                <w:szCs w:val="20"/>
                <w:lang w:val="en-AU"/>
              </w:rPr>
              <w:t xml:space="preserve">(% </w:t>
            </w:r>
            <w:r w:rsidR="00031CA5">
              <w:rPr>
                <w:rFonts w:ascii="Calibri" w:hAnsi="Calibri" w:cs="Calibri"/>
                <w:sz w:val="20"/>
                <w:szCs w:val="20"/>
                <w:lang w:val="en-AU"/>
              </w:rPr>
              <w:t>increase for the year to June quarte</w:t>
            </w:r>
            <w:r w:rsidRPr="00031CA5">
              <w:rPr>
                <w:rFonts w:ascii="Calibri" w:hAnsi="Calibri" w:cs="Calibri"/>
                <w:sz w:val="20"/>
                <w:szCs w:val="20"/>
                <w:lang w:val="en-AU"/>
              </w:rPr>
              <w:t>r – from ABS)</w:t>
            </w:r>
          </w:p>
        </w:tc>
        <w:tc>
          <w:tcPr>
            <w:tcW w:w="708" w:type="dxa"/>
            <w:tcBorders>
              <w:top w:val="single" w:sz="4" w:space="0" w:color="auto"/>
              <w:left w:val="single" w:sz="4" w:space="0" w:color="auto"/>
              <w:bottom w:val="single" w:sz="4" w:space="0" w:color="auto"/>
              <w:right w:val="single" w:sz="4" w:space="0" w:color="auto"/>
            </w:tcBorders>
          </w:tcPr>
          <w:p w14:paraId="1199A04E" w14:textId="66FC03C5" w:rsidR="00863F82" w:rsidRPr="00031CA5" w:rsidRDefault="00863F82" w:rsidP="00771428">
            <w:pPr>
              <w:jc w:val="center"/>
              <w:rPr>
                <w:rFonts w:ascii="Calibri" w:hAnsi="Calibri" w:cs="Calibri"/>
                <w:sz w:val="20"/>
                <w:szCs w:val="20"/>
                <w:lang w:val="en-AU"/>
              </w:rPr>
            </w:pPr>
            <w:r w:rsidRPr="00031CA5">
              <w:rPr>
                <w:rFonts w:ascii="Calibri" w:hAnsi="Calibri" w:cs="Calibri"/>
                <w:sz w:val="20"/>
                <w:szCs w:val="20"/>
                <w:lang w:val="en-AU"/>
              </w:rPr>
              <w:t>3.9</w:t>
            </w:r>
          </w:p>
        </w:tc>
        <w:tc>
          <w:tcPr>
            <w:tcW w:w="709" w:type="dxa"/>
            <w:tcBorders>
              <w:top w:val="single" w:sz="4" w:space="0" w:color="auto"/>
              <w:left w:val="single" w:sz="4" w:space="0" w:color="auto"/>
              <w:bottom w:val="single" w:sz="4" w:space="0" w:color="auto"/>
              <w:right w:val="single" w:sz="4" w:space="0" w:color="auto"/>
            </w:tcBorders>
          </w:tcPr>
          <w:p w14:paraId="4DA786BC" w14:textId="4FB3BB18" w:rsidR="00863F82" w:rsidRPr="00031CA5" w:rsidRDefault="00863F82" w:rsidP="00771428">
            <w:pPr>
              <w:jc w:val="center"/>
              <w:rPr>
                <w:rFonts w:ascii="Calibri" w:hAnsi="Calibri" w:cs="Calibri"/>
                <w:sz w:val="20"/>
                <w:szCs w:val="20"/>
                <w:lang w:val="en-AU"/>
              </w:rPr>
            </w:pPr>
            <w:r w:rsidRPr="00031CA5">
              <w:rPr>
                <w:rFonts w:ascii="Calibri" w:hAnsi="Calibri" w:cs="Calibri"/>
                <w:sz w:val="20"/>
                <w:szCs w:val="20"/>
                <w:lang w:val="en-AU"/>
              </w:rPr>
              <w:t>3.0</w:t>
            </w:r>
          </w:p>
        </w:tc>
        <w:tc>
          <w:tcPr>
            <w:tcW w:w="709" w:type="dxa"/>
            <w:tcBorders>
              <w:top w:val="single" w:sz="4" w:space="0" w:color="auto"/>
              <w:left w:val="single" w:sz="4" w:space="0" w:color="auto"/>
              <w:bottom w:val="single" w:sz="4" w:space="0" w:color="auto"/>
              <w:right w:val="single" w:sz="4" w:space="0" w:color="auto"/>
            </w:tcBorders>
          </w:tcPr>
          <w:p w14:paraId="2EE8BD04" w14:textId="23477900" w:rsidR="00863F82" w:rsidRPr="00031CA5" w:rsidRDefault="00863F82" w:rsidP="00771428">
            <w:pPr>
              <w:jc w:val="center"/>
              <w:rPr>
                <w:rFonts w:ascii="Calibri" w:hAnsi="Calibri" w:cs="Calibri"/>
                <w:sz w:val="20"/>
                <w:szCs w:val="20"/>
                <w:lang w:val="en-AU"/>
              </w:rPr>
            </w:pPr>
            <w:r w:rsidRPr="00031CA5">
              <w:rPr>
                <w:rFonts w:ascii="Calibri" w:hAnsi="Calibri" w:cs="Calibri"/>
                <w:sz w:val="20"/>
                <w:szCs w:val="20"/>
                <w:lang w:val="en-AU"/>
              </w:rPr>
              <w:t>3.8</w:t>
            </w:r>
          </w:p>
        </w:tc>
        <w:tc>
          <w:tcPr>
            <w:tcW w:w="709" w:type="dxa"/>
            <w:tcBorders>
              <w:top w:val="single" w:sz="4" w:space="0" w:color="auto"/>
              <w:left w:val="single" w:sz="4" w:space="0" w:color="auto"/>
              <w:bottom w:val="single" w:sz="4" w:space="0" w:color="auto"/>
              <w:right w:val="single" w:sz="4" w:space="0" w:color="auto"/>
            </w:tcBorders>
          </w:tcPr>
          <w:p w14:paraId="31A81506" w14:textId="66910075" w:rsidR="00863F82" w:rsidRPr="00031CA5" w:rsidRDefault="00863F82" w:rsidP="00771428">
            <w:pPr>
              <w:jc w:val="center"/>
              <w:rPr>
                <w:rFonts w:ascii="Calibri" w:hAnsi="Calibri" w:cs="Calibri"/>
                <w:sz w:val="20"/>
                <w:szCs w:val="20"/>
                <w:lang w:val="en-AU"/>
              </w:rPr>
            </w:pPr>
            <w:r w:rsidRPr="00031CA5">
              <w:rPr>
                <w:rFonts w:ascii="Calibri" w:hAnsi="Calibri" w:cs="Calibri"/>
                <w:sz w:val="20"/>
                <w:szCs w:val="20"/>
                <w:lang w:val="en-AU"/>
              </w:rPr>
              <w:t>3.7</w:t>
            </w:r>
          </w:p>
        </w:tc>
        <w:tc>
          <w:tcPr>
            <w:tcW w:w="708" w:type="dxa"/>
            <w:tcBorders>
              <w:top w:val="single" w:sz="4" w:space="0" w:color="auto"/>
              <w:left w:val="single" w:sz="4" w:space="0" w:color="auto"/>
              <w:bottom w:val="single" w:sz="4" w:space="0" w:color="auto"/>
              <w:right w:val="single" w:sz="4" w:space="0" w:color="auto"/>
            </w:tcBorders>
          </w:tcPr>
          <w:p w14:paraId="183B6777" w14:textId="568A2397" w:rsidR="00863F82" w:rsidRPr="00031CA5" w:rsidRDefault="00863F82" w:rsidP="00771428">
            <w:pPr>
              <w:jc w:val="center"/>
              <w:rPr>
                <w:rFonts w:ascii="Calibri" w:hAnsi="Calibri" w:cs="Calibri"/>
                <w:sz w:val="20"/>
                <w:szCs w:val="20"/>
                <w:lang w:val="en-AU"/>
              </w:rPr>
            </w:pPr>
            <w:r w:rsidRPr="00031CA5">
              <w:rPr>
                <w:rFonts w:ascii="Calibri" w:hAnsi="Calibri" w:cs="Calibri"/>
                <w:sz w:val="20"/>
                <w:szCs w:val="20"/>
                <w:lang w:val="en-AU"/>
              </w:rPr>
              <w:t>2.9</w:t>
            </w:r>
          </w:p>
        </w:tc>
        <w:tc>
          <w:tcPr>
            <w:tcW w:w="709" w:type="dxa"/>
            <w:tcBorders>
              <w:top w:val="single" w:sz="4" w:space="0" w:color="auto"/>
              <w:left w:val="single" w:sz="4" w:space="0" w:color="auto"/>
              <w:bottom w:val="single" w:sz="4" w:space="0" w:color="auto"/>
              <w:right w:val="single" w:sz="4" w:space="0" w:color="auto"/>
            </w:tcBorders>
          </w:tcPr>
          <w:p w14:paraId="39FD035E" w14:textId="0ABD4102" w:rsidR="00863F82" w:rsidRPr="00031CA5" w:rsidRDefault="00863F82" w:rsidP="00771428">
            <w:pPr>
              <w:jc w:val="center"/>
              <w:rPr>
                <w:b/>
                <w:sz w:val="20"/>
                <w:szCs w:val="20"/>
              </w:rPr>
            </w:pPr>
            <w:r w:rsidRPr="00031CA5">
              <w:rPr>
                <w:rFonts w:ascii="Calibri" w:hAnsi="Calibri" w:cs="Calibri"/>
                <w:sz w:val="20"/>
                <w:szCs w:val="20"/>
                <w:lang w:val="en-AU"/>
              </w:rPr>
              <w:t>2.6</w:t>
            </w:r>
          </w:p>
        </w:tc>
        <w:tc>
          <w:tcPr>
            <w:tcW w:w="709" w:type="dxa"/>
            <w:tcBorders>
              <w:top w:val="single" w:sz="4" w:space="0" w:color="auto"/>
              <w:left w:val="single" w:sz="4" w:space="0" w:color="auto"/>
              <w:bottom w:val="single" w:sz="4" w:space="0" w:color="auto"/>
              <w:right w:val="single" w:sz="4" w:space="0" w:color="auto"/>
            </w:tcBorders>
          </w:tcPr>
          <w:p w14:paraId="3A76FD66" w14:textId="6C932E77" w:rsidR="00863F82" w:rsidRPr="00031CA5" w:rsidRDefault="00863F82" w:rsidP="00771428">
            <w:pPr>
              <w:jc w:val="center"/>
              <w:rPr>
                <w:b/>
                <w:sz w:val="20"/>
                <w:szCs w:val="20"/>
              </w:rPr>
            </w:pPr>
            <w:r w:rsidRPr="00031CA5">
              <w:rPr>
                <w:rFonts w:ascii="Calibri" w:hAnsi="Calibri" w:cs="Calibri"/>
                <w:sz w:val="20"/>
                <w:szCs w:val="20"/>
                <w:lang w:val="en-AU"/>
              </w:rPr>
              <w:t>2.3</w:t>
            </w:r>
          </w:p>
        </w:tc>
        <w:tc>
          <w:tcPr>
            <w:tcW w:w="709" w:type="dxa"/>
            <w:tcBorders>
              <w:top w:val="single" w:sz="4" w:space="0" w:color="auto"/>
              <w:left w:val="single" w:sz="4" w:space="0" w:color="auto"/>
              <w:bottom w:val="single" w:sz="4" w:space="0" w:color="auto"/>
              <w:right w:val="single" w:sz="4" w:space="0" w:color="auto"/>
            </w:tcBorders>
          </w:tcPr>
          <w:p w14:paraId="01E3FA24" w14:textId="269A237F" w:rsidR="00863F82" w:rsidRPr="00031CA5" w:rsidRDefault="00863F82" w:rsidP="00771428">
            <w:pPr>
              <w:jc w:val="center"/>
              <w:rPr>
                <w:b/>
                <w:sz w:val="20"/>
                <w:szCs w:val="20"/>
              </w:rPr>
            </w:pPr>
            <w:r w:rsidRPr="00031CA5">
              <w:rPr>
                <w:rFonts w:ascii="Calibri" w:hAnsi="Calibri" w:cs="Calibri"/>
                <w:sz w:val="20"/>
                <w:szCs w:val="20"/>
                <w:lang w:val="en-AU"/>
              </w:rPr>
              <w:t>2.1</w:t>
            </w:r>
          </w:p>
        </w:tc>
        <w:tc>
          <w:tcPr>
            <w:tcW w:w="712" w:type="dxa"/>
            <w:tcBorders>
              <w:top w:val="single" w:sz="4" w:space="0" w:color="auto"/>
              <w:left w:val="single" w:sz="4" w:space="0" w:color="auto"/>
              <w:bottom w:val="single" w:sz="4" w:space="0" w:color="auto"/>
              <w:right w:val="single" w:sz="4" w:space="0" w:color="auto"/>
            </w:tcBorders>
          </w:tcPr>
          <w:p w14:paraId="21FFE084" w14:textId="71C6ECEE" w:rsidR="00863F82" w:rsidRPr="00031CA5" w:rsidRDefault="00863F82" w:rsidP="00771428">
            <w:pPr>
              <w:jc w:val="center"/>
              <w:rPr>
                <w:b/>
                <w:sz w:val="20"/>
                <w:szCs w:val="20"/>
              </w:rPr>
            </w:pPr>
            <w:r w:rsidRPr="00031CA5">
              <w:rPr>
                <w:rFonts w:ascii="Calibri" w:hAnsi="Calibri" w:cs="Calibri"/>
                <w:sz w:val="20"/>
                <w:szCs w:val="20"/>
                <w:lang w:val="en-AU"/>
              </w:rPr>
              <w:t>1.9</w:t>
            </w:r>
          </w:p>
        </w:tc>
        <w:tc>
          <w:tcPr>
            <w:tcW w:w="705" w:type="dxa"/>
            <w:tcBorders>
              <w:top w:val="single" w:sz="4" w:space="0" w:color="auto"/>
              <w:left w:val="single" w:sz="4" w:space="0" w:color="auto"/>
              <w:bottom w:val="single" w:sz="4" w:space="0" w:color="auto"/>
              <w:right w:val="single" w:sz="4" w:space="0" w:color="auto"/>
            </w:tcBorders>
          </w:tcPr>
          <w:p w14:paraId="7054EC96" w14:textId="62F7D6B8" w:rsidR="00863F82" w:rsidRPr="00031CA5" w:rsidRDefault="00863F82" w:rsidP="00771428">
            <w:pPr>
              <w:jc w:val="center"/>
              <w:rPr>
                <w:b/>
                <w:sz w:val="20"/>
                <w:szCs w:val="20"/>
              </w:rPr>
            </w:pPr>
            <w:r w:rsidRPr="00031CA5">
              <w:rPr>
                <w:rFonts w:ascii="Calibri" w:hAnsi="Calibri" w:cs="Calibri"/>
                <w:sz w:val="20"/>
                <w:szCs w:val="20"/>
                <w:lang w:val="en-AU"/>
              </w:rPr>
              <w:t>2.1</w:t>
            </w:r>
          </w:p>
        </w:tc>
        <w:tc>
          <w:tcPr>
            <w:tcW w:w="710" w:type="dxa"/>
            <w:tcBorders>
              <w:top w:val="single" w:sz="4" w:space="0" w:color="auto"/>
              <w:left w:val="single" w:sz="4" w:space="0" w:color="auto"/>
              <w:bottom w:val="single" w:sz="4" w:space="0" w:color="auto"/>
              <w:right w:val="single" w:sz="4" w:space="0" w:color="auto"/>
            </w:tcBorders>
          </w:tcPr>
          <w:p w14:paraId="6B31D0F5" w14:textId="16D3FC50" w:rsidR="00863F82" w:rsidRPr="00031CA5" w:rsidRDefault="00264A5D" w:rsidP="00264A5D">
            <w:pPr>
              <w:jc w:val="center"/>
              <w:rPr>
                <w:rFonts w:ascii="Calibri" w:hAnsi="Calibri" w:cs="Calibri"/>
                <w:sz w:val="20"/>
                <w:szCs w:val="20"/>
                <w:lang w:val="en-AU"/>
              </w:rPr>
            </w:pPr>
            <w:r w:rsidRPr="00031CA5">
              <w:rPr>
                <w:rFonts w:ascii="Calibri" w:hAnsi="Calibri" w:cs="Calibri"/>
                <w:sz w:val="20"/>
                <w:szCs w:val="20"/>
                <w:lang w:val="en-AU"/>
              </w:rPr>
              <w:t>2.8</w:t>
            </w:r>
          </w:p>
        </w:tc>
      </w:tr>
    </w:tbl>
    <w:p w14:paraId="69303D31" w14:textId="77777777" w:rsidR="00EC51F5" w:rsidRDefault="00EC51F5" w:rsidP="00273387">
      <w:pPr>
        <w:rPr>
          <w:sz w:val="24"/>
          <w:szCs w:val="24"/>
        </w:rPr>
      </w:pPr>
    </w:p>
    <w:tbl>
      <w:tblPr>
        <w:tblStyle w:val="TableGrid"/>
        <w:tblW w:w="0" w:type="auto"/>
        <w:shd w:val="clear" w:color="auto" w:fill="E5DFEC" w:themeFill="accent4" w:themeFillTint="33"/>
        <w:tblLook w:val="04A0" w:firstRow="1" w:lastRow="0" w:firstColumn="1" w:lastColumn="0" w:noHBand="0" w:noVBand="1"/>
      </w:tblPr>
      <w:tblGrid>
        <w:gridCol w:w="9016"/>
      </w:tblGrid>
      <w:tr w:rsidR="00801E1A" w:rsidRPr="007F684F" w14:paraId="0F35142B" w14:textId="77777777" w:rsidTr="00563869">
        <w:tc>
          <w:tcPr>
            <w:tcW w:w="9016" w:type="dxa"/>
            <w:shd w:val="clear" w:color="auto" w:fill="E5DFEC" w:themeFill="accent4" w:themeFillTint="33"/>
          </w:tcPr>
          <w:p w14:paraId="78C09585" w14:textId="552E9284" w:rsidR="00801E1A" w:rsidRPr="001804FA" w:rsidRDefault="00801E1A" w:rsidP="00A61076">
            <w:pPr>
              <w:spacing w:before="120" w:after="120" w:line="276" w:lineRule="auto"/>
              <w:rPr>
                <w:sz w:val="24"/>
                <w:szCs w:val="24"/>
              </w:rPr>
            </w:pPr>
            <w:r w:rsidRPr="007570FB">
              <w:rPr>
                <w:b/>
                <w:color w:val="000000" w:themeColor="text1"/>
                <w:sz w:val="24"/>
                <w:szCs w:val="24"/>
              </w:rPr>
              <w:t xml:space="preserve">Decision </w:t>
            </w:r>
            <w:r w:rsidR="00963BBB">
              <w:rPr>
                <w:b/>
                <w:color w:val="000000" w:themeColor="text1"/>
                <w:sz w:val="24"/>
                <w:szCs w:val="24"/>
              </w:rPr>
              <w:t>6</w:t>
            </w:r>
            <w:r w:rsidRPr="007570FB">
              <w:rPr>
                <w:b/>
                <w:color w:val="000000" w:themeColor="text1"/>
                <w:sz w:val="24"/>
                <w:szCs w:val="24"/>
              </w:rPr>
              <w:t>:</w:t>
            </w:r>
            <w:r w:rsidRPr="007570FB">
              <w:rPr>
                <w:sz w:val="24"/>
                <w:szCs w:val="24"/>
              </w:rPr>
              <w:t xml:space="preserve"> </w:t>
            </w:r>
            <w:r>
              <w:rPr>
                <w:sz w:val="24"/>
                <w:szCs w:val="24"/>
              </w:rPr>
              <w:t xml:space="preserve">The Tribunal will continue to monitor the prevailing economic circumstances for the Territory which it considers are important elements of its annual review and determinations </w:t>
            </w:r>
            <w:r w:rsidR="00A61076">
              <w:rPr>
                <w:sz w:val="24"/>
                <w:szCs w:val="24"/>
              </w:rPr>
              <w:t xml:space="preserve">about </w:t>
            </w:r>
            <w:r>
              <w:rPr>
                <w:sz w:val="24"/>
                <w:szCs w:val="24"/>
              </w:rPr>
              <w:t>ACTPS executives.</w:t>
            </w:r>
          </w:p>
        </w:tc>
      </w:tr>
    </w:tbl>
    <w:p w14:paraId="02536B0D" w14:textId="77777777" w:rsidR="00801E1A" w:rsidRDefault="00801E1A" w:rsidP="00F64ADD">
      <w:pPr>
        <w:spacing w:after="0"/>
      </w:pPr>
    </w:p>
    <w:p w14:paraId="0516789F" w14:textId="6449023C" w:rsidR="00171E03" w:rsidRDefault="00273387" w:rsidP="00273387">
      <w:pPr>
        <w:rPr>
          <w:sz w:val="24"/>
          <w:szCs w:val="24"/>
        </w:rPr>
      </w:pPr>
      <w:r w:rsidRPr="00171E03">
        <w:rPr>
          <w:sz w:val="24"/>
          <w:szCs w:val="24"/>
        </w:rPr>
        <w:t xml:space="preserve">Prior to the new classification structure being implemented, there were known concerns around the remuneration gaps between some of the classification levels. </w:t>
      </w:r>
      <w:r w:rsidR="00216AE5">
        <w:rPr>
          <w:sz w:val="24"/>
          <w:szCs w:val="24"/>
        </w:rPr>
        <w:t>These arrangement</w:t>
      </w:r>
      <w:r w:rsidR="00602131">
        <w:rPr>
          <w:sz w:val="24"/>
          <w:szCs w:val="24"/>
        </w:rPr>
        <w:t>s</w:t>
      </w:r>
      <w:r w:rsidR="00216AE5" w:rsidRPr="00171E03">
        <w:rPr>
          <w:sz w:val="24"/>
          <w:szCs w:val="24"/>
        </w:rPr>
        <w:t xml:space="preserve"> </w:t>
      </w:r>
      <w:r w:rsidR="009478F2">
        <w:rPr>
          <w:sz w:val="24"/>
          <w:szCs w:val="24"/>
        </w:rPr>
        <w:t>remain</w:t>
      </w:r>
      <w:r w:rsidR="00171E03" w:rsidRPr="00171E03">
        <w:rPr>
          <w:sz w:val="24"/>
          <w:szCs w:val="24"/>
        </w:rPr>
        <w:t xml:space="preserve"> an area of concern for the Tribunal. </w:t>
      </w:r>
    </w:p>
    <w:p w14:paraId="2E9B312D" w14:textId="076733BA" w:rsidR="00171E03" w:rsidRDefault="00171E03" w:rsidP="00273387">
      <w:pPr>
        <w:rPr>
          <w:sz w:val="24"/>
          <w:szCs w:val="24"/>
        </w:rPr>
      </w:pPr>
      <w:r>
        <w:rPr>
          <w:sz w:val="24"/>
          <w:szCs w:val="24"/>
        </w:rPr>
        <w:t xml:space="preserve">The </w:t>
      </w:r>
      <w:r w:rsidR="00C71F7E">
        <w:rPr>
          <w:sz w:val="24"/>
          <w:szCs w:val="24"/>
        </w:rPr>
        <w:t xml:space="preserve">Discussion Paper </w:t>
      </w:r>
      <w:r>
        <w:rPr>
          <w:sz w:val="24"/>
          <w:szCs w:val="24"/>
        </w:rPr>
        <w:t xml:space="preserve">raised particular concerns with the </w:t>
      </w:r>
      <w:r w:rsidR="007747A8">
        <w:rPr>
          <w:sz w:val="24"/>
          <w:szCs w:val="24"/>
        </w:rPr>
        <w:t xml:space="preserve">large remuneration gap between </w:t>
      </w:r>
      <w:r w:rsidR="007747A8" w:rsidRPr="007E6907">
        <w:rPr>
          <w:sz w:val="24"/>
          <w:szCs w:val="24"/>
        </w:rPr>
        <w:t>2.5 and 2.6</w:t>
      </w:r>
      <w:r w:rsidR="007747A8">
        <w:rPr>
          <w:sz w:val="24"/>
          <w:szCs w:val="24"/>
        </w:rPr>
        <w:t xml:space="preserve"> classifications (</w:t>
      </w:r>
      <w:r w:rsidR="007747A8" w:rsidRPr="007E6907">
        <w:rPr>
          <w:sz w:val="24"/>
          <w:szCs w:val="24"/>
        </w:rPr>
        <w:t xml:space="preserve">$36,415 from 1 July 2017) and </w:t>
      </w:r>
      <w:r w:rsidR="0051256C">
        <w:rPr>
          <w:sz w:val="24"/>
          <w:szCs w:val="24"/>
        </w:rPr>
        <w:t xml:space="preserve">the </w:t>
      </w:r>
      <w:r w:rsidR="007747A8" w:rsidRPr="007E6907">
        <w:rPr>
          <w:sz w:val="24"/>
          <w:szCs w:val="24"/>
        </w:rPr>
        <w:t>much smaller gap across the bands from 2.6 to 3.7 ($9,601 from 1 July 2017).</w:t>
      </w:r>
      <w:r>
        <w:rPr>
          <w:sz w:val="24"/>
          <w:szCs w:val="24"/>
        </w:rPr>
        <w:t xml:space="preserve"> </w:t>
      </w:r>
      <w:r w:rsidR="007747A8">
        <w:rPr>
          <w:sz w:val="24"/>
          <w:szCs w:val="24"/>
        </w:rPr>
        <w:t xml:space="preserve">Under the </w:t>
      </w:r>
      <w:r w:rsidR="00A05E65">
        <w:rPr>
          <w:sz w:val="24"/>
          <w:szCs w:val="24"/>
        </w:rPr>
        <w:t xml:space="preserve">revised classification </w:t>
      </w:r>
      <w:r w:rsidR="007747A8">
        <w:rPr>
          <w:sz w:val="24"/>
          <w:szCs w:val="24"/>
        </w:rPr>
        <w:t>structure, the main area of concern is with the gap between the 2.3 and 2.4 classifications ($</w:t>
      </w:r>
      <w:r w:rsidR="00BF6025">
        <w:rPr>
          <w:sz w:val="24"/>
          <w:szCs w:val="24"/>
        </w:rPr>
        <w:t>37,325</w:t>
      </w:r>
      <w:r w:rsidR="007747A8">
        <w:rPr>
          <w:sz w:val="24"/>
          <w:szCs w:val="24"/>
        </w:rPr>
        <w:t xml:space="preserve"> </w:t>
      </w:r>
      <w:r w:rsidR="00BF6025">
        <w:rPr>
          <w:sz w:val="24"/>
          <w:szCs w:val="24"/>
        </w:rPr>
        <w:t xml:space="preserve">difference </w:t>
      </w:r>
      <w:r w:rsidR="007747A8">
        <w:rPr>
          <w:sz w:val="24"/>
          <w:szCs w:val="24"/>
        </w:rPr>
        <w:t xml:space="preserve">from July 2018). </w:t>
      </w:r>
    </w:p>
    <w:p w14:paraId="23CECCBE" w14:textId="76B7BFF2" w:rsidR="00B048C8" w:rsidRPr="00E72415" w:rsidRDefault="00B048C8" w:rsidP="00B048C8">
      <w:pPr>
        <w:spacing w:before="240" w:after="120"/>
        <w:rPr>
          <w:sz w:val="24"/>
          <w:szCs w:val="24"/>
        </w:rPr>
      </w:pPr>
      <w:r>
        <w:rPr>
          <w:sz w:val="24"/>
          <w:szCs w:val="24"/>
        </w:rPr>
        <w:t xml:space="preserve">Consequentially, the Tribunal </w:t>
      </w:r>
      <w:r w:rsidR="003F4A0C">
        <w:rPr>
          <w:sz w:val="24"/>
          <w:szCs w:val="24"/>
        </w:rPr>
        <w:t xml:space="preserve">is of the view </w:t>
      </w:r>
      <w:r w:rsidR="005001BE">
        <w:rPr>
          <w:sz w:val="24"/>
          <w:szCs w:val="24"/>
        </w:rPr>
        <w:t xml:space="preserve">that </w:t>
      </w:r>
      <w:r>
        <w:rPr>
          <w:sz w:val="24"/>
          <w:szCs w:val="24"/>
        </w:rPr>
        <w:t xml:space="preserve">there needs to be a </w:t>
      </w:r>
      <w:r w:rsidR="00B91F4F">
        <w:rPr>
          <w:sz w:val="24"/>
          <w:szCs w:val="24"/>
        </w:rPr>
        <w:t xml:space="preserve">more </w:t>
      </w:r>
      <w:r>
        <w:rPr>
          <w:sz w:val="24"/>
          <w:szCs w:val="24"/>
        </w:rPr>
        <w:t>consistent progression within a band and a</w:t>
      </w:r>
      <w:r w:rsidRPr="00B048C8">
        <w:t xml:space="preserve"> </w:t>
      </w:r>
      <w:r w:rsidRPr="00B048C8">
        <w:rPr>
          <w:sz w:val="24"/>
          <w:szCs w:val="24"/>
        </w:rPr>
        <w:t xml:space="preserve">clearer remuneration differential between </w:t>
      </w:r>
      <w:r w:rsidR="00B91F4F">
        <w:rPr>
          <w:sz w:val="24"/>
          <w:szCs w:val="24"/>
        </w:rPr>
        <w:t xml:space="preserve">the </w:t>
      </w:r>
      <w:r w:rsidRPr="00B048C8">
        <w:rPr>
          <w:sz w:val="24"/>
          <w:szCs w:val="24"/>
        </w:rPr>
        <w:t>bands</w:t>
      </w:r>
      <w:r>
        <w:rPr>
          <w:sz w:val="24"/>
          <w:szCs w:val="24"/>
        </w:rPr>
        <w:t xml:space="preserve">.  </w:t>
      </w:r>
    </w:p>
    <w:p w14:paraId="19148762" w14:textId="4D60B49B" w:rsidR="00B048C8" w:rsidRPr="00E72415" w:rsidRDefault="0051256C" w:rsidP="00B048C8">
      <w:pPr>
        <w:spacing w:before="240" w:after="120"/>
        <w:rPr>
          <w:sz w:val="24"/>
          <w:szCs w:val="24"/>
        </w:rPr>
      </w:pPr>
      <w:r w:rsidRPr="00E72415">
        <w:rPr>
          <w:sz w:val="24"/>
          <w:szCs w:val="24"/>
        </w:rPr>
        <w:t xml:space="preserve">Graph </w:t>
      </w:r>
      <w:r w:rsidR="00EA4981" w:rsidRPr="00E72415">
        <w:rPr>
          <w:sz w:val="24"/>
          <w:szCs w:val="24"/>
        </w:rPr>
        <w:t xml:space="preserve">2 </w:t>
      </w:r>
      <w:r w:rsidRPr="00E72415">
        <w:rPr>
          <w:sz w:val="24"/>
          <w:szCs w:val="24"/>
        </w:rPr>
        <w:t>show</w:t>
      </w:r>
      <w:r w:rsidR="0079486A">
        <w:rPr>
          <w:sz w:val="24"/>
          <w:szCs w:val="24"/>
        </w:rPr>
        <w:t>s</w:t>
      </w:r>
      <w:r w:rsidRPr="00E72415">
        <w:rPr>
          <w:sz w:val="24"/>
          <w:szCs w:val="24"/>
        </w:rPr>
        <w:t xml:space="preserve"> the highest and lowest base remuneration levels across the four</w:t>
      </w:r>
      <w:r w:rsidR="00B60618">
        <w:rPr>
          <w:sz w:val="24"/>
          <w:szCs w:val="24"/>
        </w:rPr>
        <w:t>-</w:t>
      </w:r>
      <w:r w:rsidRPr="00E72415">
        <w:rPr>
          <w:sz w:val="24"/>
          <w:szCs w:val="24"/>
        </w:rPr>
        <w:t xml:space="preserve">band executive structure as at July 2018. </w:t>
      </w:r>
      <w:r w:rsidR="00B048C8" w:rsidRPr="00E72415">
        <w:rPr>
          <w:sz w:val="24"/>
          <w:szCs w:val="24"/>
        </w:rPr>
        <w:t>Graph 3 highlights the base remuneration gap continuing between the 2.3 and 2.4 classifications</w:t>
      </w:r>
      <w:r w:rsidR="00B048C8" w:rsidRPr="00EF471C">
        <w:rPr>
          <w:sz w:val="24"/>
          <w:szCs w:val="24"/>
        </w:rPr>
        <w:t>.</w:t>
      </w:r>
      <w:r w:rsidR="009A032F" w:rsidRPr="00EF471C">
        <w:rPr>
          <w:sz w:val="24"/>
          <w:szCs w:val="24"/>
        </w:rPr>
        <w:t xml:space="preserve"> Graph 4 shows the remuneration gap between </w:t>
      </w:r>
      <w:r w:rsidR="00B91F4F" w:rsidRPr="00EF471C">
        <w:rPr>
          <w:sz w:val="24"/>
          <w:szCs w:val="24"/>
        </w:rPr>
        <w:t xml:space="preserve">the </w:t>
      </w:r>
      <w:r w:rsidR="009A032F" w:rsidRPr="00EF471C">
        <w:rPr>
          <w:sz w:val="24"/>
          <w:szCs w:val="24"/>
        </w:rPr>
        <w:t>executive band 4 classification</w:t>
      </w:r>
      <w:r w:rsidR="0054306C">
        <w:rPr>
          <w:sz w:val="24"/>
          <w:szCs w:val="24"/>
        </w:rPr>
        <w:t>s</w:t>
      </w:r>
      <w:r w:rsidR="009A032F" w:rsidRPr="00EF471C">
        <w:rPr>
          <w:sz w:val="24"/>
          <w:szCs w:val="24"/>
        </w:rPr>
        <w:t>.</w:t>
      </w:r>
      <w:r w:rsidR="009A032F">
        <w:rPr>
          <w:sz w:val="24"/>
          <w:szCs w:val="24"/>
        </w:rPr>
        <w:t xml:space="preserve"> </w:t>
      </w:r>
    </w:p>
    <w:p w14:paraId="74ABD10C" w14:textId="295192ED" w:rsidR="00171E03" w:rsidRPr="00E72415" w:rsidRDefault="00171E03" w:rsidP="00171E03">
      <w:pPr>
        <w:keepNext/>
        <w:spacing w:before="240" w:after="120"/>
        <w:rPr>
          <w:b/>
          <w:sz w:val="24"/>
          <w:szCs w:val="24"/>
        </w:rPr>
      </w:pPr>
      <w:r w:rsidRPr="00E72415">
        <w:rPr>
          <w:b/>
          <w:sz w:val="24"/>
          <w:szCs w:val="24"/>
        </w:rPr>
        <w:lastRenderedPageBreak/>
        <w:t xml:space="preserve">Graph </w:t>
      </w:r>
      <w:r w:rsidR="00EA4981" w:rsidRPr="00E72415">
        <w:rPr>
          <w:b/>
          <w:sz w:val="24"/>
          <w:szCs w:val="24"/>
        </w:rPr>
        <w:t xml:space="preserve">2 </w:t>
      </w:r>
      <w:r w:rsidRPr="00E72415">
        <w:rPr>
          <w:b/>
          <w:sz w:val="24"/>
          <w:szCs w:val="24"/>
        </w:rPr>
        <w:t>– highest and lowest base remuneration levels across the four</w:t>
      </w:r>
      <w:r w:rsidR="00B60618">
        <w:rPr>
          <w:b/>
          <w:sz w:val="24"/>
          <w:szCs w:val="24"/>
        </w:rPr>
        <w:t>-</w:t>
      </w:r>
      <w:r w:rsidRPr="00E72415">
        <w:rPr>
          <w:b/>
          <w:sz w:val="24"/>
          <w:szCs w:val="24"/>
        </w:rPr>
        <w:t>band executive structure as at July 2018</w:t>
      </w:r>
      <w:r w:rsidR="00216AE5" w:rsidRPr="00E72415">
        <w:rPr>
          <w:b/>
          <w:sz w:val="24"/>
          <w:szCs w:val="24"/>
        </w:rPr>
        <w:t xml:space="preserve"> (cash component)</w:t>
      </w:r>
    </w:p>
    <w:p w14:paraId="7E7FAB19" w14:textId="3FB0BBEB" w:rsidR="00171E03" w:rsidRPr="007747A8" w:rsidRDefault="000522BD" w:rsidP="005B40E1">
      <w:pPr>
        <w:spacing w:before="240" w:after="120"/>
        <w:jc w:val="center"/>
        <w:rPr>
          <w:color w:val="FF0000"/>
          <w:sz w:val="24"/>
          <w:szCs w:val="24"/>
        </w:rPr>
      </w:pPr>
      <w:r>
        <w:rPr>
          <w:noProof/>
          <w:lang w:val="en-AU" w:eastAsia="en-AU"/>
        </w:rPr>
        <w:drawing>
          <wp:inline distT="0" distB="0" distL="0" distR="0" wp14:anchorId="26047F00" wp14:editId="61A4C6B1">
            <wp:extent cx="5172075" cy="2905125"/>
            <wp:effectExtent l="0" t="0" r="9525"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7747A8" w:rsidDel="00EA4981">
        <w:rPr>
          <w:noProof/>
          <w:color w:val="FF0000"/>
          <w:lang w:val="en-AU" w:eastAsia="en-AU"/>
        </w:rPr>
        <w:t xml:space="preserve"> </w:t>
      </w:r>
    </w:p>
    <w:p w14:paraId="295B97EF" w14:textId="397E54FC" w:rsidR="00171E03" w:rsidRPr="00E72415" w:rsidRDefault="00171E03" w:rsidP="00171E03">
      <w:pPr>
        <w:spacing w:before="240" w:after="120"/>
        <w:rPr>
          <w:b/>
          <w:sz w:val="24"/>
          <w:szCs w:val="24"/>
        </w:rPr>
      </w:pPr>
      <w:r w:rsidRPr="00E72415">
        <w:rPr>
          <w:b/>
          <w:sz w:val="24"/>
          <w:szCs w:val="24"/>
        </w:rPr>
        <w:t xml:space="preserve">Graph </w:t>
      </w:r>
      <w:r w:rsidR="00EA4981" w:rsidRPr="00E72415">
        <w:rPr>
          <w:b/>
          <w:sz w:val="24"/>
          <w:szCs w:val="24"/>
        </w:rPr>
        <w:t xml:space="preserve">3 </w:t>
      </w:r>
      <w:r w:rsidRPr="00E72415">
        <w:rPr>
          <w:b/>
          <w:sz w:val="24"/>
          <w:szCs w:val="24"/>
        </w:rPr>
        <w:t xml:space="preserve">– </w:t>
      </w:r>
      <w:r w:rsidR="007B6898" w:rsidRPr="00E72415">
        <w:rPr>
          <w:b/>
          <w:sz w:val="24"/>
          <w:szCs w:val="24"/>
        </w:rPr>
        <w:t>base remuneration levels</w:t>
      </w:r>
      <w:r w:rsidR="007B6898">
        <w:rPr>
          <w:b/>
          <w:sz w:val="24"/>
          <w:szCs w:val="24"/>
        </w:rPr>
        <w:t xml:space="preserve"> within</w:t>
      </w:r>
      <w:r w:rsidRPr="00E72415">
        <w:rPr>
          <w:b/>
          <w:sz w:val="24"/>
          <w:szCs w:val="24"/>
        </w:rPr>
        <w:t xml:space="preserve"> executive band 2</w:t>
      </w:r>
      <w:r w:rsidR="000522BD" w:rsidRPr="00E72415">
        <w:rPr>
          <w:b/>
          <w:sz w:val="24"/>
          <w:szCs w:val="24"/>
        </w:rPr>
        <w:t xml:space="preserve"> as at July 2018</w:t>
      </w:r>
      <w:r w:rsidR="00216AE5" w:rsidRPr="00E72415">
        <w:rPr>
          <w:b/>
          <w:sz w:val="24"/>
          <w:szCs w:val="24"/>
        </w:rPr>
        <w:t xml:space="preserve"> (cash component)</w:t>
      </w:r>
    </w:p>
    <w:p w14:paraId="58BE1447" w14:textId="785467E9" w:rsidR="0051256C" w:rsidRPr="007747A8" w:rsidRDefault="000522BD" w:rsidP="005B40E1">
      <w:pPr>
        <w:spacing w:before="240" w:after="120"/>
        <w:jc w:val="center"/>
        <w:rPr>
          <w:color w:val="FF0000"/>
          <w:sz w:val="24"/>
          <w:szCs w:val="24"/>
        </w:rPr>
      </w:pPr>
      <w:r>
        <w:rPr>
          <w:noProof/>
          <w:lang w:val="en-AU" w:eastAsia="en-AU"/>
        </w:rPr>
        <w:drawing>
          <wp:inline distT="0" distB="0" distL="0" distR="0" wp14:anchorId="24B629CB" wp14:editId="6BCB32BD">
            <wp:extent cx="5334000" cy="3209925"/>
            <wp:effectExtent l="0" t="0" r="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7747A8" w:rsidDel="000522BD">
        <w:rPr>
          <w:noProof/>
          <w:color w:val="FF0000"/>
          <w:lang w:val="en-AU" w:eastAsia="en-AU"/>
        </w:rPr>
        <w:t xml:space="preserve"> </w:t>
      </w:r>
    </w:p>
    <w:p w14:paraId="0300F1B5" w14:textId="772D5C0C" w:rsidR="009A032F" w:rsidRDefault="009A032F">
      <w:pPr>
        <w:rPr>
          <w:sz w:val="24"/>
          <w:szCs w:val="24"/>
        </w:rPr>
      </w:pPr>
      <w:r>
        <w:rPr>
          <w:sz w:val="24"/>
          <w:szCs w:val="24"/>
        </w:rPr>
        <w:br w:type="page"/>
      </w:r>
    </w:p>
    <w:p w14:paraId="06B25B95" w14:textId="3E8F0B95" w:rsidR="009A032F" w:rsidRDefault="009A032F" w:rsidP="009A032F">
      <w:pPr>
        <w:spacing w:before="240" w:after="120"/>
        <w:rPr>
          <w:b/>
          <w:sz w:val="24"/>
          <w:szCs w:val="24"/>
        </w:rPr>
      </w:pPr>
      <w:r w:rsidRPr="00A93EAF">
        <w:rPr>
          <w:b/>
          <w:sz w:val="24"/>
          <w:szCs w:val="24"/>
        </w:rPr>
        <w:lastRenderedPageBreak/>
        <w:t xml:space="preserve">Graph </w:t>
      </w:r>
      <w:r w:rsidRPr="000C520F">
        <w:rPr>
          <w:b/>
          <w:sz w:val="24"/>
          <w:szCs w:val="24"/>
        </w:rPr>
        <w:t xml:space="preserve">4 </w:t>
      </w:r>
      <w:r w:rsidRPr="00A93EAF">
        <w:rPr>
          <w:b/>
          <w:sz w:val="24"/>
          <w:szCs w:val="24"/>
        </w:rPr>
        <w:t xml:space="preserve">– </w:t>
      </w:r>
      <w:r w:rsidR="00380F67" w:rsidRPr="00E72415">
        <w:rPr>
          <w:b/>
          <w:sz w:val="24"/>
          <w:szCs w:val="24"/>
        </w:rPr>
        <w:t>base remuneration levels</w:t>
      </w:r>
      <w:r w:rsidR="00380F67">
        <w:rPr>
          <w:b/>
          <w:sz w:val="24"/>
          <w:szCs w:val="24"/>
        </w:rPr>
        <w:t xml:space="preserve"> within</w:t>
      </w:r>
      <w:r w:rsidRPr="00A93EAF">
        <w:rPr>
          <w:b/>
          <w:sz w:val="24"/>
          <w:szCs w:val="24"/>
        </w:rPr>
        <w:t xml:space="preserve"> </w:t>
      </w:r>
      <w:r>
        <w:rPr>
          <w:b/>
          <w:sz w:val="24"/>
          <w:szCs w:val="24"/>
        </w:rPr>
        <w:t>executive b</w:t>
      </w:r>
      <w:r w:rsidRPr="00A93EAF">
        <w:rPr>
          <w:b/>
          <w:sz w:val="24"/>
          <w:szCs w:val="24"/>
        </w:rPr>
        <w:t xml:space="preserve">and </w:t>
      </w:r>
      <w:r>
        <w:rPr>
          <w:b/>
          <w:sz w:val="24"/>
          <w:szCs w:val="24"/>
        </w:rPr>
        <w:t>4 as at July 2018 (cash component)</w:t>
      </w:r>
    </w:p>
    <w:p w14:paraId="037024EC" w14:textId="77777777" w:rsidR="009A032F" w:rsidRDefault="009A032F" w:rsidP="009A032F">
      <w:r>
        <w:rPr>
          <w:noProof/>
          <w:lang w:val="en-AU" w:eastAsia="en-AU"/>
        </w:rPr>
        <w:drawing>
          <wp:inline distT="0" distB="0" distL="0" distR="0" wp14:anchorId="00451149" wp14:editId="74B4BCB0">
            <wp:extent cx="5698273" cy="2642235"/>
            <wp:effectExtent l="0" t="0" r="17145" b="571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C2837E7" w14:textId="22A7D1F7" w:rsidR="00832A70" w:rsidRDefault="00832A70" w:rsidP="00DF4362">
      <w:pPr>
        <w:spacing w:before="360" w:after="0"/>
        <w:rPr>
          <w:sz w:val="24"/>
          <w:szCs w:val="24"/>
        </w:rPr>
      </w:pPr>
      <w:r w:rsidRPr="00832A70">
        <w:rPr>
          <w:sz w:val="24"/>
          <w:szCs w:val="24"/>
        </w:rPr>
        <w:t>The Tribunal note</w:t>
      </w:r>
      <w:r>
        <w:rPr>
          <w:sz w:val="24"/>
          <w:szCs w:val="24"/>
        </w:rPr>
        <w:t>s</w:t>
      </w:r>
      <w:r w:rsidRPr="00832A70">
        <w:rPr>
          <w:sz w:val="24"/>
          <w:szCs w:val="24"/>
        </w:rPr>
        <w:t xml:space="preserve"> that it is appropriate for there to be a </w:t>
      </w:r>
      <w:r w:rsidR="007F2AAE">
        <w:rPr>
          <w:sz w:val="24"/>
          <w:szCs w:val="24"/>
        </w:rPr>
        <w:t>sufficient</w:t>
      </w:r>
      <w:r w:rsidRPr="00832A70">
        <w:rPr>
          <w:sz w:val="24"/>
          <w:szCs w:val="24"/>
        </w:rPr>
        <w:t xml:space="preserve"> gap between the </w:t>
      </w:r>
      <w:r w:rsidR="007F2AAE">
        <w:rPr>
          <w:sz w:val="24"/>
          <w:szCs w:val="24"/>
        </w:rPr>
        <w:t>Head of Service (L</w:t>
      </w:r>
      <w:r w:rsidRPr="00832A70">
        <w:rPr>
          <w:sz w:val="24"/>
          <w:szCs w:val="24"/>
        </w:rPr>
        <w:t>evel</w:t>
      </w:r>
      <w:r>
        <w:rPr>
          <w:sz w:val="24"/>
          <w:szCs w:val="24"/>
        </w:rPr>
        <w:t> </w:t>
      </w:r>
      <w:r w:rsidRPr="00832A70">
        <w:rPr>
          <w:sz w:val="24"/>
          <w:szCs w:val="24"/>
        </w:rPr>
        <w:t>4.4</w:t>
      </w:r>
      <w:r w:rsidR="007F2AAE">
        <w:rPr>
          <w:sz w:val="24"/>
          <w:szCs w:val="24"/>
        </w:rPr>
        <w:t>)</w:t>
      </w:r>
      <w:r w:rsidRPr="00832A70">
        <w:rPr>
          <w:sz w:val="24"/>
          <w:szCs w:val="24"/>
        </w:rPr>
        <w:t xml:space="preserve"> and the other </w:t>
      </w:r>
      <w:r w:rsidR="007F2AAE">
        <w:rPr>
          <w:sz w:val="24"/>
          <w:szCs w:val="24"/>
        </w:rPr>
        <w:t>Directors-</w:t>
      </w:r>
      <w:r w:rsidR="0040752F">
        <w:rPr>
          <w:sz w:val="24"/>
          <w:szCs w:val="24"/>
        </w:rPr>
        <w:t xml:space="preserve">General </w:t>
      </w:r>
      <w:r w:rsidR="0040752F" w:rsidRPr="00832A70">
        <w:rPr>
          <w:sz w:val="24"/>
          <w:szCs w:val="24"/>
        </w:rPr>
        <w:t>within</w:t>
      </w:r>
      <w:r w:rsidRPr="00832A70">
        <w:rPr>
          <w:sz w:val="24"/>
          <w:szCs w:val="24"/>
        </w:rPr>
        <w:t xml:space="preserve"> Band 4</w:t>
      </w:r>
      <w:r w:rsidR="007F2AAE">
        <w:rPr>
          <w:sz w:val="24"/>
          <w:szCs w:val="24"/>
        </w:rPr>
        <w:t xml:space="preserve"> to recognise the increased work value and responsibilities of the role</w:t>
      </w:r>
      <w:r w:rsidRPr="00832A70">
        <w:rPr>
          <w:sz w:val="24"/>
          <w:szCs w:val="24"/>
        </w:rPr>
        <w:t>.</w:t>
      </w:r>
      <w:r>
        <w:rPr>
          <w:sz w:val="24"/>
          <w:szCs w:val="24"/>
        </w:rPr>
        <w:t xml:space="preserve"> </w:t>
      </w:r>
      <w:r w:rsidRPr="00832A70">
        <w:rPr>
          <w:sz w:val="24"/>
          <w:szCs w:val="24"/>
        </w:rPr>
        <w:t xml:space="preserve">The Head of Service has a significant </w:t>
      </w:r>
      <w:r w:rsidR="007F2AAE">
        <w:rPr>
          <w:sz w:val="24"/>
          <w:szCs w:val="24"/>
        </w:rPr>
        <w:t xml:space="preserve">stewardship and </w:t>
      </w:r>
      <w:r w:rsidRPr="00832A70">
        <w:rPr>
          <w:sz w:val="24"/>
          <w:szCs w:val="24"/>
        </w:rPr>
        <w:t>leadership role</w:t>
      </w:r>
      <w:r>
        <w:rPr>
          <w:sz w:val="24"/>
          <w:szCs w:val="24"/>
        </w:rPr>
        <w:t xml:space="preserve"> across the ACTPS. T</w:t>
      </w:r>
      <w:r w:rsidRPr="00832A70">
        <w:rPr>
          <w:sz w:val="24"/>
          <w:szCs w:val="24"/>
        </w:rPr>
        <w:t xml:space="preserve">he Head of Service is responsible to the </w:t>
      </w:r>
      <w:r w:rsidR="009C25F5">
        <w:rPr>
          <w:sz w:val="24"/>
          <w:szCs w:val="24"/>
        </w:rPr>
        <w:br/>
      </w:r>
      <w:r w:rsidRPr="00832A70">
        <w:rPr>
          <w:sz w:val="24"/>
          <w:szCs w:val="24"/>
        </w:rPr>
        <w:t xml:space="preserve">Chief Minister for the performance, structure and integration of </w:t>
      </w:r>
      <w:r w:rsidR="007F160C">
        <w:rPr>
          <w:sz w:val="24"/>
          <w:szCs w:val="24"/>
        </w:rPr>
        <w:t xml:space="preserve">the </w:t>
      </w:r>
      <w:r w:rsidRPr="00832A70">
        <w:rPr>
          <w:sz w:val="24"/>
          <w:szCs w:val="24"/>
        </w:rPr>
        <w:t xml:space="preserve">entire ACTPS. </w:t>
      </w:r>
      <w:r>
        <w:rPr>
          <w:sz w:val="24"/>
          <w:szCs w:val="24"/>
        </w:rPr>
        <w:t xml:space="preserve">The Head of Service is also the </w:t>
      </w:r>
      <w:r w:rsidRPr="00832A70">
        <w:rPr>
          <w:sz w:val="24"/>
          <w:szCs w:val="24"/>
        </w:rPr>
        <w:t>Director-General</w:t>
      </w:r>
      <w:r>
        <w:rPr>
          <w:sz w:val="24"/>
          <w:szCs w:val="24"/>
        </w:rPr>
        <w:t xml:space="preserve"> of C</w:t>
      </w:r>
      <w:r w:rsidRPr="00CE174B">
        <w:rPr>
          <w:sz w:val="24"/>
          <w:szCs w:val="24"/>
        </w:rPr>
        <w:t>hief Minister, Treasury and Economic Development Directorate</w:t>
      </w:r>
      <w:r>
        <w:rPr>
          <w:sz w:val="24"/>
          <w:szCs w:val="24"/>
        </w:rPr>
        <w:t xml:space="preserve">. </w:t>
      </w:r>
    </w:p>
    <w:p w14:paraId="52576828" w14:textId="77777777" w:rsidR="00EC51F5" w:rsidRDefault="00EC51F5" w:rsidP="00DF4362">
      <w:pPr>
        <w:spacing w:after="120" w:line="240" w:lineRule="auto"/>
        <w:rPr>
          <w:sz w:val="24"/>
          <w:szCs w:val="24"/>
        </w:rPr>
      </w:pPr>
    </w:p>
    <w:tbl>
      <w:tblPr>
        <w:tblStyle w:val="TableGrid"/>
        <w:tblW w:w="0" w:type="auto"/>
        <w:shd w:val="clear" w:color="auto" w:fill="E5DFEC" w:themeFill="accent4" w:themeFillTint="33"/>
        <w:tblLook w:val="04A0" w:firstRow="1" w:lastRow="0" w:firstColumn="1" w:lastColumn="0" w:noHBand="0" w:noVBand="1"/>
      </w:tblPr>
      <w:tblGrid>
        <w:gridCol w:w="9016"/>
      </w:tblGrid>
      <w:tr w:rsidR="00EC51F5" w:rsidRPr="007F684F" w14:paraId="054958B8" w14:textId="77777777" w:rsidTr="00EC51F5">
        <w:tc>
          <w:tcPr>
            <w:tcW w:w="9016" w:type="dxa"/>
            <w:shd w:val="clear" w:color="auto" w:fill="E5DFEC" w:themeFill="accent4" w:themeFillTint="33"/>
          </w:tcPr>
          <w:p w14:paraId="7E43ACCE" w14:textId="1B2EBBE3" w:rsidR="00EC51F5" w:rsidRPr="001804FA" w:rsidRDefault="00EC51F5" w:rsidP="007F160C">
            <w:pPr>
              <w:spacing w:before="120" w:after="120" w:line="276" w:lineRule="auto"/>
              <w:rPr>
                <w:sz w:val="24"/>
                <w:szCs w:val="24"/>
              </w:rPr>
            </w:pPr>
            <w:r w:rsidRPr="007570FB">
              <w:rPr>
                <w:b/>
                <w:color w:val="000000" w:themeColor="text1"/>
                <w:sz w:val="24"/>
                <w:szCs w:val="24"/>
              </w:rPr>
              <w:t xml:space="preserve">Decision </w:t>
            </w:r>
            <w:r w:rsidR="00963BBB">
              <w:rPr>
                <w:b/>
                <w:color w:val="000000" w:themeColor="text1"/>
                <w:sz w:val="24"/>
                <w:szCs w:val="24"/>
              </w:rPr>
              <w:t>7</w:t>
            </w:r>
            <w:r w:rsidRPr="007570FB">
              <w:rPr>
                <w:b/>
                <w:color w:val="000000" w:themeColor="text1"/>
                <w:sz w:val="24"/>
                <w:szCs w:val="24"/>
              </w:rPr>
              <w:t>:</w:t>
            </w:r>
            <w:r w:rsidRPr="007570FB">
              <w:rPr>
                <w:sz w:val="24"/>
                <w:szCs w:val="24"/>
              </w:rPr>
              <w:t xml:space="preserve"> </w:t>
            </w:r>
            <w:r>
              <w:rPr>
                <w:sz w:val="24"/>
                <w:szCs w:val="24"/>
              </w:rPr>
              <w:t xml:space="preserve">The Tribunal </w:t>
            </w:r>
            <w:r w:rsidR="0079486A">
              <w:rPr>
                <w:sz w:val="24"/>
                <w:szCs w:val="24"/>
              </w:rPr>
              <w:t>has established</w:t>
            </w:r>
            <w:r>
              <w:rPr>
                <w:sz w:val="24"/>
                <w:szCs w:val="24"/>
              </w:rPr>
              <w:t xml:space="preserve"> </w:t>
            </w:r>
            <w:r w:rsidR="00B048C8">
              <w:rPr>
                <w:sz w:val="24"/>
                <w:szCs w:val="24"/>
              </w:rPr>
              <w:t xml:space="preserve">a </w:t>
            </w:r>
            <w:r w:rsidR="00154277">
              <w:rPr>
                <w:sz w:val="24"/>
                <w:szCs w:val="24"/>
              </w:rPr>
              <w:t>clearer</w:t>
            </w:r>
            <w:r w:rsidR="00B048C8">
              <w:rPr>
                <w:sz w:val="24"/>
                <w:szCs w:val="24"/>
              </w:rPr>
              <w:t xml:space="preserve"> </w:t>
            </w:r>
            <w:r w:rsidR="003E3D3C">
              <w:rPr>
                <w:sz w:val="24"/>
                <w:szCs w:val="24"/>
              </w:rPr>
              <w:t xml:space="preserve">remuneration </w:t>
            </w:r>
            <w:r>
              <w:rPr>
                <w:sz w:val="24"/>
                <w:szCs w:val="24"/>
              </w:rPr>
              <w:t xml:space="preserve">differential between </w:t>
            </w:r>
            <w:r w:rsidR="0046253A">
              <w:rPr>
                <w:sz w:val="24"/>
                <w:szCs w:val="24"/>
              </w:rPr>
              <w:t xml:space="preserve">the </w:t>
            </w:r>
            <w:r w:rsidR="0079486A">
              <w:rPr>
                <w:sz w:val="24"/>
                <w:szCs w:val="24"/>
              </w:rPr>
              <w:t xml:space="preserve">executive classification </w:t>
            </w:r>
            <w:r>
              <w:rPr>
                <w:sz w:val="24"/>
                <w:szCs w:val="24"/>
              </w:rPr>
              <w:t>bands and</w:t>
            </w:r>
            <w:r w:rsidR="00A61076">
              <w:rPr>
                <w:sz w:val="24"/>
                <w:szCs w:val="24"/>
              </w:rPr>
              <w:t>,</w:t>
            </w:r>
            <w:r>
              <w:rPr>
                <w:sz w:val="24"/>
                <w:szCs w:val="24"/>
              </w:rPr>
              <w:t xml:space="preserve"> </w:t>
            </w:r>
            <w:r w:rsidR="001868F7">
              <w:rPr>
                <w:sz w:val="24"/>
                <w:szCs w:val="24"/>
              </w:rPr>
              <w:t>at the same time</w:t>
            </w:r>
            <w:r w:rsidR="00563869">
              <w:rPr>
                <w:sz w:val="24"/>
                <w:szCs w:val="24"/>
              </w:rPr>
              <w:t>,</w:t>
            </w:r>
            <w:r w:rsidR="001868F7">
              <w:rPr>
                <w:sz w:val="24"/>
                <w:szCs w:val="24"/>
              </w:rPr>
              <w:t xml:space="preserve"> a more consistent progression within a band</w:t>
            </w:r>
            <w:r w:rsidRPr="00100B0E">
              <w:rPr>
                <w:sz w:val="24"/>
                <w:szCs w:val="24"/>
              </w:rPr>
              <w:t>.</w:t>
            </w:r>
          </w:p>
        </w:tc>
      </w:tr>
    </w:tbl>
    <w:p w14:paraId="3D3A0E12" w14:textId="77777777" w:rsidR="0090323D" w:rsidRDefault="0090323D" w:rsidP="00721055">
      <w:pPr>
        <w:spacing w:after="0" w:line="240" w:lineRule="auto"/>
        <w:rPr>
          <w:sz w:val="24"/>
          <w:szCs w:val="24"/>
        </w:rPr>
      </w:pPr>
    </w:p>
    <w:tbl>
      <w:tblPr>
        <w:tblStyle w:val="TableGrid"/>
        <w:tblW w:w="0" w:type="auto"/>
        <w:shd w:val="clear" w:color="auto" w:fill="E5DFEC" w:themeFill="accent4" w:themeFillTint="33"/>
        <w:tblLook w:val="04A0" w:firstRow="1" w:lastRow="0" w:firstColumn="1" w:lastColumn="0" w:noHBand="0" w:noVBand="1"/>
      </w:tblPr>
      <w:tblGrid>
        <w:gridCol w:w="9016"/>
      </w:tblGrid>
      <w:tr w:rsidR="0090323D" w:rsidRPr="007F684F" w14:paraId="20CD2565" w14:textId="77777777" w:rsidTr="008C2656">
        <w:tc>
          <w:tcPr>
            <w:tcW w:w="9016" w:type="dxa"/>
            <w:shd w:val="clear" w:color="auto" w:fill="E5DFEC" w:themeFill="accent4" w:themeFillTint="33"/>
          </w:tcPr>
          <w:p w14:paraId="40604E57" w14:textId="092AED61" w:rsidR="00264A5D" w:rsidRDefault="0090323D" w:rsidP="00264A5D">
            <w:pPr>
              <w:spacing w:before="120" w:after="120" w:line="276" w:lineRule="auto"/>
              <w:rPr>
                <w:sz w:val="24"/>
                <w:szCs w:val="24"/>
              </w:rPr>
            </w:pPr>
            <w:r w:rsidRPr="007570FB">
              <w:rPr>
                <w:b/>
                <w:color w:val="000000" w:themeColor="text1"/>
                <w:sz w:val="24"/>
                <w:szCs w:val="24"/>
              </w:rPr>
              <w:t xml:space="preserve">Decision </w:t>
            </w:r>
            <w:r w:rsidR="00963BBB">
              <w:rPr>
                <w:b/>
                <w:color w:val="000000" w:themeColor="text1"/>
                <w:sz w:val="24"/>
                <w:szCs w:val="24"/>
              </w:rPr>
              <w:t>8</w:t>
            </w:r>
            <w:r w:rsidRPr="007570FB">
              <w:rPr>
                <w:b/>
                <w:color w:val="000000" w:themeColor="text1"/>
                <w:sz w:val="24"/>
                <w:szCs w:val="24"/>
              </w:rPr>
              <w:t>:</w:t>
            </w:r>
            <w:r w:rsidRPr="007570FB">
              <w:rPr>
                <w:sz w:val="24"/>
                <w:szCs w:val="24"/>
              </w:rPr>
              <w:t xml:space="preserve"> </w:t>
            </w:r>
            <w:r>
              <w:rPr>
                <w:sz w:val="24"/>
                <w:szCs w:val="24"/>
              </w:rPr>
              <w:t>The Tribunal acknowledge</w:t>
            </w:r>
            <w:r w:rsidR="0046088A">
              <w:rPr>
                <w:sz w:val="24"/>
                <w:szCs w:val="24"/>
              </w:rPr>
              <w:t>s</w:t>
            </w:r>
            <w:r>
              <w:rPr>
                <w:sz w:val="24"/>
                <w:szCs w:val="24"/>
              </w:rPr>
              <w:t xml:space="preserve"> the unique role of the Head of Service</w:t>
            </w:r>
            <w:r w:rsidR="00264A5D">
              <w:rPr>
                <w:sz w:val="24"/>
                <w:szCs w:val="24"/>
              </w:rPr>
              <w:t xml:space="preserve"> </w:t>
            </w:r>
            <w:r w:rsidR="0046088A">
              <w:rPr>
                <w:sz w:val="24"/>
                <w:szCs w:val="24"/>
              </w:rPr>
              <w:t>and will establish</w:t>
            </w:r>
            <w:r w:rsidR="00264A5D">
              <w:rPr>
                <w:sz w:val="24"/>
                <w:szCs w:val="24"/>
              </w:rPr>
              <w:t xml:space="preserve"> a clear and significant differential between the Head of Service</w:t>
            </w:r>
            <w:r w:rsidR="001A3961">
              <w:rPr>
                <w:sz w:val="24"/>
                <w:szCs w:val="24"/>
              </w:rPr>
              <w:t xml:space="preserve"> level 4.4 and the other Band 4 levels.</w:t>
            </w:r>
            <w:r w:rsidR="00264A5D">
              <w:rPr>
                <w:sz w:val="24"/>
                <w:szCs w:val="24"/>
              </w:rPr>
              <w:t xml:space="preserve">  </w:t>
            </w:r>
          </w:p>
          <w:p w14:paraId="773AAB5E" w14:textId="38E1EB65" w:rsidR="0090323D" w:rsidRPr="001804FA" w:rsidRDefault="00264A5D" w:rsidP="003E3D3C">
            <w:pPr>
              <w:spacing w:before="120" w:after="120" w:line="276" w:lineRule="auto"/>
              <w:rPr>
                <w:sz w:val="24"/>
                <w:szCs w:val="24"/>
              </w:rPr>
            </w:pPr>
            <w:r>
              <w:rPr>
                <w:sz w:val="24"/>
                <w:szCs w:val="24"/>
              </w:rPr>
              <w:t xml:space="preserve">The Tribunal recommends that the ACT Government consider </w:t>
            </w:r>
            <w:r w:rsidR="001A3961">
              <w:rPr>
                <w:sz w:val="24"/>
                <w:szCs w:val="24"/>
              </w:rPr>
              <w:t>including a</w:t>
            </w:r>
            <w:r w:rsidR="006F105A">
              <w:rPr>
                <w:sz w:val="24"/>
                <w:szCs w:val="24"/>
              </w:rPr>
              <w:t>n</w:t>
            </w:r>
            <w:r w:rsidR="001A3961">
              <w:rPr>
                <w:sz w:val="24"/>
                <w:szCs w:val="24"/>
              </w:rPr>
              <w:t xml:space="preserve"> </w:t>
            </w:r>
            <w:r w:rsidR="003E3D3C">
              <w:rPr>
                <w:sz w:val="24"/>
                <w:szCs w:val="24"/>
              </w:rPr>
              <w:t xml:space="preserve">SES </w:t>
            </w:r>
            <w:r w:rsidR="001A3961">
              <w:rPr>
                <w:sz w:val="24"/>
                <w:szCs w:val="24"/>
              </w:rPr>
              <w:t xml:space="preserve">Band 5 level into the </w:t>
            </w:r>
            <w:r w:rsidR="00387F42">
              <w:rPr>
                <w:sz w:val="24"/>
                <w:szCs w:val="24"/>
              </w:rPr>
              <w:t>executive</w:t>
            </w:r>
            <w:r w:rsidR="005959E0">
              <w:rPr>
                <w:sz w:val="24"/>
                <w:szCs w:val="24"/>
              </w:rPr>
              <w:t xml:space="preserve"> </w:t>
            </w:r>
            <w:r w:rsidR="001A3961">
              <w:rPr>
                <w:sz w:val="24"/>
                <w:szCs w:val="24"/>
              </w:rPr>
              <w:t xml:space="preserve">classification structure to </w:t>
            </w:r>
            <w:r w:rsidR="003E3D3C">
              <w:rPr>
                <w:sz w:val="24"/>
                <w:szCs w:val="24"/>
              </w:rPr>
              <w:t xml:space="preserve">better </w:t>
            </w:r>
            <w:r w:rsidR="00387F42">
              <w:rPr>
                <w:sz w:val="24"/>
                <w:szCs w:val="24"/>
              </w:rPr>
              <w:t>recognise</w:t>
            </w:r>
            <w:r w:rsidR="005959E0">
              <w:rPr>
                <w:sz w:val="24"/>
                <w:szCs w:val="24"/>
              </w:rPr>
              <w:t xml:space="preserve"> the </w:t>
            </w:r>
            <w:r w:rsidR="00392C19">
              <w:rPr>
                <w:sz w:val="24"/>
                <w:szCs w:val="24"/>
              </w:rPr>
              <w:t>distinct</w:t>
            </w:r>
            <w:r w:rsidR="003E3D3C">
              <w:rPr>
                <w:sz w:val="24"/>
                <w:szCs w:val="24"/>
              </w:rPr>
              <w:t xml:space="preserve"> </w:t>
            </w:r>
            <w:r w:rsidR="00C02E3F">
              <w:rPr>
                <w:sz w:val="24"/>
                <w:szCs w:val="24"/>
              </w:rPr>
              <w:t xml:space="preserve">Head of Service role. </w:t>
            </w:r>
          </w:p>
        </w:tc>
      </w:tr>
    </w:tbl>
    <w:p w14:paraId="6461959A" w14:textId="2AB60378" w:rsidR="0046088A" w:rsidRDefault="0046088A">
      <w:pPr>
        <w:rPr>
          <w:rFonts w:ascii="Calibri" w:eastAsia="Times New Roman" w:hAnsi="Calibri" w:cs="Times New Roman"/>
          <w:b/>
          <w:bCs/>
          <w:sz w:val="24"/>
          <w:szCs w:val="20"/>
        </w:rPr>
      </w:pPr>
    </w:p>
    <w:p w14:paraId="4107AC66" w14:textId="5A1D4881" w:rsidR="009A3B11" w:rsidRDefault="009A3B11">
      <w:pPr>
        <w:rPr>
          <w:rFonts w:ascii="Calibri" w:eastAsia="Times New Roman" w:hAnsi="Calibri" w:cs="Times New Roman"/>
          <w:b/>
          <w:bCs/>
          <w:sz w:val="24"/>
          <w:szCs w:val="20"/>
        </w:rPr>
      </w:pPr>
      <w:r>
        <w:br w:type="page"/>
      </w:r>
    </w:p>
    <w:p w14:paraId="64556A4A" w14:textId="42C51244" w:rsidR="00216AE5" w:rsidRDefault="00216AE5" w:rsidP="00216AE5">
      <w:pPr>
        <w:pStyle w:val="Heading3"/>
      </w:pPr>
      <w:bookmarkStart w:id="27" w:name="_Toc2327868"/>
      <w:r>
        <w:lastRenderedPageBreak/>
        <w:t>Jurisdictional comparison</w:t>
      </w:r>
      <w:bookmarkEnd w:id="27"/>
      <w:r>
        <w:t xml:space="preserve">  </w:t>
      </w:r>
    </w:p>
    <w:p w14:paraId="3BDB92A5" w14:textId="1DAE7C6C" w:rsidR="00216AE5" w:rsidRPr="004A214D" w:rsidRDefault="00216AE5" w:rsidP="00216AE5">
      <w:pPr>
        <w:spacing w:before="120" w:after="120"/>
        <w:rPr>
          <w:sz w:val="24"/>
          <w:szCs w:val="24"/>
        </w:rPr>
      </w:pPr>
      <w:r w:rsidRPr="004A214D">
        <w:rPr>
          <w:sz w:val="24"/>
          <w:szCs w:val="24"/>
        </w:rPr>
        <w:t>The Tribunal has reviewed</w:t>
      </w:r>
      <w:r>
        <w:rPr>
          <w:sz w:val="24"/>
          <w:szCs w:val="24"/>
        </w:rPr>
        <w:t xml:space="preserve"> the ACTPS executive </w:t>
      </w:r>
      <w:r w:rsidRPr="004A214D">
        <w:rPr>
          <w:sz w:val="24"/>
          <w:szCs w:val="24"/>
        </w:rPr>
        <w:t xml:space="preserve">remuneration and other entitlements with public sector executives </w:t>
      </w:r>
      <w:r>
        <w:rPr>
          <w:sz w:val="24"/>
          <w:szCs w:val="24"/>
        </w:rPr>
        <w:t xml:space="preserve">across the </w:t>
      </w:r>
      <w:r w:rsidRPr="004A214D">
        <w:rPr>
          <w:sz w:val="24"/>
          <w:szCs w:val="24"/>
        </w:rPr>
        <w:t>Commonwealth and the other States and Territories. APS</w:t>
      </w:r>
      <w:r>
        <w:rPr>
          <w:sz w:val="24"/>
          <w:szCs w:val="24"/>
        </w:rPr>
        <w:t xml:space="preserve"> </w:t>
      </w:r>
      <w:r w:rsidRPr="004A214D">
        <w:rPr>
          <w:sz w:val="24"/>
          <w:szCs w:val="24"/>
        </w:rPr>
        <w:t xml:space="preserve">executive remuneration is significantly higher than all other jurisdictions. The Tribunal notes that this </w:t>
      </w:r>
      <w:r w:rsidR="003E3D3C">
        <w:rPr>
          <w:sz w:val="24"/>
          <w:szCs w:val="24"/>
        </w:rPr>
        <w:t>could</w:t>
      </w:r>
      <w:r w:rsidRPr="004A214D">
        <w:rPr>
          <w:sz w:val="24"/>
          <w:szCs w:val="24"/>
        </w:rPr>
        <w:t xml:space="preserve"> be a barrier </w:t>
      </w:r>
      <w:r w:rsidR="00020778">
        <w:rPr>
          <w:sz w:val="24"/>
          <w:szCs w:val="24"/>
        </w:rPr>
        <w:t>to</w:t>
      </w:r>
      <w:r w:rsidR="00020778" w:rsidRPr="004A214D">
        <w:rPr>
          <w:sz w:val="24"/>
          <w:szCs w:val="24"/>
        </w:rPr>
        <w:t xml:space="preserve"> </w:t>
      </w:r>
      <w:r w:rsidRPr="004A214D">
        <w:rPr>
          <w:sz w:val="24"/>
          <w:szCs w:val="24"/>
        </w:rPr>
        <w:t xml:space="preserve">attracting Commonwealth senior executives into ACTPS SES positions. </w:t>
      </w:r>
    </w:p>
    <w:p w14:paraId="719594C9" w14:textId="6507245C" w:rsidR="00216AE5" w:rsidRDefault="00216AE5" w:rsidP="00216AE5">
      <w:pPr>
        <w:spacing w:before="120" w:after="120"/>
        <w:rPr>
          <w:sz w:val="24"/>
          <w:szCs w:val="24"/>
        </w:rPr>
      </w:pPr>
      <w:r w:rsidRPr="000C520F">
        <w:rPr>
          <w:sz w:val="24"/>
          <w:szCs w:val="24"/>
        </w:rPr>
        <w:t xml:space="preserve">Table </w:t>
      </w:r>
      <w:r w:rsidR="000C520F" w:rsidRPr="000C520F">
        <w:rPr>
          <w:sz w:val="24"/>
          <w:szCs w:val="24"/>
        </w:rPr>
        <w:t>5</w:t>
      </w:r>
      <w:r w:rsidR="000C520F">
        <w:rPr>
          <w:sz w:val="24"/>
          <w:szCs w:val="24"/>
        </w:rPr>
        <w:t xml:space="preserve"> </w:t>
      </w:r>
      <w:r w:rsidRPr="005C591B">
        <w:rPr>
          <w:sz w:val="24"/>
          <w:szCs w:val="24"/>
        </w:rPr>
        <w:t xml:space="preserve">provides a comparison of ACTPS to APS executive remuneration packages across the four SES </w:t>
      </w:r>
      <w:r w:rsidRPr="008C69AF">
        <w:rPr>
          <w:sz w:val="24"/>
          <w:szCs w:val="24"/>
        </w:rPr>
        <w:t xml:space="preserve">bands </w:t>
      </w:r>
      <w:r w:rsidRPr="005B40E1">
        <w:rPr>
          <w:sz w:val="24"/>
          <w:szCs w:val="24"/>
        </w:rPr>
        <w:t xml:space="preserve">and is presented visually in Graph </w:t>
      </w:r>
      <w:r w:rsidR="000C520F">
        <w:rPr>
          <w:sz w:val="24"/>
          <w:szCs w:val="24"/>
        </w:rPr>
        <w:t>5</w:t>
      </w:r>
      <w:r w:rsidR="000C520F" w:rsidRPr="005B40E1">
        <w:rPr>
          <w:sz w:val="24"/>
          <w:szCs w:val="24"/>
        </w:rPr>
        <w:t xml:space="preserve"> </w:t>
      </w:r>
      <w:r w:rsidRPr="005B40E1">
        <w:rPr>
          <w:sz w:val="24"/>
          <w:szCs w:val="24"/>
        </w:rPr>
        <w:t xml:space="preserve">and Graph </w:t>
      </w:r>
      <w:r w:rsidR="000C520F">
        <w:rPr>
          <w:sz w:val="24"/>
          <w:szCs w:val="24"/>
        </w:rPr>
        <w:t>6</w:t>
      </w:r>
      <w:r w:rsidR="00CA1BF1">
        <w:rPr>
          <w:sz w:val="24"/>
          <w:szCs w:val="24"/>
        </w:rPr>
        <w:t xml:space="preserve"> below</w:t>
      </w:r>
      <w:r w:rsidRPr="008C69AF">
        <w:rPr>
          <w:sz w:val="24"/>
          <w:szCs w:val="24"/>
        </w:rPr>
        <w:t>.</w:t>
      </w:r>
      <w:r w:rsidRPr="005C591B">
        <w:rPr>
          <w:sz w:val="24"/>
          <w:szCs w:val="24"/>
        </w:rPr>
        <w:t xml:space="preserve"> As mentioned in the </w:t>
      </w:r>
      <w:r w:rsidR="00646540">
        <w:rPr>
          <w:sz w:val="24"/>
          <w:szCs w:val="24"/>
        </w:rPr>
        <w:t>D</w:t>
      </w:r>
      <w:r w:rsidR="00646540" w:rsidRPr="005C591B">
        <w:rPr>
          <w:sz w:val="24"/>
          <w:szCs w:val="24"/>
        </w:rPr>
        <w:t xml:space="preserve">iscussion </w:t>
      </w:r>
      <w:r w:rsidR="00646540">
        <w:rPr>
          <w:sz w:val="24"/>
          <w:szCs w:val="24"/>
        </w:rPr>
        <w:t>P</w:t>
      </w:r>
      <w:r w:rsidR="00646540" w:rsidRPr="005C591B">
        <w:rPr>
          <w:sz w:val="24"/>
          <w:szCs w:val="24"/>
        </w:rPr>
        <w:t>aper</w:t>
      </w:r>
      <w:r w:rsidRPr="005C591B">
        <w:rPr>
          <w:sz w:val="24"/>
          <w:szCs w:val="24"/>
        </w:rPr>
        <w:t xml:space="preserve">, the Commonwealth Remuneration Tribunal does not set remuneration for APS SES Bands 1, 2 or 3. APS agencies are required to set the terms and conditions for their SES employees, and in most cases, this is </w:t>
      </w:r>
      <w:r>
        <w:rPr>
          <w:sz w:val="24"/>
          <w:szCs w:val="24"/>
        </w:rPr>
        <w:t>facilitated</w:t>
      </w:r>
      <w:r w:rsidRPr="005C591B">
        <w:rPr>
          <w:sz w:val="24"/>
          <w:szCs w:val="24"/>
        </w:rPr>
        <w:t xml:space="preserve"> through a determination under section 24 of the</w:t>
      </w:r>
      <w:r w:rsidRPr="005C591B">
        <w:rPr>
          <w:i/>
          <w:sz w:val="24"/>
          <w:szCs w:val="24"/>
        </w:rPr>
        <w:t xml:space="preserve"> Public Service Act 1999</w:t>
      </w:r>
      <w:r w:rsidRPr="005C591B">
        <w:rPr>
          <w:sz w:val="24"/>
          <w:szCs w:val="24"/>
        </w:rPr>
        <w:t xml:space="preserve"> and/or individual common law agreements. These </w:t>
      </w:r>
      <w:r>
        <w:rPr>
          <w:sz w:val="24"/>
          <w:szCs w:val="24"/>
        </w:rPr>
        <w:t xml:space="preserve">arrangements </w:t>
      </w:r>
      <w:r w:rsidRPr="005C591B">
        <w:rPr>
          <w:sz w:val="24"/>
          <w:szCs w:val="24"/>
        </w:rPr>
        <w:t>are not usually made available to the public</w:t>
      </w:r>
      <w:r>
        <w:rPr>
          <w:sz w:val="24"/>
          <w:szCs w:val="24"/>
        </w:rPr>
        <w:t xml:space="preserve"> so it is difficult to compare the salary at those bands</w:t>
      </w:r>
      <w:r w:rsidRPr="005C591B">
        <w:rPr>
          <w:sz w:val="24"/>
          <w:szCs w:val="24"/>
        </w:rPr>
        <w:t>. The APS Remuneration Report 2017 provides some assistance in this area.</w:t>
      </w:r>
      <w:r>
        <w:rPr>
          <w:sz w:val="24"/>
          <w:szCs w:val="24"/>
        </w:rPr>
        <w:t xml:space="preserve"> </w:t>
      </w:r>
    </w:p>
    <w:p w14:paraId="6900742C" w14:textId="4BCB76C4" w:rsidR="00216AE5" w:rsidRDefault="00216AE5" w:rsidP="009A032F">
      <w:pPr>
        <w:keepNext/>
        <w:spacing w:after="120"/>
        <w:rPr>
          <w:b/>
          <w:sz w:val="24"/>
          <w:szCs w:val="24"/>
        </w:rPr>
      </w:pPr>
      <w:r w:rsidRPr="005042EA">
        <w:rPr>
          <w:b/>
          <w:sz w:val="24"/>
          <w:szCs w:val="24"/>
        </w:rPr>
        <w:t xml:space="preserve">Table </w:t>
      </w:r>
      <w:r w:rsidR="000C520F">
        <w:rPr>
          <w:b/>
          <w:sz w:val="24"/>
          <w:szCs w:val="24"/>
        </w:rPr>
        <w:t>5</w:t>
      </w:r>
      <w:r w:rsidR="000C520F" w:rsidRPr="005042EA">
        <w:rPr>
          <w:b/>
          <w:sz w:val="24"/>
          <w:szCs w:val="24"/>
        </w:rPr>
        <w:t xml:space="preserve"> </w:t>
      </w:r>
      <w:r w:rsidRPr="005042EA">
        <w:rPr>
          <w:b/>
          <w:sz w:val="24"/>
          <w:szCs w:val="24"/>
        </w:rPr>
        <w:t>– comparison of base salary and TRP between ACTPS</w:t>
      </w:r>
      <w:r w:rsidR="000C520F">
        <w:rPr>
          <w:b/>
          <w:sz w:val="24"/>
          <w:szCs w:val="24"/>
        </w:rPr>
        <w:t xml:space="preserve">, </w:t>
      </w:r>
      <w:r w:rsidRPr="005042EA">
        <w:rPr>
          <w:b/>
          <w:sz w:val="24"/>
          <w:szCs w:val="24"/>
        </w:rPr>
        <w:t>APS</w:t>
      </w:r>
      <w:r w:rsidR="000C520F">
        <w:rPr>
          <w:b/>
          <w:sz w:val="24"/>
          <w:szCs w:val="24"/>
        </w:rPr>
        <w:t xml:space="preserve"> and NSW</w:t>
      </w:r>
      <w:r w:rsidRPr="005042EA">
        <w:rPr>
          <w:b/>
          <w:sz w:val="24"/>
          <w:szCs w:val="24"/>
        </w:rPr>
        <w:t xml:space="preserve"> executives across </w:t>
      </w:r>
      <w:r>
        <w:rPr>
          <w:b/>
          <w:sz w:val="24"/>
          <w:szCs w:val="24"/>
        </w:rPr>
        <w:t>4</w:t>
      </w:r>
      <w:r>
        <w:t> </w:t>
      </w:r>
      <w:r w:rsidRPr="005042EA">
        <w:rPr>
          <w:b/>
          <w:sz w:val="24"/>
          <w:szCs w:val="24"/>
        </w:rPr>
        <w:t>SES bands</w:t>
      </w:r>
    </w:p>
    <w:tbl>
      <w:tblPr>
        <w:tblStyle w:val="TableGrid"/>
        <w:tblW w:w="0" w:type="auto"/>
        <w:tblLook w:val="04A0" w:firstRow="1" w:lastRow="0" w:firstColumn="1" w:lastColumn="0" w:noHBand="0" w:noVBand="1"/>
      </w:tblPr>
      <w:tblGrid>
        <w:gridCol w:w="2230"/>
        <w:gridCol w:w="1132"/>
        <w:gridCol w:w="1131"/>
        <w:gridCol w:w="1131"/>
        <w:gridCol w:w="1131"/>
        <w:gridCol w:w="1131"/>
        <w:gridCol w:w="1131"/>
      </w:tblGrid>
      <w:tr w:rsidR="00933B5A" w:rsidRPr="005A053C" w14:paraId="7D46961D" w14:textId="77777777" w:rsidTr="004E01B4">
        <w:tc>
          <w:tcPr>
            <w:tcW w:w="2134" w:type="dxa"/>
          </w:tcPr>
          <w:p w14:paraId="6943CB45" w14:textId="77777777" w:rsidR="00933B5A" w:rsidRPr="00933B5A" w:rsidRDefault="00933B5A" w:rsidP="00881CAF">
            <w:pPr>
              <w:spacing w:before="240" w:after="120"/>
              <w:jc w:val="center"/>
              <w:rPr>
                <w:sz w:val="24"/>
                <w:szCs w:val="24"/>
              </w:rPr>
            </w:pPr>
          </w:p>
        </w:tc>
        <w:tc>
          <w:tcPr>
            <w:tcW w:w="2294" w:type="dxa"/>
            <w:gridSpan w:val="2"/>
            <w:shd w:val="clear" w:color="auto" w:fill="F2F2F2" w:themeFill="background1" w:themeFillShade="F2"/>
          </w:tcPr>
          <w:p w14:paraId="68D9FFCA" w14:textId="77777777" w:rsidR="00933B5A" w:rsidRPr="0000249E" w:rsidRDefault="00933B5A" w:rsidP="00881CAF">
            <w:pPr>
              <w:spacing w:before="240" w:after="120"/>
              <w:jc w:val="center"/>
              <w:rPr>
                <w:b/>
                <w:sz w:val="24"/>
              </w:rPr>
            </w:pPr>
            <w:r w:rsidRPr="0000249E">
              <w:rPr>
                <w:b/>
                <w:sz w:val="24"/>
              </w:rPr>
              <w:t>ACTPS</w:t>
            </w:r>
          </w:p>
        </w:tc>
        <w:tc>
          <w:tcPr>
            <w:tcW w:w="2294" w:type="dxa"/>
            <w:gridSpan w:val="2"/>
          </w:tcPr>
          <w:p w14:paraId="0E36CD8A" w14:textId="480C6E0D" w:rsidR="00933B5A" w:rsidRPr="0000249E" w:rsidRDefault="00933B5A" w:rsidP="0000249E">
            <w:pPr>
              <w:spacing w:before="240" w:after="120"/>
              <w:jc w:val="center"/>
              <w:rPr>
                <w:b/>
                <w:sz w:val="24"/>
              </w:rPr>
            </w:pPr>
            <w:r w:rsidRPr="0000249E">
              <w:rPr>
                <w:b/>
                <w:sz w:val="24"/>
              </w:rPr>
              <w:t>APS</w:t>
            </w:r>
            <w:r w:rsidR="0000249E">
              <w:rPr>
                <w:rStyle w:val="FootnoteReference"/>
                <w:b/>
                <w:sz w:val="24"/>
              </w:rPr>
              <w:footnoteReference w:id="17"/>
            </w:r>
          </w:p>
        </w:tc>
        <w:tc>
          <w:tcPr>
            <w:tcW w:w="2294" w:type="dxa"/>
            <w:gridSpan w:val="2"/>
            <w:shd w:val="clear" w:color="auto" w:fill="F2F2F2" w:themeFill="background1" w:themeFillShade="F2"/>
          </w:tcPr>
          <w:p w14:paraId="6777E2D9" w14:textId="1FE6BEBE" w:rsidR="00933B5A" w:rsidRPr="0000249E" w:rsidRDefault="00933B5A" w:rsidP="0000249E">
            <w:pPr>
              <w:spacing w:before="240" w:after="120"/>
              <w:jc w:val="center"/>
              <w:rPr>
                <w:b/>
                <w:sz w:val="24"/>
              </w:rPr>
            </w:pPr>
            <w:r w:rsidRPr="0000249E">
              <w:rPr>
                <w:b/>
                <w:sz w:val="24"/>
              </w:rPr>
              <w:t>NSW PS</w:t>
            </w:r>
            <w:r w:rsidR="0000249E">
              <w:rPr>
                <w:rStyle w:val="FootnoteReference"/>
                <w:b/>
                <w:sz w:val="24"/>
              </w:rPr>
              <w:footnoteReference w:id="18"/>
            </w:r>
          </w:p>
        </w:tc>
      </w:tr>
      <w:tr w:rsidR="00933B5A" w:rsidRPr="005A053C" w14:paraId="59F79F80" w14:textId="77777777" w:rsidTr="004E01B4">
        <w:trPr>
          <w:trHeight w:val="1053"/>
        </w:trPr>
        <w:tc>
          <w:tcPr>
            <w:tcW w:w="2134" w:type="dxa"/>
          </w:tcPr>
          <w:p w14:paraId="17F9DD55" w14:textId="77777777" w:rsidR="00933B5A" w:rsidRPr="00933B5A" w:rsidRDefault="00933B5A" w:rsidP="00881CAF">
            <w:pPr>
              <w:spacing w:before="240" w:after="120"/>
              <w:jc w:val="center"/>
              <w:rPr>
                <w:sz w:val="24"/>
                <w:szCs w:val="24"/>
              </w:rPr>
            </w:pPr>
          </w:p>
        </w:tc>
        <w:tc>
          <w:tcPr>
            <w:tcW w:w="1147" w:type="dxa"/>
            <w:shd w:val="clear" w:color="auto" w:fill="F2F2F2" w:themeFill="background1" w:themeFillShade="F2"/>
          </w:tcPr>
          <w:p w14:paraId="67ACD706" w14:textId="77777777" w:rsidR="00933B5A" w:rsidRPr="0000249E" w:rsidRDefault="00933B5A" w:rsidP="00881CAF">
            <w:pPr>
              <w:spacing w:before="240" w:after="120"/>
              <w:jc w:val="center"/>
              <w:rPr>
                <w:b/>
                <w:sz w:val="24"/>
              </w:rPr>
            </w:pPr>
            <w:r w:rsidRPr="0000249E">
              <w:rPr>
                <w:b/>
                <w:sz w:val="24"/>
              </w:rPr>
              <w:t>Median base salary</w:t>
            </w:r>
          </w:p>
        </w:tc>
        <w:tc>
          <w:tcPr>
            <w:tcW w:w="1147" w:type="dxa"/>
            <w:shd w:val="clear" w:color="auto" w:fill="F2F2F2" w:themeFill="background1" w:themeFillShade="F2"/>
          </w:tcPr>
          <w:p w14:paraId="6CC1F684" w14:textId="77777777" w:rsidR="00933B5A" w:rsidRPr="0000249E" w:rsidRDefault="00933B5A" w:rsidP="00881CAF">
            <w:pPr>
              <w:spacing w:before="240" w:after="120"/>
              <w:jc w:val="center"/>
              <w:rPr>
                <w:b/>
                <w:sz w:val="24"/>
              </w:rPr>
            </w:pPr>
            <w:r w:rsidRPr="0000249E">
              <w:rPr>
                <w:b/>
                <w:sz w:val="24"/>
              </w:rPr>
              <w:t>Median TRP</w:t>
            </w:r>
          </w:p>
        </w:tc>
        <w:tc>
          <w:tcPr>
            <w:tcW w:w="1147" w:type="dxa"/>
          </w:tcPr>
          <w:p w14:paraId="681B1106" w14:textId="77777777" w:rsidR="00933B5A" w:rsidRPr="0000249E" w:rsidRDefault="00933B5A" w:rsidP="00881CAF">
            <w:pPr>
              <w:spacing w:before="240" w:after="120"/>
              <w:jc w:val="center"/>
              <w:rPr>
                <w:b/>
                <w:sz w:val="24"/>
              </w:rPr>
            </w:pPr>
            <w:r w:rsidRPr="0000249E">
              <w:rPr>
                <w:b/>
                <w:sz w:val="24"/>
              </w:rPr>
              <w:t>Median base salary</w:t>
            </w:r>
          </w:p>
        </w:tc>
        <w:tc>
          <w:tcPr>
            <w:tcW w:w="1147" w:type="dxa"/>
          </w:tcPr>
          <w:p w14:paraId="716902BF" w14:textId="77777777" w:rsidR="00933B5A" w:rsidRPr="0000249E" w:rsidRDefault="00933B5A" w:rsidP="00881CAF">
            <w:pPr>
              <w:spacing w:before="240" w:after="120"/>
              <w:jc w:val="center"/>
              <w:rPr>
                <w:b/>
                <w:sz w:val="24"/>
              </w:rPr>
            </w:pPr>
            <w:r w:rsidRPr="0000249E">
              <w:rPr>
                <w:b/>
                <w:sz w:val="24"/>
              </w:rPr>
              <w:t>Median TRP</w:t>
            </w:r>
          </w:p>
        </w:tc>
        <w:tc>
          <w:tcPr>
            <w:tcW w:w="1147" w:type="dxa"/>
            <w:shd w:val="clear" w:color="auto" w:fill="F2F2F2" w:themeFill="background1" w:themeFillShade="F2"/>
          </w:tcPr>
          <w:p w14:paraId="649B44FB" w14:textId="7B6890BA" w:rsidR="00933B5A" w:rsidRPr="0000249E" w:rsidRDefault="007F2AAE" w:rsidP="00881CAF">
            <w:pPr>
              <w:spacing w:before="240" w:after="120"/>
              <w:jc w:val="center"/>
              <w:rPr>
                <w:b/>
                <w:sz w:val="24"/>
              </w:rPr>
            </w:pPr>
            <w:r>
              <w:rPr>
                <w:b/>
                <w:sz w:val="24"/>
                <w:szCs w:val="24"/>
              </w:rPr>
              <w:t>B</w:t>
            </w:r>
            <w:r w:rsidR="00933B5A" w:rsidRPr="002C3EDE">
              <w:rPr>
                <w:b/>
                <w:sz w:val="24"/>
                <w:szCs w:val="24"/>
              </w:rPr>
              <w:t>ase</w:t>
            </w:r>
            <w:r w:rsidR="00933B5A" w:rsidRPr="0000249E">
              <w:rPr>
                <w:b/>
                <w:sz w:val="24"/>
              </w:rPr>
              <w:t xml:space="preserve"> salary midpoint </w:t>
            </w:r>
          </w:p>
        </w:tc>
        <w:tc>
          <w:tcPr>
            <w:tcW w:w="1147" w:type="dxa"/>
            <w:shd w:val="clear" w:color="auto" w:fill="F2F2F2" w:themeFill="background1" w:themeFillShade="F2"/>
          </w:tcPr>
          <w:p w14:paraId="33B24B18" w14:textId="77777777" w:rsidR="00933B5A" w:rsidRPr="0000249E" w:rsidRDefault="00933B5A" w:rsidP="00881CAF">
            <w:pPr>
              <w:keepNext/>
              <w:spacing w:before="240" w:after="120"/>
              <w:jc w:val="center"/>
              <w:rPr>
                <w:b/>
                <w:sz w:val="24"/>
              </w:rPr>
            </w:pPr>
            <w:r w:rsidRPr="0000249E">
              <w:rPr>
                <w:b/>
                <w:sz w:val="24"/>
              </w:rPr>
              <w:t>TRP midpoint</w:t>
            </w:r>
          </w:p>
        </w:tc>
      </w:tr>
      <w:tr w:rsidR="00933B5A" w:rsidRPr="005A053C" w14:paraId="1CE4C215" w14:textId="77777777" w:rsidTr="004E01B4">
        <w:tc>
          <w:tcPr>
            <w:tcW w:w="2134" w:type="dxa"/>
          </w:tcPr>
          <w:p w14:paraId="0BAECBCB" w14:textId="757A0C0A" w:rsidR="00933B5A" w:rsidRPr="0000249E" w:rsidRDefault="00933B5A" w:rsidP="00247933">
            <w:pPr>
              <w:spacing w:before="240" w:after="120"/>
              <w:jc w:val="center"/>
              <w:rPr>
                <w:b/>
                <w:sz w:val="24"/>
              </w:rPr>
            </w:pPr>
            <w:r w:rsidRPr="0000249E">
              <w:rPr>
                <w:b/>
                <w:sz w:val="24"/>
              </w:rPr>
              <w:t>SES B</w:t>
            </w:r>
            <w:r w:rsidR="00247933" w:rsidRPr="0000249E">
              <w:rPr>
                <w:b/>
                <w:sz w:val="24"/>
              </w:rPr>
              <w:t xml:space="preserve">and </w:t>
            </w:r>
            <w:r w:rsidRPr="0000249E">
              <w:rPr>
                <w:b/>
                <w:sz w:val="24"/>
              </w:rPr>
              <w:t>1</w:t>
            </w:r>
          </w:p>
        </w:tc>
        <w:tc>
          <w:tcPr>
            <w:tcW w:w="1147" w:type="dxa"/>
            <w:shd w:val="clear" w:color="auto" w:fill="F2F2F2" w:themeFill="background1" w:themeFillShade="F2"/>
          </w:tcPr>
          <w:p w14:paraId="4BCCD980" w14:textId="77777777" w:rsidR="00933B5A" w:rsidRPr="00933B5A" w:rsidRDefault="00933B5A" w:rsidP="00881CAF">
            <w:pPr>
              <w:spacing w:before="240" w:after="120"/>
              <w:jc w:val="center"/>
              <w:rPr>
                <w:sz w:val="24"/>
                <w:szCs w:val="24"/>
              </w:rPr>
            </w:pPr>
            <w:r w:rsidRPr="00933B5A">
              <w:rPr>
                <w:sz w:val="24"/>
                <w:szCs w:val="24"/>
              </w:rPr>
              <w:t>$161,002</w:t>
            </w:r>
          </w:p>
        </w:tc>
        <w:tc>
          <w:tcPr>
            <w:tcW w:w="1147" w:type="dxa"/>
            <w:shd w:val="clear" w:color="auto" w:fill="F2F2F2" w:themeFill="background1" w:themeFillShade="F2"/>
          </w:tcPr>
          <w:p w14:paraId="0CC0EA88" w14:textId="77777777" w:rsidR="00933B5A" w:rsidRPr="00933B5A" w:rsidRDefault="00933B5A" w:rsidP="00881CAF">
            <w:pPr>
              <w:spacing w:before="240" w:after="120"/>
              <w:jc w:val="center"/>
              <w:rPr>
                <w:sz w:val="24"/>
                <w:szCs w:val="24"/>
              </w:rPr>
            </w:pPr>
            <w:r w:rsidRPr="00933B5A">
              <w:rPr>
                <w:sz w:val="24"/>
                <w:szCs w:val="24"/>
              </w:rPr>
              <w:t>$211,406</w:t>
            </w:r>
          </w:p>
        </w:tc>
        <w:tc>
          <w:tcPr>
            <w:tcW w:w="1147" w:type="dxa"/>
          </w:tcPr>
          <w:p w14:paraId="5FF20D84" w14:textId="77777777" w:rsidR="00933B5A" w:rsidRPr="00933B5A" w:rsidRDefault="00933B5A" w:rsidP="00881CAF">
            <w:pPr>
              <w:spacing w:before="240" w:after="120"/>
              <w:jc w:val="center"/>
              <w:rPr>
                <w:sz w:val="24"/>
                <w:szCs w:val="24"/>
              </w:rPr>
            </w:pPr>
            <w:r w:rsidRPr="00933B5A">
              <w:rPr>
                <w:sz w:val="24"/>
                <w:szCs w:val="24"/>
              </w:rPr>
              <w:t>$189,353</w:t>
            </w:r>
          </w:p>
        </w:tc>
        <w:tc>
          <w:tcPr>
            <w:tcW w:w="1147" w:type="dxa"/>
          </w:tcPr>
          <w:p w14:paraId="63FD5DF0" w14:textId="77777777" w:rsidR="00933B5A" w:rsidRPr="00933B5A" w:rsidRDefault="00933B5A" w:rsidP="00881CAF">
            <w:pPr>
              <w:spacing w:before="240" w:after="120"/>
              <w:jc w:val="center"/>
              <w:rPr>
                <w:sz w:val="24"/>
                <w:szCs w:val="24"/>
              </w:rPr>
            </w:pPr>
            <w:r w:rsidRPr="00933B5A">
              <w:rPr>
                <w:sz w:val="24"/>
                <w:szCs w:val="24"/>
              </w:rPr>
              <w:t>$247,620</w:t>
            </w:r>
          </w:p>
        </w:tc>
        <w:tc>
          <w:tcPr>
            <w:tcW w:w="1147" w:type="dxa"/>
            <w:shd w:val="clear" w:color="auto" w:fill="F2F2F2" w:themeFill="background1" w:themeFillShade="F2"/>
          </w:tcPr>
          <w:p w14:paraId="0A09A9FD" w14:textId="15E2AF69" w:rsidR="00933B5A" w:rsidRPr="00933B5A" w:rsidRDefault="00247933" w:rsidP="00881CAF">
            <w:pPr>
              <w:spacing w:before="240" w:after="120"/>
              <w:jc w:val="center"/>
              <w:rPr>
                <w:sz w:val="24"/>
                <w:szCs w:val="24"/>
              </w:rPr>
            </w:pPr>
            <w:r>
              <w:rPr>
                <w:sz w:val="24"/>
                <w:szCs w:val="24"/>
              </w:rPr>
              <w:t>-</w:t>
            </w:r>
          </w:p>
        </w:tc>
        <w:tc>
          <w:tcPr>
            <w:tcW w:w="1147" w:type="dxa"/>
            <w:shd w:val="clear" w:color="auto" w:fill="F2F2F2" w:themeFill="background1" w:themeFillShade="F2"/>
          </w:tcPr>
          <w:p w14:paraId="2FCB14AB" w14:textId="77777777" w:rsidR="00933B5A" w:rsidRPr="00933B5A" w:rsidRDefault="00933B5A" w:rsidP="00881CAF">
            <w:pPr>
              <w:spacing w:before="240" w:after="120"/>
              <w:jc w:val="center"/>
              <w:rPr>
                <w:sz w:val="24"/>
                <w:szCs w:val="24"/>
              </w:rPr>
            </w:pPr>
            <w:r w:rsidRPr="00933B5A">
              <w:rPr>
                <w:sz w:val="24"/>
                <w:szCs w:val="24"/>
              </w:rPr>
              <w:t>$227,950</w:t>
            </w:r>
          </w:p>
        </w:tc>
      </w:tr>
      <w:tr w:rsidR="00933B5A" w:rsidRPr="005A053C" w14:paraId="18EF94E9" w14:textId="77777777" w:rsidTr="004E01B4">
        <w:tc>
          <w:tcPr>
            <w:tcW w:w="2134" w:type="dxa"/>
          </w:tcPr>
          <w:p w14:paraId="0EF670EE" w14:textId="56081D05" w:rsidR="00933B5A" w:rsidRPr="0000249E" w:rsidRDefault="00247933" w:rsidP="00247933">
            <w:pPr>
              <w:spacing w:before="240" w:after="120"/>
              <w:jc w:val="center"/>
              <w:rPr>
                <w:b/>
                <w:sz w:val="24"/>
              </w:rPr>
            </w:pPr>
            <w:r w:rsidRPr="0000249E">
              <w:rPr>
                <w:b/>
                <w:sz w:val="24"/>
              </w:rPr>
              <w:t>SES Band</w:t>
            </w:r>
            <w:r w:rsidR="00933B5A" w:rsidRPr="0000249E">
              <w:rPr>
                <w:b/>
                <w:sz w:val="24"/>
              </w:rPr>
              <w:t xml:space="preserve"> 2</w:t>
            </w:r>
          </w:p>
        </w:tc>
        <w:tc>
          <w:tcPr>
            <w:tcW w:w="1147" w:type="dxa"/>
            <w:shd w:val="clear" w:color="auto" w:fill="F2F2F2" w:themeFill="background1" w:themeFillShade="F2"/>
          </w:tcPr>
          <w:p w14:paraId="1F571103" w14:textId="77777777" w:rsidR="00933B5A" w:rsidRPr="00933B5A" w:rsidRDefault="00933B5A" w:rsidP="00881CAF">
            <w:pPr>
              <w:spacing w:before="240" w:after="120"/>
              <w:jc w:val="center"/>
              <w:rPr>
                <w:sz w:val="24"/>
                <w:szCs w:val="24"/>
              </w:rPr>
            </w:pPr>
            <w:r w:rsidRPr="00933B5A">
              <w:rPr>
                <w:sz w:val="24"/>
                <w:szCs w:val="24"/>
              </w:rPr>
              <w:t>$218,015</w:t>
            </w:r>
          </w:p>
        </w:tc>
        <w:tc>
          <w:tcPr>
            <w:tcW w:w="1147" w:type="dxa"/>
            <w:shd w:val="clear" w:color="auto" w:fill="F2F2F2" w:themeFill="background1" w:themeFillShade="F2"/>
          </w:tcPr>
          <w:p w14:paraId="6A345C8E" w14:textId="77777777" w:rsidR="00933B5A" w:rsidRPr="00933B5A" w:rsidRDefault="00933B5A" w:rsidP="00881CAF">
            <w:pPr>
              <w:spacing w:before="240" w:after="120"/>
              <w:jc w:val="center"/>
              <w:rPr>
                <w:sz w:val="24"/>
                <w:szCs w:val="24"/>
              </w:rPr>
            </w:pPr>
            <w:r w:rsidRPr="00933B5A">
              <w:rPr>
                <w:sz w:val="24"/>
                <w:szCs w:val="24"/>
              </w:rPr>
              <w:t>$291,481</w:t>
            </w:r>
          </w:p>
        </w:tc>
        <w:tc>
          <w:tcPr>
            <w:tcW w:w="1147" w:type="dxa"/>
          </w:tcPr>
          <w:p w14:paraId="75CFA3D3" w14:textId="77777777" w:rsidR="00933B5A" w:rsidRPr="00933B5A" w:rsidRDefault="00933B5A" w:rsidP="00881CAF">
            <w:pPr>
              <w:spacing w:before="240" w:after="120"/>
              <w:jc w:val="center"/>
              <w:rPr>
                <w:sz w:val="24"/>
                <w:szCs w:val="24"/>
              </w:rPr>
            </w:pPr>
            <w:r w:rsidRPr="00933B5A">
              <w:rPr>
                <w:sz w:val="24"/>
                <w:szCs w:val="24"/>
              </w:rPr>
              <w:t>$245,348</w:t>
            </w:r>
          </w:p>
        </w:tc>
        <w:tc>
          <w:tcPr>
            <w:tcW w:w="1147" w:type="dxa"/>
          </w:tcPr>
          <w:p w14:paraId="39CCD99A" w14:textId="77777777" w:rsidR="00933B5A" w:rsidRPr="00933B5A" w:rsidRDefault="00933B5A" w:rsidP="00881CAF">
            <w:pPr>
              <w:spacing w:before="240" w:after="120"/>
              <w:jc w:val="center"/>
              <w:rPr>
                <w:sz w:val="24"/>
                <w:szCs w:val="24"/>
              </w:rPr>
            </w:pPr>
            <w:r w:rsidRPr="00933B5A">
              <w:rPr>
                <w:sz w:val="24"/>
                <w:szCs w:val="24"/>
              </w:rPr>
              <w:t>$310,641</w:t>
            </w:r>
          </w:p>
        </w:tc>
        <w:tc>
          <w:tcPr>
            <w:tcW w:w="1147" w:type="dxa"/>
            <w:shd w:val="clear" w:color="auto" w:fill="F2F2F2" w:themeFill="background1" w:themeFillShade="F2"/>
          </w:tcPr>
          <w:p w14:paraId="02C4BDD8" w14:textId="347009F7" w:rsidR="00933B5A" w:rsidRPr="00933B5A" w:rsidRDefault="00247933" w:rsidP="00881CAF">
            <w:pPr>
              <w:spacing w:before="240" w:after="120"/>
              <w:jc w:val="center"/>
              <w:rPr>
                <w:sz w:val="24"/>
                <w:szCs w:val="24"/>
              </w:rPr>
            </w:pPr>
            <w:r>
              <w:rPr>
                <w:sz w:val="24"/>
                <w:szCs w:val="24"/>
              </w:rPr>
              <w:t>-</w:t>
            </w:r>
          </w:p>
        </w:tc>
        <w:tc>
          <w:tcPr>
            <w:tcW w:w="1147" w:type="dxa"/>
            <w:shd w:val="clear" w:color="auto" w:fill="F2F2F2" w:themeFill="background1" w:themeFillShade="F2"/>
          </w:tcPr>
          <w:p w14:paraId="50B3B33A" w14:textId="77777777" w:rsidR="00933B5A" w:rsidRPr="00933B5A" w:rsidRDefault="00933B5A" w:rsidP="00881CAF">
            <w:pPr>
              <w:spacing w:before="240" w:after="120"/>
              <w:jc w:val="center"/>
              <w:rPr>
                <w:sz w:val="24"/>
                <w:szCs w:val="24"/>
              </w:rPr>
            </w:pPr>
            <w:r w:rsidRPr="00933B5A">
              <w:rPr>
                <w:sz w:val="24"/>
                <w:szCs w:val="24"/>
              </w:rPr>
              <w:t>$302,950</w:t>
            </w:r>
          </w:p>
        </w:tc>
      </w:tr>
      <w:tr w:rsidR="00933B5A" w:rsidRPr="005A053C" w14:paraId="0D164E95" w14:textId="77777777" w:rsidTr="004E01B4">
        <w:tc>
          <w:tcPr>
            <w:tcW w:w="2134" w:type="dxa"/>
          </w:tcPr>
          <w:p w14:paraId="3A307B26" w14:textId="4E5E6201" w:rsidR="00933B5A" w:rsidRPr="0000249E" w:rsidRDefault="00933B5A" w:rsidP="00247933">
            <w:pPr>
              <w:spacing w:before="240" w:after="120"/>
              <w:jc w:val="center"/>
              <w:rPr>
                <w:b/>
                <w:sz w:val="24"/>
              </w:rPr>
            </w:pPr>
            <w:r w:rsidRPr="0000249E">
              <w:rPr>
                <w:b/>
                <w:sz w:val="24"/>
              </w:rPr>
              <w:t>SES B</w:t>
            </w:r>
            <w:r w:rsidR="00247933" w:rsidRPr="0000249E">
              <w:rPr>
                <w:b/>
                <w:sz w:val="24"/>
              </w:rPr>
              <w:t>and</w:t>
            </w:r>
            <w:r w:rsidRPr="0000249E">
              <w:rPr>
                <w:b/>
                <w:sz w:val="24"/>
              </w:rPr>
              <w:t xml:space="preserve"> 3</w:t>
            </w:r>
          </w:p>
        </w:tc>
        <w:tc>
          <w:tcPr>
            <w:tcW w:w="1147" w:type="dxa"/>
            <w:shd w:val="clear" w:color="auto" w:fill="F2F2F2" w:themeFill="background1" w:themeFillShade="F2"/>
          </w:tcPr>
          <w:p w14:paraId="70F125BC" w14:textId="77777777" w:rsidR="00933B5A" w:rsidRPr="00933B5A" w:rsidRDefault="00933B5A" w:rsidP="00881CAF">
            <w:pPr>
              <w:spacing w:before="240" w:after="120"/>
              <w:jc w:val="center"/>
              <w:rPr>
                <w:sz w:val="24"/>
                <w:szCs w:val="24"/>
              </w:rPr>
            </w:pPr>
            <w:r w:rsidRPr="00933B5A">
              <w:rPr>
                <w:sz w:val="24"/>
                <w:szCs w:val="24"/>
              </w:rPr>
              <w:t>$280,892</w:t>
            </w:r>
          </w:p>
        </w:tc>
        <w:tc>
          <w:tcPr>
            <w:tcW w:w="1147" w:type="dxa"/>
            <w:shd w:val="clear" w:color="auto" w:fill="F2F2F2" w:themeFill="background1" w:themeFillShade="F2"/>
          </w:tcPr>
          <w:p w14:paraId="6E41A1B1" w14:textId="77777777" w:rsidR="00933B5A" w:rsidRPr="00933B5A" w:rsidRDefault="00933B5A" w:rsidP="00881CAF">
            <w:pPr>
              <w:spacing w:before="240" w:after="120"/>
              <w:jc w:val="center"/>
              <w:rPr>
                <w:sz w:val="24"/>
                <w:szCs w:val="24"/>
              </w:rPr>
            </w:pPr>
            <w:r w:rsidRPr="00933B5A">
              <w:rPr>
                <w:sz w:val="24"/>
                <w:szCs w:val="24"/>
              </w:rPr>
              <w:t>$344,885</w:t>
            </w:r>
          </w:p>
        </w:tc>
        <w:tc>
          <w:tcPr>
            <w:tcW w:w="1147" w:type="dxa"/>
          </w:tcPr>
          <w:p w14:paraId="66E50201" w14:textId="77777777" w:rsidR="00933B5A" w:rsidRPr="00933B5A" w:rsidRDefault="00933B5A" w:rsidP="00881CAF">
            <w:pPr>
              <w:spacing w:before="240" w:after="120"/>
              <w:jc w:val="center"/>
              <w:rPr>
                <w:sz w:val="24"/>
                <w:szCs w:val="24"/>
              </w:rPr>
            </w:pPr>
            <w:r w:rsidRPr="00933B5A">
              <w:rPr>
                <w:sz w:val="24"/>
                <w:szCs w:val="24"/>
              </w:rPr>
              <w:t>$336,876</w:t>
            </w:r>
          </w:p>
        </w:tc>
        <w:tc>
          <w:tcPr>
            <w:tcW w:w="1147" w:type="dxa"/>
          </w:tcPr>
          <w:p w14:paraId="7A8AC031" w14:textId="77777777" w:rsidR="00933B5A" w:rsidRPr="00933B5A" w:rsidRDefault="00933B5A" w:rsidP="00881CAF">
            <w:pPr>
              <w:spacing w:before="240" w:after="120"/>
              <w:jc w:val="center"/>
              <w:rPr>
                <w:sz w:val="24"/>
                <w:szCs w:val="24"/>
              </w:rPr>
            </w:pPr>
            <w:r w:rsidRPr="00933B5A">
              <w:rPr>
                <w:sz w:val="24"/>
                <w:szCs w:val="24"/>
              </w:rPr>
              <w:t>$420,420</w:t>
            </w:r>
          </w:p>
        </w:tc>
        <w:tc>
          <w:tcPr>
            <w:tcW w:w="1147" w:type="dxa"/>
            <w:shd w:val="clear" w:color="auto" w:fill="F2F2F2" w:themeFill="background1" w:themeFillShade="F2"/>
          </w:tcPr>
          <w:p w14:paraId="37FC2438" w14:textId="493B12C2" w:rsidR="00933B5A" w:rsidRPr="00933B5A" w:rsidRDefault="00247933" w:rsidP="00881CAF">
            <w:pPr>
              <w:spacing w:before="240" w:after="120"/>
              <w:jc w:val="center"/>
              <w:rPr>
                <w:sz w:val="24"/>
                <w:szCs w:val="24"/>
              </w:rPr>
            </w:pPr>
            <w:r>
              <w:rPr>
                <w:sz w:val="24"/>
                <w:szCs w:val="24"/>
              </w:rPr>
              <w:t>-</w:t>
            </w:r>
          </w:p>
        </w:tc>
        <w:tc>
          <w:tcPr>
            <w:tcW w:w="1147" w:type="dxa"/>
            <w:shd w:val="clear" w:color="auto" w:fill="F2F2F2" w:themeFill="background1" w:themeFillShade="F2"/>
          </w:tcPr>
          <w:p w14:paraId="5F063B1A" w14:textId="77777777" w:rsidR="00933B5A" w:rsidRPr="00933B5A" w:rsidRDefault="00933B5A" w:rsidP="00881CAF">
            <w:pPr>
              <w:spacing w:before="240" w:after="120"/>
              <w:jc w:val="center"/>
              <w:rPr>
                <w:sz w:val="24"/>
                <w:szCs w:val="24"/>
              </w:rPr>
            </w:pPr>
            <w:r w:rsidRPr="00933B5A">
              <w:rPr>
                <w:sz w:val="24"/>
                <w:szCs w:val="24"/>
              </w:rPr>
              <w:t>$406,125</w:t>
            </w:r>
          </w:p>
        </w:tc>
      </w:tr>
      <w:tr w:rsidR="00933B5A" w:rsidRPr="005A053C" w14:paraId="52D35B33" w14:textId="77777777" w:rsidTr="009A032F">
        <w:tc>
          <w:tcPr>
            <w:tcW w:w="0" w:type="auto"/>
          </w:tcPr>
          <w:p w14:paraId="2BD16074" w14:textId="416328DE" w:rsidR="00933B5A" w:rsidRPr="0000249E" w:rsidRDefault="00933B5A" w:rsidP="009A032F">
            <w:pPr>
              <w:spacing w:after="120"/>
              <w:jc w:val="center"/>
              <w:rPr>
                <w:b/>
                <w:sz w:val="24"/>
              </w:rPr>
            </w:pPr>
            <w:r w:rsidRPr="0000249E">
              <w:rPr>
                <w:b/>
                <w:sz w:val="24"/>
              </w:rPr>
              <w:t>SES Band 4 (Department Secretaries/ Agency Heads)</w:t>
            </w:r>
            <w:r w:rsidR="0000249E">
              <w:rPr>
                <w:rStyle w:val="FootnoteReference"/>
                <w:b/>
                <w:sz w:val="24"/>
              </w:rPr>
              <w:footnoteReference w:id="19"/>
            </w:r>
          </w:p>
        </w:tc>
        <w:tc>
          <w:tcPr>
            <w:tcW w:w="0" w:type="auto"/>
            <w:shd w:val="clear" w:color="auto" w:fill="F2F2F2" w:themeFill="background1" w:themeFillShade="F2"/>
          </w:tcPr>
          <w:p w14:paraId="1A6E1012" w14:textId="77777777" w:rsidR="00933B5A" w:rsidRPr="00933B5A" w:rsidRDefault="00933B5A" w:rsidP="009A032F">
            <w:pPr>
              <w:spacing w:after="120"/>
              <w:jc w:val="center"/>
              <w:rPr>
                <w:sz w:val="24"/>
                <w:szCs w:val="24"/>
              </w:rPr>
            </w:pPr>
            <w:r w:rsidRPr="00933B5A">
              <w:rPr>
                <w:sz w:val="24"/>
                <w:szCs w:val="24"/>
              </w:rPr>
              <w:t>$329,045</w:t>
            </w:r>
          </w:p>
        </w:tc>
        <w:tc>
          <w:tcPr>
            <w:tcW w:w="0" w:type="auto"/>
            <w:shd w:val="clear" w:color="auto" w:fill="F2F2F2" w:themeFill="background1" w:themeFillShade="F2"/>
          </w:tcPr>
          <w:p w14:paraId="0B6B326C" w14:textId="77777777" w:rsidR="00933B5A" w:rsidRPr="00933B5A" w:rsidRDefault="00933B5A" w:rsidP="009A032F">
            <w:pPr>
              <w:spacing w:after="120"/>
              <w:jc w:val="center"/>
              <w:rPr>
                <w:sz w:val="24"/>
                <w:szCs w:val="24"/>
              </w:rPr>
            </w:pPr>
            <w:r w:rsidRPr="00933B5A">
              <w:rPr>
                <w:sz w:val="24"/>
                <w:szCs w:val="24"/>
              </w:rPr>
              <w:t>$398,594</w:t>
            </w:r>
          </w:p>
        </w:tc>
        <w:tc>
          <w:tcPr>
            <w:tcW w:w="0" w:type="auto"/>
          </w:tcPr>
          <w:p w14:paraId="2A7A0F56" w14:textId="77777777" w:rsidR="00933B5A" w:rsidRPr="00933B5A" w:rsidRDefault="00933B5A" w:rsidP="009A032F">
            <w:pPr>
              <w:spacing w:after="120"/>
              <w:jc w:val="center"/>
              <w:rPr>
                <w:sz w:val="24"/>
                <w:szCs w:val="24"/>
              </w:rPr>
            </w:pPr>
            <w:r w:rsidRPr="00933B5A">
              <w:rPr>
                <w:sz w:val="24"/>
                <w:szCs w:val="24"/>
              </w:rPr>
              <w:t>$547,694</w:t>
            </w:r>
          </w:p>
        </w:tc>
        <w:tc>
          <w:tcPr>
            <w:tcW w:w="0" w:type="auto"/>
          </w:tcPr>
          <w:p w14:paraId="27AB0F44" w14:textId="6F90812E" w:rsidR="00933B5A" w:rsidRPr="00933B5A" w:rsidRDefault="00933B5A" w:rsidP="009A032F">
            <w:pPr>
              <w:spacing w:after="120"/>
              <w:jc w:val="center"/>
              <w:rPr>
                <w:sz w:val="24"/>
                <w:szCs w:val="24"/>
              </w:rPr>
            </w:pPr>
            <w:r w:rsidRPr="00933B5A">
              <w:rPr>
                <w:sz w:val="24"/>
                <w:szCs w:val="24"/>
              </w:rPr>
              <w:t>$782,420</w:t>
            </w:r>
          </w:p>
        </w:tc>
        <w:tc>
          <w:tcPr>
            <w:tcW w:w="0" w:type="auto"/>
            <w:shd w:val="clear" w:color="auto" w:fill="F2F2F2" w:themeFill="background1" w:themeFillShade="F2"/>
          </w:tcPr>
          <w:p w14:paraId="68755FF1" w14:textId="7A4B87FF" w:rsidR="00933B5A" w:rsidRPr="00933B5A" w:rsidRDefault="00247933" w:rsidP="009A032F">
            <w:pPr>
              <w:spacing w:after="120"/>
              <w:jc w:val="center"/>
              <w:rPr>
                <w:sz w:val="24"/>
                <w:szCs w:val="24"/>
              </w:rPr>
            </w:pPr>
            <w:r>
              <w:rPr>
                <w:sz w:val="24"/>
                <w:szCs w:val="24"/>
              </w:rPr>
              <w:t>-</w:t>
            </w:r>
          </w:p>
        </w:tc>
        <w:tc>
          <w:tcPr>
            <w:tcW w:w="0" w:type="auto"/>
            <w:shd w:val="clear" w:color="auto" w:fill="F2F2F2" w:themeFill="background1" w:themeFillShade="F2"/>
          </w:tcPr>
          <w:p w14:paraId="79EEA240" w14:textId="77777777" w:rsidR="00933B5A" w:rsidRPr="00933B5A" w:rsidRDefault="00933B5A" w:rsidP="009A032F">
            <w:pPr>
              <w:spacing w:after="120"/>
              <w:jc w:val="center"/>
              <w:rPr>
                <w:sz w:val="24"/>
                <w:szCs w:val="24"/>
              </w:rPr>
            </w:pPr>
            <w:r w:rsidRPr="00933B5A">
              <w:rPr>
                <w:sz w:val="24"/>
                <w:szCs w:val="24"/>
              </w:rPr>
              <w:t>$512,050</w:t>
            </w:r>
          </w:p>
        </w:tc>
      </w:tr>
    </w:tbl>
    <w:p w14:paraId="218D1707" w14:textId="77777777" w:rsidR="004E01B4" w:rsidRPr="005B40E1" w:rsidRDefault="004E01B4" w:rsidP="004E01B4">
      <w:pPr>
        <w:keepNext/>
        <w:spacing w:after="120"/>
        <w:rPr>
          <w:b/>
          <w:sz w:val="24"/>
          <w:szCs w:val="24"/>
        </w:rPr>
      </w:pPr>
      <w:r w:rsidRPr="008C69AF">
        <w:rPr>
          <w:b/>
          <w:sz w:val="24"/>
          <w:szCs w:val="24"/>
        </w:rPr>
        <w:lastRenderedPageBreak/>
        <w:t xml:space="preserve">Graph </w:t>
      </w:r>
      <w:r>
        <w:rPr>
          <w:b/>
          <w:sz w:val="24"/>
          <w:szCs w:val="24"/>
        </w:rPr>
        <w:t>5</w:t>
      </w:r>
      <w:r w:rsidRPr="005B40E1">
        <w:rPr>
          <w:b/>
          <w:sz w:val="24"/>
          <w:szCs w:val="24"/>
        </w:rPr>
        <w:t xml:space="preserve"> – comparison of base salary bands for ACTPS and APS executives</w:t>
      </w:r>
    </w:p>
    <w:p w14:paraId="3CB92343" w14:textId="77777777" w:rsidR="004E01B4" w:rsidRDefault="004E01B4" w:rsidP="004E01B4">
      <w:pPr>
        <w:rPr>
          <w:b/>
          <w:bCs/>
          <w:sz w:val="23"/>
          <w:szCs w:val="23"/>
        </w:rPr>
      </w:pPr>
      <w:r>
        <w:rPr>
          <w:noProof/>
          <w:lang w:val="en-AU" w:eastAsia="en-AU"/>
        </w:rPr>
        <w:drawing>
          <wp:inline distT="0" distB="0" distL="0" distR="0" wp14:anchorId="618EEB5E" wp14:editId="42E86458">
            <wp:extent cx="5731510" cy="2415540"/>
            <wp:effectExtent l="0" t="0" r="2540" b="38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019F4C6" w14:textId="77777777" w:rsidR="004E01B4" w:rsidRPr="005B40E1" w:rsidRDefault="004E01B4" w:rsidP="004E01B4">
      <w:pPr>
        <w:keepNext/>
        <w:spacing w:after="120"/>
        <w:rPr>
          <w:b/>
          <w:sz w:val="24"/>
          <w:szCs w:val="24"/>
        </w:rPr>
      </w:pPr>
      <w:r w:rsidRPr="008C69AF">
        <w:rPr>
          <w:b/>
          <w:sz w:val="24"/>
          <w:szCs w:val="24"/>
        </w:rPr>
        <w:t xml:space="preserve">Graph </w:t>
      </w:r>
      <w:r>
        <w:rPr>
          <w:b/>
          <w:sz w:val="24"/>
          <w:szCs w:val="24"/>
        </w:rPr>
        <w:t>6</w:t>
      </w:r>
      <w:r w:rsidRPr="005B40E1">
        <w:rPr>
          <w:b/>
          <w:sz w:val="24"/>
          <w:szCs w:val="24"/>
        </w:rPr>
        <w:t xml:space="preserve"> – comparison of TRP bands for ACTPS and APS executives</w:t>
      </w:r>
    </w:p>
    <w:p w14:paraId="0ED02101" w14:textId="77777777" w:rsidR="004E01B4" w:rsidRDefault="004E01B4" w:rsidP="004E01B4">
      <w:pPr>
        <w:rPr>
          <w:b/>
          <w:bCs/>
          <w:sz w:val="23"/>
          <w:szCs w:val="23"/>
        </w:rPr>
      </w:pPr>
      <w:r>
        <w:rPr>
          <w:noProof/>
          <w:lang w:val="en-AU" w:eastAsia="en-AU"/>
        </w:rPr>
        <w:drawing>
          <wp:inline distT="0" distB="0" distL="0" distR="0" wp14:anchorId="685E4CB9" wp14:editId="04B23D5C">
            <wp:extent cx="5731510" cy="2415540"/>
            <wp:effectExtent l="0" t="0" r="2540" b="381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BF754A0" w14:textId="49C80C69" w:rsidR="00CA1BF1" w:rsidRDefault="00CA1BF1" w:rsidP="004E01B4">
      <w:pPr>
        <w:spacing w:before="240" w:after="120"/>
        <w:rPr>
          <w:color w:val="000000" w:themeColor="text1"/>
          <w:sz w:val="24"/>
          <w:szCs w:val="24"/>
        </w:rPr>
      </w:pPr>
      <w:r w:rsidRPr="005B40E1">
        <w:rPr>
          <w:color w:val="000000" w:themeColor="text1"/>
          <w:sz w:val="24"/>
          <w:szCs w:val="24"/>
        </w:rPr>
        <w:t>While it is important for the ACTP</w:t>
      </w:r>
      <w:r>
        <w:rPr>
          <w:color w:val="000000" w:themeColor="text1"/>
          <w:sz w:val="24"/>
          <w:szCs w:val="24"/>
        </w:rPr>
        <w:t>S</w:t>
      </w:r>
      <w:r w:rsidRPr="005B40E1">
        <w:rPr>
          <w:color w:val="000000" w:themeColor="text1"/>
          <w:sz w:val="24"/>
          <w:szCs w:val="24"/>
        </w:rPr>
        <w:t xml:space="preserve"> to be competitive with the APS, it is equally important to be competitive with its closest neighbour, NSW. As a result, the Tribunal was particularly interested in whether the ACTPS package would be competitive in attracting NSW Public Service executives into ACTPS SES positions. </w:t>
      </w:r>
    </w:p>
    <w:p w14:paraId="0A1B7A51" w14:textId="77777777" w:rsidR="004E01B4" w:rsidRDefault="004E01B4">
      <w:pPr>
        <w:rPr>
          <w:sz w:val="24"/>
          <w:szCs w:val="24"/>
        </w:rPr>
      </w:pPr>
      <w:r>
        <w:rPr>
          <w:sz w:val="24"/>
          <w:szCs w:val="24"/>
        </w:rPr>
        <w:br w:type="page"/>
      </w:r>
    </w:p>
    <w:p w14:paraId="5AD5BBB1" w14:textId="66A89524" w:rsidR="00CA1BF1" w:rsidRDefault="00F65E4E" w:rsidP="001868F7">
      <w:pPr>
        <w:spacing w:before="120" w:after="120"/>
        <w:rPr>
          <w:sz w:val="24"/>
          <w:szCs w:val="24"/>
        </w:rPr>
      </w:pPr>
      <w:r>
        <w:rPr>
          <w:sz w:val="24"/>
          <w:szCs w:val="24"/>
        </w:rPr>
        <w:lastRenderedPageBreak/>
        <w:t xml:space="preserve">Table </w:t>
      </w:r>
      <w:r w:rsidR="000C520F">
        <w:rPr>
          <w:sz w:val="24"/>
          <w:szCs w:val="24"/>
        </w:rPr>
        <w:t xml:space="preserve">5 </w:t>
      </w:r>
      <w:r w:rsidR="004E01B4">
        <w:rPr>
          <w:sz w:val="24"/>
          <w:szCs w:val="24"/>
        </w:rPr>
        <w:t xml:space="preserve">above </w:t>
      </w:r>
      <w:r>
        <w:rPr>
          <w:sz w:val="24"/>
          <w:szCs w:val="24"/>
        </w:rPr>
        <w:t>shows that th</w:t>
      </w:r>
      <w:r w:rsidRPr="002C3EDE">
        <w:rPr>
          <w:sz w:val="24"/>
          <w:szCs w:val="24"/>
        </w:rPr>
        <w:t>e ACTPS</w:t>
      </w:r>
      <w:r>
        <w:rPr>
          <w:sz w:val="24"/>
          <w:szCs w:val="24"/>
        </w:rPr>
        <w:t xml:space="preserve"> is not currently </w:t>
      </w:r>
      <w:r w:rsidR="001868F7">
        <w:rPr>
          <w:sz w:val="24"/>
          <w:szCs w:val="24"/>
        </w:rPr>
        <w:t xml:space="preserve">directly </w:t>
      </w:r>
      <w:r>
        <w:rPr>
          <w:sz w:val="24"/>
          <w:szCs w:val="24"/>
        </w:rPr>
        <w:t xml:space="preserve">competitive at each band </w:t>
      </w:r>
      <w:r w:rsidR="001868F7">
        <w:rPr>
          <w:sz w:val="24"/>
          <w:szCs w:val="24"/>
        </w:rPr>
        <w:t>compared</w:t>
      </w:r>
      <w:r>
        <w:rPr>
          <w:sz w:val="24"/>
          <w:szCs w:val="24"/>
        </w:rPr>
        <w:t xml:space="preserve"> to the APS and NSW. </w:t>
      </w:r>
      <w:r w:rsidR="001868F7">
        <w:rPr>
          <w:sz w:val="24"/>
          <w:szCs w:val="24"/>
        </w:rPr>
        <w:t>However</w:t>
      </w:r>
      <w:r w:rsidR="00C6638F">
        <w:rPr>
          <w:sz w:val="24"/>
          <w:szCs w:val="24"/>
        </w:rPr>
        <w:t>, it is important that</w:t>
      </w:r>
      <w:r w:rsidR="001868F7">
        <w:rPr>
          <w:sz w:val="24"/>
          <w:szCs w:val="24"/>
        </w:rPr>
        <w:t xml:space="preserve"> it is attractive, for example, for</w:t>
      </w:r>
      <w:r w:rsidR="00604A40">
        <w:rPr>
          <w:sz w:val="24"/>
          <w:szCs w:val="24"/>
        </w:rPr>
        <w:t xml:space="preserve"> </w:t>
      </w:r>
      <w:r>
        <w:rPr>
          <w:sz w:val="24"/>
          <w:szCs w:val="24"/>
        </w:rPr>
        <w:t xml:space="preserve">a band 1 executive in the APS or NSW </w:t>
      </w:r>
      <w:r w:rsidR="001868F7">
        <w:rPr>
          <w:sz w:val="24"/>
          <w:szCs w:val="24"/>
        </w:rPr>
        <w:t xml:space="preserve">to </w:t>
      </w:r>
      <w:r>
        <w:rPr>
          <w:sz w:val="24"/>
          <w:szCs w:val="24"/>
        </w:rPr>
        <w:t xml:space="preserve">consider an opportunity or promotion as a </w:t>
      </w:r>
      <w:r w:rsidR="001868F7">
        <w:rPr>
          <w:sz w:val="24"/>
          <w:szCs w:val="24"/>
        </w:rPr>
        <w:t xml:space="preserve">more senior </w:t>
      </w:r>
      <w:r>
        <w:rPr>
          <w:sz w:val="24"/>
          <w:szCs w:val="24"/>
        </w:rPr>
        <w:t xml:space="preserve">band 2 in the ACTPS. </w:t>
      </w:r>
      <w:r w:rsidR="001868F7">
        <w:rPr>
          <w:sz w:val="24"/>
          <w:szCs w:val="24"/>
        </w:rPr>
        <w:t xml:space="preserve">Similarly, a more junior or medium level band 2 in the APS or NSW may well see it as attractive to compete for a more senior band 3 position in the ACTPS. </w:t>
      </w:r>
      <w:r>
        <w:rPr>
          <w:sz w:val="24"/>
          <w:szCs w:val="24"/>
        </w:rPr>
        <w:t xml:space="preserve">In </w:t>
      </w:r>
      <w:r w:rsidR="005F3FB1">
        <w:rPr>
          <w:sz w:val="24"/>
          <w:szCs w:val="24"/>
        </w:rPr>
        <w:t xml:space="preserve">its </w:t>
      </w:r>
      <w:r>
        <w:rPr>
          <w:sz w:val="24"/>
          <w:szCs w:val="24"/>
        </w:rPr>
        <w:t xml:space="preserve">deliberations, </w:t>
      </w:r>
      <w:r w:rsidR="005F3FB1">
        <w:rPr>
          <w:sz w:val="24"/>
          <w:szCs w:val="24"/>
        </w:rPr>
        <w:t>the Tribunal</w:t>
      </w:r>
      <w:r w:rsidR="005F3FB1" w:rsidDel="005F3FB1">
        <w:rPr>
          <w:sz w:val="24"/>
          <w:szCs w:val="24"/>
        </w:rPr>
        <w:t xml:space="preserve"> </w:t>
      </w:r>
      <w:r>
        <w:rPr>
          <w:sz w:val="24"/>
          <w:szCs w:val="24"/>
        </w:rPr>
        <w:t>is conscious of maintaining and increasing, where possible, the competitiveness and attractiveness of the ACTPS in this way, comparative to the APS and NSW.</w:t>
      </w:r>
      <w:r w:rsidR="00CA1BF1">
        <w:rPr>
          <w:sz w:val="24"/>
          <w:szCs w:val="24"/>
        </w:rPr>
        <w:t xml:space="preserve"> </w:t>
      </w:r>
    </w:p>
    <w:tbl>
      <w:tblPr>
        <w:tblStyle w:val="TableGrid"/>
        <w:tblW w:w="0" w:type="auto"/>
        <w:shd w:val="clear" w:color="auto" w:fill="E5DFEC" w:themeFill="accent4" w:themeFillTint="33"/>
        <w:tblLook w:val="04A0" w:firstRow="1" w:lastRow="0" w:firstColumn="1" w:lastColumn="0" w:noHBand="0" w:noVBand="1"/>
      </w:tblPr>
      <w:tblGrid>
        <w:gridCol w:w="9016"/>
      </w:tblGrid>
      <w:tr w:rsidR="00C6638F" w:rsidRPr="007F684F" w14:paraId="31C0586D" w14:textId="77777777" w:rsidTr="00E371C4">
        <w:tc>
          <w:tcPr>
            <w:tcW w:w="9016" w:type="dxa"/>
            <w:shd w:val="clear" w:color="auto" w:fill="E5DFEC" w:themeFill="accent4" w:themeFillTint="33"/>
          </w:tcPr>
          <w:p w14:paraId="5DA583DB" w14:textId="353F8854" w:rsidR="00C6638F" w:rsidRPr="001804FA" w:rsidRDefault="00C6638F" w:rsidP="00963BBB">
            <w:pPr>
              <w:spacing w:before="120" w:after="120" w:line="276" w:lineRule="auto"/>
              <w:rPr>
                <w:sz w:val="24"/>
                <w:szCs w:val="24"/>
              </w:rPr>
            </w:pPr>
            <w:r w:rsidRPr="007570FB">
              <w:rPr>
                <w:b/>
                <w:color w:val="000000" w:themeColor="text1"/>
                <w:sz w:val="24"/>
                <w:szCs w:val="24"/>
              </w:rPr>
              <w:t xml:space="preserve">Decision </w:t>
            </w:r>
            <w:r w:rsidR="00963BBB">
              <w:rPr>
                <w:b/>
                <w:color w:val="000000" w:themeColor="text1"/>
                <w:sz w:val="24"/>
                <w:szCs w:val="24"/>
              </w:rPr>
              <w:t>9</w:t>
            </w:r>
            <w:r w:rsidRPr="007570FB">
              <w:rPr>
                <w:b/>
                <w:color w:val="000000" w:themeColor="text1"/>
                <w:sz w:val="24"/>
                <w:szCs w:val="24"/>
              </w:rPr>
              <w:t>:</w:t>
            </w:r>
            <w:r w:rsidRPr="007570FB">
              <w:rPr>
                <w:sz w:val="24"/>
                <w:szCs w:val="24"/>
              </w:rPr>
              <w:t xml:space="preserve"> </w:t>
            </w:r>
            <w:r>
              <w:rPr>
                <w:sz w:val="24"/>
                <w:szCs w:val="24"/>
              </w:rPr>
              <w:t>The Tribunal, in its annual determinations, will monitor the competitiveness of the ACTPS executive with other jurisdictions, particularly the APS and NSW.</w:t>
            </w:r>
          </w:p>
        </w:tc>
      </w:tr>
    </w:tbl>
    <w:p w14:paraId="785832DE" w14:textId="63C650C4" w:rsidR="00216AE5" w:rsidRDefault="00216AE5" w:rsidP="00216AE5">
      <w:pPr>
        <w:rPr>
          <w:sz w:val="24"/>
          <w:szCs w:val="24"/>
        </w:rPr>
      </w:pPr>
    </w:p>
    <w:p w14:paraId="6FC10F33" w14:textId="04AC2885" w:rsidR="00671427" w:rsidRDefault="00216AE5" w:rsidP="00216AE5">
      <w:pPr>
        <w:rPr>
          <w:sz w:val="24"/>
          <w:szCs w:val="24"/>
        </w:rPr>
      </w:pPr>
      <w:r>
        <w:rPr>
          <w:sz w:val="24"/>
          <w:szCs w:val="24"/>
        </w:rPr>
        <w:t>T</w:t>
      </w:r>
      <w:r w:rsidRPr="004A214D">
        <w:rPr>
          <w:sz w:val="24"/>
          <w:szCs w:val="24"/>
        </w:rPr>
        <w:t>he</w:t>
      </w:r>
      <w:r>
        <w:rPr>
          <w:sz w:val="24"/>
          <w:szCs w:val="24"/>
        </w:rPr>
        <w:t xml:space="preserve"> Tribunal notes that</w:t>
      </w:r>
      <w:r w:rsidR="00873566">
        <w:rPr>
          <w:sz w:val="24"/>
          <w:szCs w:val="24"/>
        </w:rPr>
        <w:t>,</w:t>
      </w:r>
      <w:r>
        <w:rPr>
          <w:sz w:val="24"/>
          <w:szCs w:val="24"/>
        </w:rPr>
        <w:t xml:space="preserve"> </w:t>
      </w:r>
      <w:r w:rsidR="00885251">
        <w:rPr>
          <w:sz w:val="24"/>
          <w:szCs w:val="24"/>
        </w:rPr>
        <w:t>although the information gathered</w:t>
      </w:r>
      <w:r w:rsidR="00777A92" w:rsidRPr="00C766FA">
        <w:rPr>
          <w:rStyle w:val="FootnoteReference"/>
          <w:sz w:val="24"/>
          <w:szCs w:val="24"/>
        </w:rPr>
        <w:footnoteReference w:id="20"/>
      </w:r>
      <w:r w:rsidR="00885251">
        <w:rPr>
          <w:sz w:val="24"/>
          <w:szCs w:val="24"/>
        </w:rPr>
        <w:t xml:space="preserve"> </w:t>
      </w:r>
      <w:r w:rsidR="00885251" w:rsidRPr="004A214D">
        <w:rPr>
          <w:sz w:val="24"/>
          <w:szCs w:val="24"/>
        </w:rPr>
        <w:t xml:space="preserve">by Workplace Research Associates in </w:t>
      </w:r>
      <w:r w:rsidR="00387F42" w:rsidRPr="004A214D">
        <w:rPr>
          <w:sz w:val="24"/>
          <w:szCs w:val="24"/>
        </w:rPr>
        <w:t xml:space="preserve">2017 </w:t>
      </w:r>
      <w:r w:rsidR="00387F42">
        <w:rPr>
          <w:sz w:val="24"/>
          <w:szCs w:val="24"/>
        </w:rPr>
        <w:t>was</w:t>
      </w:r>
      <w:r w:rsidR="00885251">
        <w:rPr>
          <w:sz w:val="24"/>
          <w:szCs w:val="24"/>
        </w:rPr>
        <w:t xml:space="preserve"> only a small </w:t>
      </w:r>
      <w:r w:rsidR="00885251" w:rsidRPr="005B40E1">
        <w:rPr>
          <w:color w:val="000000" w:themeColor="text1"/>
          <w:sz w:val="24"/>
          <w:szCs w:val="24"/>
        </w:rPr>
        <w:t>representation of APS agencies across the Commonwealth</w:t>
      </w:r>
      <w:r w:rsidR="00885251">
        <w:rPr>
          <w:color w:val="000000" w:themeColor="text1"/>
          <w:sz w:val="24"/>
          <w:szCs w:val="24"/>
        </w:rPr>
        <w:t>,</w:t>
      </w:r>
      <w:r w:rsidR="00885251" w:rsidRPr="004A214D">
        <w:rPr>
          <w:sz w:val="24"/>
          <w:szCs w:val="24"/>
        </w:rPr>
        <w:t xml:space="preserve"> </w:t>
      </w:r>
      <w:r>
        <w:rPr>
          <w:sz w:val="24"/>
          <w:szCs w:val="24"/>
        </w:rPr>
        <w:t xml:space="preserve">the </w:t>
      </w:r>
      <w:r w:rsidRPr="004A214D">
        <w:rPr>
          <w:sz w:val="24"/>
          <w:szCs w:val="24"/>
        </w:rPr>
        <w:t>information show</w:t>
      </w:r>
      <w:r w:rsidR="00885251">
        <w:rPr>
          <w:sz w:val="24"/>
          <w:szCs w:val="24"/>
        </w:rPr>
        <w:t>ed</w:t>
      </w:r>
      <w:r w:rsidRPr="004A214D">
        <w:rPr>
          <w:sz w:val="24"/>
          <w:szCs w:val="24"/>
        </w:rPr>
        <w:t xml:space="preserve"> a slightly different picture</w:t>
      </w:r>
      <w:r>
        <w:rPr>
          <w:sz w:val="24"/>
          <w:szCs w:val="24"/>
        </w:rPr>
        <w:t xml:space="preserve"> of APS remuneration. </w:t>
      </w:r>
    </w:p>
    <w:p w14:paraId="6AA45A65" w14:textId="5C7117CE" w:rsidR="00216AE5" w:rsidRDefault="00216AE5" w:rsidP="00216AE5">
      <w:pPr>
        <w:rPr>
          <w:color w:val="0070C0"/>
          <w:sz w:val="24"/>
          <w:szCs w:val="24"/>
        </w:rPr>
      </w:pPr>
      <w:r w:rsidRPr="005B40E1">
        <w:rPr>
          <w:color w:val="000000" w:themeColor="text1"/>
          <w:sz w:val="24"/>
          <w:szCs w:val="24"/>
        </w:rPr>
        <w:t xml:space="preserve">Table </w:t>
      </w:r>
      <w:r w:rsidR="000C520F">
        <w:rPr>
          <w:color w:val="000000" w:themeColor="text1"/>
          <w:sz w:val="24"/>
          <w:szCs w:val="24"/>
        </w:rPr>
        <w:t>6</w:t>
      </w:r>
      <w:r w:rsidR="000C520F" w:rsidRPr="005B40E1">
        <w:rPr>
          <w:color w:val="000000" w:themeColor="text1"/>
          <w:sz w:val="24"/>
          <w:szCs w:val="24"/>
        </w:rPr>
        <w:t xml:space="preserve"> </w:t>
      </w:r>
      <w:r w:rsidRPr="005B40E1">
        <w:rPr>
          <w:color w:val="000000" w:themeColor="text1"/>
          <w:sz w:val="24"/>
          <w:szCs w:val="24"/>
        </w:rPr>
        <w:t xml:space="preserve">shows </w:t>
      </w:r>
      <w:r w:rsidRPr="008C69AF">
        <w:rPr>
          <w:color w:val="000000" w:themeColor="text1"/>
          <w:sz w:val="24"/>
          <w:szCs w:val="24"/>
        </w:rPr>
        <w:t>the average base salary of the six APS departments surveyed by the Workplace Research Associates</w:t>
      </w:r>
      <w:r w:rsidRPr="005B40E1">
        <w:rPr>
          <w:color w:val="000000" w:themeColor="text1"/>
          <w:sz w:val="24"/>
          <w:szCs w:val="24"/>
        </w:rPr>
        <w:t xml:space="preserve"> and Graph </w:t>
      </w:r>
      <w:r w:rsidR="000C520F">
        <w:rPr>
          <w:color w:val="000000" w:themeColor="text1"/>
          <w:sz w:val="24"/>
          <w:szCs w:val="24"/>
        </w:rPr>
        <w:t>7</w:t>
      </w:r>
      <w:r w:rsidR="000C520F" w:rsidRPr="005B40E1">
        <w:rPr>
          <w:color w:val="000000" w:themeColor="text1"/>
          <w:sz w:val="24"/>
          <w:szCs w:val="24"/>
        </w:rPr>
        <w:t xml:space="preserve"> </w:t>
      </w:r>
      <w:r w:rsidRPr="005B40E1">
        <w:rPr>
          <w:color w:val="000000" w:themeColor="text1"/>
          <w:sz w:val="24"/>
          <w:szCs w:val="24"/>
        </w:rPr>
        <w:t>provides a visual representation of the actual SES remuneration of the six APS departments.</w:t>
      </w:r>
    </w:p>
    <w:p w14:paraId="3E2CB653" w14:textId="3B262D3D" w:rsidR="00216AE5" w:rsidRPr="00C51F3C" w:rsidRDefault="00216AE5" w:rsidP="00216AE5">
      <w:pPr>
        <w:keepNext/>
        <w:spacing w:after="120"/>
        <w:rPr>
          <w:b/>
          <w:sz w:val="24"/>
          <w:szCs w:val="24"/>
        </w:rPr>
      </w:pPr>
      <w:r w:rsidRPr="005042EA">
        <w:rPr>
          <w:b/>
          <w:sz w:val="24"/>
          <w:szCs w:val="24"/>
        </w:rPr>
        <w:t xml:space="preserve">Table </w:t>
      </w:r>
      <w:r w:rsidR="000C520F">
        <w:rPr>
          <w:b/>
          <w:sz w:val="24"/>
          <w:szCs w:val="24"/>
        </w:rPr>
        <w:t>6</w:t>
      </w:r>
      <w:r w:rsidR="000C520F" w:rsidRPr="005042EA">
        <w:rPr>
          <w:b/>
          <w:sz w:val="24"/>
          <w:szCs w:val="24"/>
        </w:rPr>
        <w:t xml:space="preserve"> </w:t>
      </w:r>
      <w:r w:rsidRPr="005042EA">
        <w:rPr>
          <w:b/>
          <w:sz w:val="24"/>
          <w:szCs w:val="24"/>
        </w:rPr>
        <w:t xml:space="preserve">– </w:t>
      </w:r>
      <w:r w:rsidRPr="005B40E1">
        <w:rPr>
          <w:b/>
          <w:color w:val="000000" w:themeColor="text1"/>
          <w:sz w:val="24"/>
          <w:szCs w:val="24"/>
        </w:rPr>
        <w:t>base salary and TRP for APS executives across the agencies surveyed by Workplace Research Associates</w:t>
      </w:r>
    </w:p>
    <w:tbl>
      <w:tblPr>
        <w:tblStyle w:val="TableGrid"/>
        <w:tblW w:w="9016" w:type="dxa"/>
        <w:jc w:val="center"/>
        <w:tblLook w:val="04A0" w:firstRow="1" w:lastRow="0" w:firstColumn="1" w:lastColumn="0" w:noHBand="0" w:noVBand="1"/>
      </w:tblPr>
      <w:tblGrid>
        <w:gridCol w:w="3006"/>
        <w:gridCol w:w="3008"/>
        <w:gridCol w:w="3002"/>
      </w:tblGrid>
      <w:tr w:rsidR="00506573" w14:paraId="067F7959" w14:textId="342B75AF" w:rsidTr="00031CA5">
        <w:trPr>
          <w:trHeight w:hRule="exact" w:val="567"/>
          <w:jc w:val="center"/>
        </w:trPr>
        <w:tc>
          <w:tcPr>
            <w:tcW w:w="3006" w:type="dxa"/>
            <w:tcBorders>
              <w:bottom w:val="single" w:sz="4" w:space="0" w:color="auto"/>
            </w:tcBorders>
            <w:shd w:val="clear" w:color="auto" w:fill="BFBFBF" w:themeFill="background1" w:themeFillShade="BF"/>
          </w:tcPr>
          <w:p w14:paraId="545B5BA1" w14:textId="57E7F09E" w:rsidR="00506573" w:rsidRPr="00031CA5" w:rsidRDefault="00031CA5" w:rsidP="00D60A79">
            <w:pPr>
              <w:keepNext/>
              <w:spacing w:before="240" w:after="120"/>
              <w:rPr>
                <w:b/>
                <w:sz w:val="24"/>
                <w:szCs w:val="24"/>
              </w:rPr>
            </w:pPr>
            <w:r w:rsidRPr="00031CA5">
              <w:rPr>
                <w:b/>
                <w:sz w:val="24"/>
                <w:szCs w:val="24"/>
              </w:rPr>
              <w:t>Band</w:t>
            </w:r>
          </w:p>
        </w:tc>
        <w:tc>
          <w:tcPr>
            <w:tcW w:w="3008" w:type="dxa"/>
            <w:shd w:val="clear" w:color="auto" w:fill="BFBFBF" w:themeFill="background1" w:themeFillShade="BF"/>
          </w:tcPr>
          <w:p w14:paraId="4FD70249" w14:textId="77777777" w:rsidR="00506573" w:rsidRPr="005B40E1" w:rsidRDefault="00506573" w:rsidP="00D60A79">
            <w:pPr>
              <w:keepNext/>
              <w:spacing w:before="240" w:after="120"/>
              <w:jc w:val="center"/>
              <w:rPr>
                <w:b/>
                <w:sz w:val="24"/>
                <w:szCs w:val="24"/>
              </w:rPr>
            </w:pPr>
            <w:r w:rsidRPr="005B40E1">
              <w:rPr>
                <w:b/>
                <w:sz w:val="24"/>
                <w:szCs w:val="24"/>
              </w:rPr>
              <w:t>Base salary</w:t>
            </w:r>
          </w:p>
        </w:tc>
        <w:tc>
          <w:tcPr>
            <w:tcW w:w="3002" w:type="dxa"/>
            <w:shd w:val="clear" w:color="auto" w:fill="BFBFBF" w:themeFill="background1" w:themeFillShade="BF"/>
          </w:tcPr>
          <w:p w14:paraId="024E7E3D" w14:textId="4B62EA94" w:rsidR="00506573" w:rsidRPr="005B40E1" w:rsidRDefault="00506573" w:rsidP="00D60A79">
            <w:pPr>
              <w:keepNext/>
              <w:spacing w:before="240" w:after="120"/>
              <w:jc w:val="center"/>
              <w:rPr>
                <w:b/>
                <w:sz w:val="24"/>
                <w:szCs w:val="24"/>
              </w:rPr>
            </w:pPr>
            <w:r>
              <w:rPr>
                <w:b/>
                <w:sz w:val="24"/>
                <w:szCs w:val="24"/>
              </w:rPr>
              <w:t>Midpoint</w:t>
            </w:r>
          </w:p>
        </w:tc>
      </w:tr>
      <w:tr w:rsidR="00506573" w14:paraId="1914A398" w14:textId="184D9E76" w:rsidTr="00031CA5">
        <w:trPr>
          <w:trHeight w:hRule="exact" w:val="567"/>
          <w:jc w:val="center"/>
        </w:trPr>
        <w:tc>
          <w:tcPr>
            <w:tcW w:w="3006" w:type="dxa"/>
            <w:shd w:val="clear" w:color="auto" w:fill="BFBFBF" w:themeFill="background1" w:themeFillShade="BF"/>
          </w:tcPr>
          <w:p w14:paraId="635F021A" w14:textId="77777777" w:rsidR="00506573" w:rsidRPr="005B40E1" w:rsidRDefault="00506573" w:rsidP="00D60A79">
            <w:pPr>
              <w:spacing w:before="240" w:after="120"/>
              <w:rPr>
                <w:b/>
                <w:sz w:val="24"/>
                <w:szCs w:val="24"/>
              </w:rPr>
            </w:pPr>
            <w:r w:rsidRPr="005B40E1">
              <w:rPr>
                <w:b/>
                <w:sz w:val="24"/>
                <w:szCs w:val="24"/>
              </w:rPr>
              <w:t>SES Band 1</w:t>
            </w:r>
          </w:p>
        </w:tc>
        <w:tc>
          <w:tcPr>
            <w:tcW w:w="3008" w:type="dxa"/>
          </w:tcPr>
          <w:p w14:paraId="4EE0972E" w14:textId="77777777" w:rsidR="00506573" w:rsidRPr="005B40E1" w:rsidRDefault="00506573" w:rsidP="00D60A79">
            <w:pPr>
              <w:spacing w:before="240" w:after="120"/>
              <w:jc w:val="center"/>
              <w:rPr>
                <w:color w:val="000000" w:themeColor="text1"/>
                <w:sz w:val="24"/>
                <w:szCs w:val="24"/>
              </w:rPr>
            </w:pPr>
            <w:r w:rsidRPr="005B40E1">
              <w:rPr>
                <w:color w:val="000000" w:themeColor="text1"/>
                <w:sz w:val="24"/>
                <w:szCs w:val="24"/>
              </w:rPr>
              <w:t>$167,003 - $218,968</w:t>
            </w:r>
          </w:p>
        </w:tc>
        <w:tc>
          <w:tcPr>
            <w:tcW w:w="3002" w:type="dxa"/>
          </w:tcPr>
          <w:p w14:paraId="74C4E677" w14:textId="138F438A" w:rsidR="00506573" w:rsidRPr="005B40E1" w:rsidRDefault="00506573" w:rsidP="00D60A79">
            <w:pPr>
              <w:spacing w:before="240" w:after="120"/>
              <w:jc w:val="center"/>
              <w:rPr>
                <w:color w:val="000000" w:themeColor="text1"/>
                <w:sz w:val="24"/>
                <w:szCs w:val="24"/>
              </w:rPr>
            </w:pPr>
            <w:r>
              <w:rPr>
                <w:color w:val="000000" w:themeColor="text1"/>
                <w:sz w:val="24"/>
                <w:szCs w:val="24"/>
              </w:rPr>
              <w:t>$192,986</w:t>
            </w:r>
          </w:p>
        </w:tc>
      </w:tr>
      <w:tr w:rsidR="00506573" w14:paraId="50B35E86" w14:textId="40CA4CA8" w:rsidTr="00031CA5">
        <w:trPr>
          <w:trHeight w:hRule="exact" w:val="567"/>
          <w:jc w:val="center"/>
        </w:trPr>
        <w:tc>
          <w:tcPr>
            <w:tcW w:w="3006" w:type="dxa"/>
            <w:shd w:val="clear" w:color="auto" w:fill="BFBFBF" w:themeFill="background1" w:themeFillShade="BF"/>
          </w:tcPr>
          <w:p w14:paraId="47D4B691" w14:textId="77777777" w:rsidR="00506573" w:rsidRPr="005B40E1" w:rsidRDefault="00506573" w:rsidP="00D60A79">
            <w:pPr>
              <w:spacing w:before="240" w:after="120"/>
              <w:rPr>
                <w:b/>
                <w:sz w:val="24"/>
                <w:szCs w:val="24"/>
              </w:rPr>
            </w:pPr>
            <w:r w:rsidRPr="005B40E1">
              <w:rPr>
                <w:b/>
                <w:sz w:val="24"/>
                <w:szCs w:val="24"/>
              </w:rPr>
              <w:t>SES Band 2</w:t>
            </w:r>
          </w:p>
        </w:tc>
        <w:tc>
          <w:tcPr>
            <w:tcW w:w="3008" w:type="dxa"/>
          </w:tcPr>
          <w:p w14:paraId="466CA2EE" w14:textId="77777777" w:rsidR="00506573" w:rsidRPr="005B40E1" w:rsidRDefault="00506573" w:rsidP="00D60A79">
            <w:pPr>
              <w:spacing w:before="240" w:after="120"/>
              <w:jc w:val="center"/>
              <w:rPr>
                <w:color w:val="000000" w:themeColor="text1"/>
                <w:sz w:val="24"/>
                <w:szCs w:val="24"/>
              </w:rPr>
            </w:pPr>
            <w:r w:rsidRPr="005B40E1">
              <w:rPr>
                <w:color w:val="000000" w:themeColor="text1"/>
                <w:sz w:val="24"/>
                <w:szCs w:val="24"/>
              </w:rPr>
              <w:t>$220,793 - $268,077</w:t>
            </w:r>
          </w:p>
        </w:tc>
        <w:tc>
          <w:tcPr>
            <w:tcW w:w="3002" w:type="dxa"/>
          </w:tcPr>
          <w:p w14:paraId="2BEB9263" w14:textId="7A1ECE09" w:rsidR="00506573" w:rsidRPr="005B40E1" w:rsidRDefault="00506573" w:rsidP="00D60A79">
            <w:pPr>
              <w:spacing w:before="240" w:after="120"/>
              <w:jc w:val="center"/>
              <w:rPr>
                <w:color w:val="000000" w:themeColor="text1"/>
                <w:sz w:val="24"/>
                <w:szCs w:val="24"/>
              </w:rPr>
            </w:pPr>
            <w:r>
              <w:rPr>
                <w:color w:val="000000" w:themeColor="text1"/>
                <w:sz w:val="24"/>
                <w:szCs w:val="24"/>
              </w:rPr>
              <w:t>$244,435</w:t>
            </w:r>
          </w:p>
        </w:tc>
      </w:tr>
      <w:tr w:rsidR="00506573" w14:paraId="6AB62BB6" w14:textId="075BB324" w:rsidTr="00031CA5">
        <w:trPr>
          <w:trHeight w:hRule="exact" w:val="567"/>
          <w:jc w:val="center"/>
        </w:trPr>
        <w:tc>
          <w:tcPr>
            <w:tcW w:w="3006" w:type="dxa"/>
            <w:shd w:val="clear" w:color="auto" w:fill="BFBFBF" w:themeFill="background1" w:themeFillShade="BF"/>
          </w:tcPr>
          <w:p w14:paraId="0C3E2143" w14:textId="77777777" w:rsidR="00506573" w:rsidRPr="005B40E1" w:rsidRDefault="00506573" w:rsidP="00D60A79">
            <w:pPr>
              <w:spacing w:before="240" w:after="120"/>
              <w:rPr>
                <w:b/>
                <w:sz w:val="24"/>
                <w:szCs w:val="24"/>
              </w:rPr>
            </w:pPr>
            <w:r w:rsidRPr="005B40E1">
              <w:rPr>
                <w:b/>
                <w:sz w:val="24"/>
                <w:szCs w:val="24"/>
              </w:rPr>
              <w:t>SES Band 3</w:t>
            </w:r>
          </w:p>
        </w:tc>
        <w:tc>
          <w:tcPr>
            <w:tcW w:w="3008" w:type="dxa"/>
          </w:tcPr>
          <w:p w14:paraId="468EAE01" w14:textId="77777777" w:rsidR="00506573" w:rsidRPr="005B40E1" w:rsidRDefault="00506573" w:rsidP="00D60A79">
            <w:pPr>
              <w:spacing w:before="240" w:after="120"/>
              <w:jc w:val="center"/>
              <w:rPr>
                <w:color w:val="000000" w:themeColor="text1"/>
                <w:sz w:val="24"/>
                <w:szCs w:val="24"/>
              </w:rPr>
            </w:pPr>
            <w:r w:rsidRPr="005B40E1">
              <w:rPr>
                <w:color w:val="000000" w:themeColor="text1"/>
                <w:sz w:val="24"/>
                <w:szCs w:val="24"/>
              </w:rPr>
              <w:t>$306,356 - $348,535</w:t>
            </w:r>
          </w:p>
        </w:tc>
        <w:tc>
          <w:tcPr>
            <w:tcW w:w="3002" w:type="dxa"/>
          </w:tcPr>
          <w:p w14:paraId="63F41104" w14:textId="0AD3255C" w:rsidR="00506573" w:rsidRPr="005B40E1" w:rsidRDefault="00506573" w:rsidP="00D60A79">
            <w:pPr>
              <w:spacing w:before="240" w:after="120"/>
              <w:jc w:val="center"/>
              <w:rPr>
                <w:color w:val="000000" w:themeColor="text1"/>
                <w:sz w:val="24"/>
                <w:szCs w:val="24"/>
              </w:rPr>
            </w:pPr>
            <w:r>
              <w:rPr>
                <w:color w:val="000000" w:themeColor="text1"/>
                <w:sz w:val="24"/>
                <w:szCs w:val="24"/>
              </w:rPr>
              <w:t>$327,446</w:t>
            </w:r>
          </w:p>
        </w:tc>
      </w:tr>
    </w:tbl>
    <w:p w14:paraId="69B7CCAA" w14:textId="77777777" w:rsidR="00216AE5" w:rsidRDefault="00216AE5" w:rsidP="00216AE5">
      <w:pPr>
        <w:rPr>
          <w:color w:val="0070C0"/>
          <w:sz w:val="24"/>
          <w:szCs w:val="24"/>
        </w:rPr>
      </w:pPr>
    </w:p>
    <w:p w14:paraId="4B339702" w14:textId="37119917" w:rsidR="00216AE5" w:rsidRDefault="00F702E5" w:rsidP="00784975">
      <w:pPr>
        <w:rPr>
          <w:b/>
          <w:sz w:val="24"/>
          <w:szCs w:val="24"/>
        </w:rPr>
      </w:pPr>
      <w:r>
        <w:rPr>
          <w:b/>
          <w:sz w:val="24"/>
          <w:szCs w:val="24"/>
        </w:rPr>
        <w:br w:type="page"/>
      </w:r>
      <w:r w:rsidR="00216AE5" w:rsidRPr="006C7A8E">
        <w:rPr>
          <w:b/>
          <w:sz w:val="24"/>
          <w:szCs w:val="24"/>
        </w:rPr>
        <w:lastRenderedPageBreak/>
        <w:t xml:space="preserve">Graph </w:t>
      </w:r>
      <w:r w:rsidR="000C520F">
        <w:rPr>
          <w:b/>
          <w:sz w:val="24"/>
          <w:szCs w:val="24"/>
        </w:rPr>
        <w:t>7</w:t>
      </w:r>
      <w:r w:rsidR="000C520F" w:rsidRPr="006C7A8E">
        <w:rPr>
          <w:b/>
          <w:sz w:val="24"/>
          <w:szCs w:val="24"/>
        </w:rPr>
        <w:t xml:space="preserve"> </w:t>
      </w:r>
      <w:r w:rsidR="00216AE5" w:rsidRPr="006C7A8E">
        <w:rPr>
          <w:b/>
          <w:sz w:val="24"/>
          <w:szCs w:val="24"/>
        </w:rPr>
        <w:t xml:space="preserve">– </w:t>
      </w:r>
      <w:r w:rsidR="00216AE5">
        <w:rPr>
          <w:b/>
          <w:sz w:val="24"/>
          <w:szCs w:val="24"/>
        </w:rPr>
        <w:t xml:space="preserve">actual SES remuneration of the six APS departments obtained by Workplace Research Associates </w:t>
      </w:r>
    </w:p>
    <w:p w14:paraId="15350E3B" w14:textId="77777777" w:rsidR="00216AE5" w:rsidRDefault="00216AE5" w:rsidP="00216AE5">
      <w:pPr>
        <w:spacing w:after="240"/>
        <w:rPr>
          <w:color w:val="0070C0"/>
          <w:sz w:val="24"/>
          <w:szCs w:val="24"/>
        </w:rPr>
      </w:pPr>
      <w:r>
        <w:rPr>
          <w:noProof/>
          <w:lang w:val="en-AU" w:eastAsia="en-AU"/>
        </w:rPr>
        <w:drawing>
          <wp:inline distT="0" distB="0" distL="0" distR="0" wp14:anchorId="29C95FB4" wp14:editId="2D693D6E">
            <wp:extent cx="5788325" cy="3821430"/>
            <wp:effectExtent l="0" t="0" r="3175" b="762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34215F6" w14:textId="77777777" w:rsidR="00216AE5" w:rsidRPr="0007648C" w:rsidRDefault="00216AE5" w:rsidP="00216AE5">
      <w:pPr>
        <w:pStyle w:val="Heading3"/>
      </w:pPr>
      <w:bookmarkStart w:id="28" w:name="_Toc2327869"/>
      <w:r w:rsidRPr="0007648C">
        <w:t xml:space="preserve">Establishing a differential between the SOGA and </w:t>
      </w:r>
      <w:r>
        <w:t>Executive Level</w:t>
      </w:r>
      <w:r w:rsidRPr="0007648C">
        <w:t xml:space="preserve"> 1.1</w:t>
      </w:r>
      <w:bookmarkEnd w:id="28"/>
    </w:p>
    <w:p w14:paraId="595161CC" w14:textId="621101FD" w:rsidR="00216AE5" w:rsidRDefault="00216AE5" w:rsidP="00216AE5">
      <w:pPr>
        <w:spacing w:before="240" w:after="120"/>
        <w:rPr>
          <w:sz w:val="24"/>
          <w:szCs w:val="24"/>
        </w:rPr>
      </w:pPr>
      <w:r>
        <w:rPr>
          <w:sz w:val="24"/>
          <w:szCs w:val="24"/>
        </w:rPr>
        <w:t>The Tribunal recognises the need to maintain an appropriate differential between the ACTPS non-executive Senior Officer Grade A</w:t>
      </w:r>
      <w:r w:rsidR="00CB5DB4">
        <w:rPr>
          <w:sz w:val="24"/>
          <w:szCs w:val="24"/>
        </w:rPr>
        <w:t xml:space="preserve"> (SOG</w:t>
      </w:r>
      <w:r w:rsidR="007F160C">
        <w:rPr>
          <w:sz w:val="24"/>
          <w:szCs w:val="24"/>
        </w:rPr>
        <w:t xml:space="preserve"> </w:t>
      </w:r>
      <w:r w:rsidR="00CB5DB4">
        <w:rPr>
          <w:sz w:val="24"/>
          <w:szCs w:val="24"/>
        </w:rPr>
        <w:t>A)</w:t>
      </w:r>
      <w:r>
        <w:rPr>
          <w:sz w:val="24"/>
          <w:szCs w:val="24"/>
        </w:rPr>
        <w:t xml:space="preserve"> and the Executive Level 1.1. This differential should be sufficient to recognise the different levels of responsibility and work value, coupled with a significantly different employment offer resulting in an executive not having tenure, flex time or compensatory leave entitlements such as recovery leave (available to SOGA and SOGB in recognition of additional working hours) and leave loading.</w:t>
      </w:r>
    </w:p>
    <w:p w14:paraId="79666640" w14:textId="612951E2" w:rsidR="003C6A72" w:rsidRDefault="003C6A72" w:rsidP="003C6A72">
      <w:pPr>
        <w:spacing w:before="240" w:after="120"/>
        <w:rPr>
          <w:sz w:val="24"/>
          <w:szCs w:val="24"/>
        </w:rPr>
      </w:pPr>
      <w:r>
        <w:rPr>
          <w:sz w:val="24"/>
          <w:szCs w:val="24"/>
        </w:rPr>
        <w:t xml:space="preserve">At 1 July 2017, the gap in remuneration between the SOG A ($137,415 per annum) and the Executive Level 1.1 ($149,390 per annum) is $11,975 per annum, which is approximately </w:t>
      </w:r>
      <w:r>
        <w:rPr>
          <w:sz w:val="24"/>
          <w:szCs w:val="24"/>
        </w:rPr>
        <w:br/>
        <w:t xml:space="preserve">8 per cent. The SOGA remuneration is approximately 92 per cent of the remuneration for an Executive Level 1.1. </w:t>
      </w:r>
    </w:p>
    <w:p w14:paraId="54C58EFD" w14:textId="66C64DF7" w:rsidR="009D3D0B" w:rsidRDefault="003C6A72" w:rsidP="003C6A72">
      <w:pPr>
        <w:spacing w:before="240" w:after="120"/>
        <w:rPr>
          <w:sz w:val="24"/>
          <w:szCs w:val="24"/>
        </w:rPr>
      </w:pPr>
      <w:r>
        <w:rPr>
          <w:sz w:val="24"/>
          <w:szCs w:val="24"/>
        </w:rPr>
        <w:t xml:space="preserve">At 1 July 2018, SOG </w:t>
      </w:r>
      <w:proofErr w:type="gramStart"/>
      <w:r>
        <w:rPr>
          <w:sz w:val="24"/>
          <w:szCs w:val="24"/>
        </w:rPr>
        <w:t>A</w:t>
      </w:r>
      <w:proofErr w:type="gramEnd"/>
      <w:r>
        <w:rPr>
          <w:sz w:val="24"/>
          <w:szCs w:val="24"/>
        </w:rPr>
        <w:t xml:space="preserve"> employees continued to receive $137,415 per annum. However</w:t>
      </w:r>
      <w:r w:rsidR="00BE0EE6">
        <w:rPr>
          <w:sz w:val="24"/>
          <w:szCs w:val="24"/>
        </w:rPr>
        <w:t>,</w:t>
      </w:r>
      <w:r>
        <w:rPr>
          <w:sz w:val="24"/>
          <w:szCs w:val="24"/>
        </w:rPr>
        <w:t xml:space="preserve"> based on the new Enterprise Agreements being approved by Fair Work Australia, at 1 July 2018, the salary for a SOG </w:t>
      </w:r>
      <w:proofErr w:type="gramStart"/>
      <w:r>
        <w:rPr>
          <w:sz w:val="24"/>
          <w:szCs w:val="24"/>
        </w:rPr>
        <w:t>A</w:t>
      </w:r>
      <w:proofErr w:type="gramEnd"/>
      <w:r>
        <w:rPr>
          <w:sz w:val="24"/>
          <w:szCs w:val="24"/>
        </w:rPr>
        <w:t xml:space="preserve"> employee would be $141,210 per annum. This is compared to</w:t>
      </w:r>
      <w:r w:rsidR="00216AE5">
        <w:rPr>
          <w:sz w:val="24"/>
          <w:szCs w:val="24"/>
        </w:rPr>
        <w:t xml:space="preserve"> the Executive Level 1.1 </w:t>
      </w:r>
      <w:r>
        <w:rPr>
          <w:sz w:val="24"/>
          <w:szCs w:val="24"/>
        </w:rPr>
        <w:t xml:space="preserve">at </w:t>
      </w:r>
      <w:r w:rsidR="00216AE5">
        <w:rPr>
          <w:sz w:val="24"/>
          <w:szCs w:val="24"/>
        </w:rPr>
        <w:t>$149,007 per annum</w:t>
      </w:r>
      <w:r>
        <w:rPr>
          <w:sz w:val="24"/>
          <w:szCs w:val="24"/>
        </w:rPr>
        <w:t>.</w:t>
      </w:r>
      <w:r w:rsidR="00216AE5">
        <w:rPr>
          <w:sz w:val="24"/>
          <w:szCs w:val="24"/>
        </w:rPr>
        <w:t xml:space="preserve"> </w:t>
      </w:r>
      <w:r w:rsidR="009D3D0B">
        <w:rPr>
          <w:sz w:val="24"/>
          <w:szCs w:val="24"/>
        </w:rPr>
        <w:t xml:space="preserve">This </w:t>
      </w:r>
      <w:r w:rsidR="00216AE5">
        <w:rPr>
          <w:sz w:val="24"/>
          <w:szCs w:val="24"/>
        </w:rPr>
        <w:t>is $</w:t>
      </w:r>
      <w:r>
        <w:rPr>
          <w:sz w:val="24"/>
          <w:szCs w:val="24"/>
        </w:rPr>
        <w:t>7,797</w:t>
      </w:r>
      <w:r w:rsidR="00216AE5">
        <w:rPr>
          <w:sz w:val="24"/>
          <w:szCs w:val="24"/>
        </w:rPr>
        <w:t xml:space="preserve"> per annum, which is approximately</w:t>
      </w:r>
      <w:r w:rsidR="00E6144D">
        <w:rPr>
          <w:sz w:val="24"/>
          <w:szCs w:val="24"/>
        </w:rPr>
        <w:t xml:space="preserve"> </w:t>
      </w:r>
      <w:r>
        <w:rPr>
          <w:sz w:val="24"/>
          <w:szCs w:val="24"/>
        </w:rPr>
        <w:t>5</w:t>
      </w:r>
      <w:r w:rsidR="00E6144D">
        <w:rPr>
          <w:sz w:val="24"/>
          <w:szCs w:val="24"/>
        </w:rPr>
        <w:t xml:space="preserve"> per cent. The SOGA remuneration is approximately 9</w:t>
      </w:r>
      <w:r>
        <w:rPr>
          <w:sz w:val="24"/>
          <w:szCs w:val="24"/>
        </w:rPr>
        <w:t>5</w:t>
      </w:r>
      <w:r w:rsidR="00E6144D">
        <w:rPr>
          <w:sz w:val="24"/>
          <w:szCs w:val="24"/>
        </w:rPr>
        <w:t xml:space="preserve"> per cent of the remuneration for an Executive Level 1.1</w:t>
      </w:r>
      <w:r w:rsidR="00216AE5">
        <w:rPr>
          <w:sz w:val="24"/>
          <w:szCs w:val="24"/>
        </w:rPr>
        <w:t xml:space="preserve">. </w:t>
      </w:r>
      <w:r w:rsidR="009D3D0B">
        <w:rPr>
          <w:sz w:val="24"/>
          <w:szCs w:val="24"/>
        </w:rPr>
        <w:t xml:space="preserve">At 1 July 2018, this gap has narrowed as a result of increases to the SOG </w:t>
      </w:r>
      <w:proofErr w:type="gramStart"/>
      <w:r w:rsidR="009D3D0B">
        <w:rPr>
          <w:sz w:val="24"/>
          <w:szCs w:val="24"/>
        </w:rPr>
        <w:t>A</w:t>
      </w:r>
      <w:proofErr w:type="gramEnd"/>
      <w:r w:rsidR="009D3D0B">
        <w:rPr>
          <w:sz w:val="24"/>
          <w:szCs w:val="24"/>
        </w:rPr>
        <w:t xml:space="preserve"> </w:t>
      </w:r>
      <w:r w:rsidR="00484B54">
        <w:rPr>
          <w:sz w:val="24"/>
          <w:szCs w:val="24"/>
        </w:rPr>
        <w:t xml:space="preserve">remuneration </w:t>
      </w:r>
      <w:r w:rsidR="009D3D0B">
        <w:rPr>
          <w:sz w:val="24"/>
          <w:szCs w:val="24"/>
        </w:rPr>
        <w:t xml:space="preserve">and the revised executive classification structure. </w:t>
      </w:r>
    </w:p>
    <w:p w14:paraId="2221AA60" w14:textId="29532684" w:rsidR="00216AE5" w:rsidRDefault="009D3D0B" w:rsidP="003C6A72">
      <w:pPr>
        <w:spacing w:before="240" w:after="120"/>
        <w:rPr>
          <w:sz w:val="24"/>
          <w:szCs w:val="24"/>
        </w:rPr>
      </w:pPr>
      <w:r>
        <w:rPr>
          <w:sz w:val="24"/>
          <w:szCs w:val="24"/>
        </w:rPr>
        <w:lastRenderedPageBreak/>
        <w:t xml:space="preserve">Having considered this development, the Tribunal considers that a gap of 5 per cent is </w:t>
      </w:r>
      <w:r w:rsidR="008C2656">
        <w:rPr>
          <w:sz w:val="24"/>
          <w:szCs w:val="24"/>
        </w:rPr>
        <w:t>in</w:t>
      </w:r>
      <w:r>
        <w:rPr>
          <w:sz w:val="24"/>
          <w:szCs w:val="24"/>
        </w:rPr>
        <w:t xml:space="preserve">sufficient </w:t>
      </w:r>
      <w:r w:rsidR="008C2656">
        <w:rPr>
          <w:sz w:val="24"/>
          <w:szCs w:val="24"/>
        </w:rPr>
        <w:t xml:space="preserve">to reflect the </w:t>
      </w:r>
      <w:r w:rsidR="00D13FD4">
        <w:rPr>
          <w:sz w:val="24"/>
          <w:szCs w:val="24"/>
        </w:rPr>
        <w:t xml:space="preserve">higher </w:t>
      </w:r>
      <w:r w:rsidR="008C2656">
        <w:rPr>
          <w:sz w:val="24"/>
          <w:szCs w:val="24"/>
        </w:rPr>
        <w:t xml:space="preserve">work value of the </w:t>
      </w:r>
      <w:r w:rsidR="00777A92">
        <w:rPr>
          <w:sz w:val="24"/>
          <w:szCs w:val="24"/>
        </w:rPr>
        <w:t>e</w:t>
      </w:r>
      <w:r w:rsidR="008C2656">
        <w:rPr>
          <w:sz w:val="24"/>
          <w:szCs w:val="24"/>
        </w:rPr>
        <w:t xml:space="preserve">xecutive role and considers a gap of at least 7-8 </w:t>
      </w:r>
      <w:r>
        <w:rPr>
          <w:sz w:val="24"/>
          <w:szCs w:val="24"/>
        </w:rPr>
        <w:t>per cent</w:t>
      </w:r>
      <w:r w:rsidR="008C2656">
        <w:rPr>
          <w:sz w:val="24"/>
          <w:szCs w:val="24"/>
        </w:rPr>
        <w:t xml:space="preserve"> to be more appropriate.</w:t>
      </w:r>
    </w:p>
    <w:p w14:paraId="0091E17F" w14:textId="6AEAAE0E" w:rsidR="00216AE5" w:rsidRDefault="00216AE5" w:rsidP="00216AE5">
      <w:pPr>
        <w:spacing w:before="240" w:after="120"/>
        <w:rPr>
          <w:sz w:val="24"/>
          <w:szCs w:val="24"/>
        </w:rPr>
      </w:pPr>
      <w:r>
        <w:rPr>
          <w:sz w:val="24"/>
          <w:szCs w:val="24"/>
        </w:rPr>
        <w:t>The Tribunal notes that although SOGA employees are not entitled to a vehicle, payment in lieu of a vehicle</w:t>
      </w:r>
      <w:r w:rsidR="00D13FD4">
        <w:rPr>
          <w:sz w:val="24"/>
          <w:szCs w:val="24"/>
        </w:rPr>
        <w:t>,</w:t>
      </w:r>
      <w:r>
        <w:rPr>
          <w:sz w:val="24"/>
          <w:szCs w:val="24"/>
        </w:rPr>
        <w:t xml:space="preserve"> or parking (or payment in lieu </w:t>
      </w:r>
      <w:r w:rsidR="001A2966">
        <w:rPr>
          <w:sz w:val="24"/>
          <w:szCs w:val="24"/>
        </w:rPr>
        <w:t xml:space="preserve">of </w:t>
      </w:r>
      <w:r>
        <w:rPr>
          <w:sz w:val="24"/>
          <w:szCs w:val="24"/>
        </w:rPr>
        <w:t>p</w:t>
      </w:r>
      <w:r w:rsidRPr="008A795D">
        <w:rPr>
          <w:sz w:val="24"/>
          <w:szCs w:val="24"/>
        </w:rPr>
        <w:t>arking</w:t>
      </w:r>
      <w:r>
        <w:rPr>
          <w:sz w:val="24"/>
          <w:szCs w:val="24"/>
        </w:rPr>
        <w:t>), they do have access to other benefits that are not available to executives. ACTPS non-executive employees, including SOGA, are entitled to an annual leave loading of 17.5</w:t>
      </w:r>
      <w:r w:rsidR="004F6A10">
        <w:rPr>
          <w:sz w:val="24"/>
          <w:szCs w:val="24"/>
        </w:rPr>
        <w:t xml:space="preserve"> per cent</w:t>
      </w:r>
      <w:r>
        <w:rPr>
          <w:sz w:val="24"/>
          <w:szCs w:val="24"/>
        </w:rPr>
        <w:t>. Consistent with most jurisdictions, ACTPS does not provide leave loading to its executives</w:t>
      </w:r>
      <w:r w:rsidR="006548AC">
        <w:rPr>
          <w:sz w:val="24"/>
          <w:szCs w:val="24"/>
        </w:rPr>
        <w:t xml:space="preserve">. </w:t>
      </w:r>
      <w:r>
        <w:rPr>
          <w:sz w:val="24"/>
          <w:szCs w:val="24"/>
        </w:rPr>
        <w:t xml:space="preserve">SOGA employees are also eligible for </w:t>
      </w:r>
      <w:r w:rsidRPr="00EE574D">
        <w:rPr>
          <w:sz w:val="24"/>
          <w:szCs w:val="24"/>
        </w:rPr>
        <w:t>five days non-cumulative recovery leave on 1 April each year</w:t>
      </w:r>
      <w:r>
        <w:rPr>
          <w:sz w:val="24"/>
          <w:szCs w:val="24"/>
        </w:rPr>
        <w:t xml:space="preserve">. Recovery leave </w:t>
      </w:r>
      <w:r w:rsidRPr="009E479D">
        <w:rPr>
          <w:sz w:val="24"/>
          <w:szCs w:val="24"/>
        </w:rPr>
        <w:t>recognis</w:t>
      </w:r>
      <w:r>
        <w:rPr>
          <w:sz w:val="24"/>
          <w:szCs w:val="24"/>
        </w:rPr>
        <w:t xml:space="preserve">es </w:t>
      </w:r>
      <w:r w:rsidRPr="009E479D">
        <w:rPr>
          <w:sz w:val="24"/>
          <w:szCs w:val="24"/>
        </w:rPr>
        <w:t>extensive hours performed</w:t>
      </w:r>
      <w:r>
        <w:rPr>
          <w:sz w:val="24"/>
          <w:szCs w:val="24"/>
        </w:rPr>
        <w:t xml:space="preserve"> </w:t>
      </w:r>
      <w:r w:rsidRPr="009E479D">
        <w:rPr>
          <w:sz w:val="24"/>
          <w:szCs w:val="24"/>
        </w:rPr>
        <w:t>over a significant period because of the nature of their duties and responsibilities</w:t>
      </w:r>
      <w:r>
        <w:rPr>
          <w:sz w:val="24"/>
          <w:szCs w:val="24"/>
        </w:rPr>
        <w:t xml:space="preserve">. </w:t>
      </w:r>
    </w:p>
    <w:tbl>
      <w:tblPr>
        <w:tblStyle w:val="TableGrid"/>
        <w:tblW w:w="0" w:type="auto"/>
        <w:shd w:val="clear" w:color="auto" w:fill="E5DFEC" w:themeFill="accent4" w:themeFillTint="33"/>
        <w:tblLook w:val="04A0" w:firstRow="1" w:lastRow="0" w:firstColumn="1" w:lastColumn="0" w:noHBand="0" w:noVBand="1"/>
      </w:tblPr>
      <w:tblGrid>
        <w:gridCol w:w="9016"/>
      </w:tblGrid>
      <w:tr w:rsidR="00216AE5" w:rsidRPr="007F684F" w14:paraId="669909B5" w14:textId="77777777" w:rsidTr="00D60A79">
        <w:tc>
          <w:tcPr>
            <w:tcW w:w="9016" w:type="dxa"/>
            <w:shd w:val="clear" w:color="auto" w:fill="E5DFEC" w:themeFill="accent4" w:themeFillTint="33"/>
          </w:tcPr>
          <w:p w14:paraId="2FC65434" w14:textId="4AA745C9" w:rsidR="00216AE5" w:rsidRPr="001804FA" w:rsidRDefault="00216AE5" w:rsidP="003E3D3C">
            <w:pPr>
              <w:spacing w:before="120" w:after="120" w:line="276" w:lineRule="auto"/>
              <w:rPr>
                <w:sz w:val="24"/>
                <w:szCs w:val="24"/>
              </w:rPr>
            </w:pPr>
            <w:r w:rsidRPr="007570FB">
              <w:rPr>
                <w:b/>
                <w:color w:val="000000" w:themeColor="text1"/>
                <w:sz w:val="24"/>
                <w:szCs w:val="24"/>
              </w:rPr>
              <w:t xml:space="preserve">Decision </w:t>
            </w:r>
            <w:r w:rsidR="00963BBB">
              <w:rPr>
                <w:b/>
                <w:color w:val="000000" w:themeColor="text1"/>
                <w:sz w:val="24"/>
                <w:szCs w:val="24"/>
              </w:rPr>
              <w:t>10</w:t>
            </w:r>
            <w:r w:rsidRPr="007570FB">
              <w:rPr>
                <w:b/>
                <w:color w:val="000000" w:themeColor="text1"/>
                <w:sz w:val="24"/>
                <w:szCs w:val="24"/>
              </w:rPr>
              <w:t>:</w:t>
            </w:r>
            <w:r w:rsidRPr="007570FB">
              <w:rPr>
                <w:sz w:val="24"/>
                <w:szCs w:val="24"/>
              </w:rPr>
              <w:t xml:space="preserve"> </w:t>
            </w:r>
            <w:r>
              <w:rPr>
                <w:sz w:val="24"/>
                <w:szCs w:val="24"/>
              </w:rPr>
              <w:t xml:space="preserve">The Tribunal </w:t>
            </w:r>
            <w:r w:rsidRPr="00100B0E">
              <w:rPr>
                <w:sz w:val="24"/>
                <w:szCs w:val="24"/>
              </w:rPr>
              <w:t xml:space="preserve">will </w:t>
            </w:r>
            <w:r w:rsidR="00506573">
              <w:rPr>
                <w:sz w:val="24"/>
                <w:szCs w:val="24"/>
              </w:rPr>
              <w:t xml:space="preserve">continue to </w:t>
            </w:r>
            <w:r w:rsidRPr="00100B0E">
              <w:rPr>
                <w:sz w:val="24"/>
                <w:szCs w:val="24"/>
              </w:rPr>
              <w:t>monitor the SOGA salary</w:t>
            </w:r>
            <w:r w:rsidR="00506573">
              <w:rPr>
                <w:sz w:val="24"/>
                <w:szCs w:val="24"/>
              </w:rPr>
              <w:t xml:space="preserve"> on a regular basis</w:t>
            </w:r>
            <w:r w:rsidRPr="00100B0E">
              <w:rPr>
                <w:sz w:val="24"/>
                <w:szCs w:val="24"/>
              </w:rPr>
              <w:t xml:space="preserve"> </w:t>
            </w:r>
            <w:r w:rsidR="003E3D3C">
              <w:rPr>
                <w:sz w:val="24"/>
                <w:szCs w:val="24"/>
              </w:rPr>
              <w:t>in order</w:t>
            </w:r>
            <w:r w:rsidR="00863F82">
              <w:rPr>
                <w:sz w:val="24"/>
                <w:szCs w:val="24"/>
              </w:rPr>
              <w:t xml:space="preserve"> to </w:t>
            </w:r>
            <w:r>
              <w:rPr>
                <w:sz w:val="24"/>
                <w:szCs w:val="24"/>
              </w:rPr>
              <w:t>maintain an appropriate differential</w:t>
            </w:r>
            <w:r w:rsidR="00F921C8">
              <w:rPr>
                <w:sz w:val="24"/>
                <w:szCs w:val="24"/>
              </w:rPr>
              <w:t xml:space="preserve"> and relativity</w:t>
            </w:r>
            <w:r>
              <w:rPr>
                <w:sz w:val="24"/>
                <w:szCs w:val="24"/>
              </w:rPr>
              <w:t xml:space="preserve">, </w:t>
            </w:r>
            <w:r w:rsidR="001868F7">
              <w:rPr>
                <w:sz w:val="24"/>
                <w:szCs w:val="24"/>
              </w:rPr>
              <w:t>between it and the base of the ACTPS executive salary</w:t>
            </w:r>
            <w:r>
              <w:rPr>
                <w:sz w:val="24"/>
                <w:szCs w:val="24"/>
              </w:rPr>
              <w:t>.</w:t>
            </w:r>
            <w:r w:rsidRPr="00100B0E">
              <w:rPr>
                <w:sz w:val="24"/>
                <w:szCs w:val="24"/>
              </w:rPr>
              <w:t xml:space="preserve"> </w:t>
            </w:r>
          </w:p>
        </w:tc>
      </w:tr>
    </w:tbl>
    <w:p w14:paraId="11278BF5" w14:textId="1EEB8021" w:rsidR="006548AC" w:rsidRDefault="006548AC" w:rsidP="006548AC"/>
    <w:p w14:paraId="67C9CAEF" w14:textId="77777777" w:rsidR="00216AE5" w:rsidRDefault="00216AE5" w:rsidP="00216AE5">
      <w:pPr>
        <w:pStyle w:val="Heading3"/>
      </w:pPr>
      <w:bookmarkStart w:id="29" w:name="_Toc2327870"/>
      <w:r>
        <w:t xml:space="preserve">Additional salary in unusual </w:t>
      </w:r>
      <w:r w:rsidRPr="00FA5127">
        <w:t>or special circumstances</w:t>
      </w:r>
      <w:bookmarkEnd w:id="29"/>
    </w:p>
    <w:p w14:paraId="437B126F" w14:textId="0E2D0045" w:rsidR="00216AE5" w:rsidRDefault="00216AE5" w:rsidP="00216AE5">
      <w:pPr>
        <w:spacing w:after="120"/>
        <w:rPr>
          <w:sz w:val="24"/>
          <w:szCs w:val="24"/>
        </w:rPr>
      </w:pPr>
      <w:r>
        <w:rPr>
          <w:sz w:val="24"/>
          <w:szCs w:val="24"/>
        </w:rPr>
        <w:t>The PSM Standards provide a mechanism for the Head of Service to approve additional salary up to 10 per cent higher than the base salary to attract executives to the ACTPS and also as a retention strategy. When applied, this additional salary is included as base salary for the purpose of calculating superannuation contributions.</w:t>
      </w:r>
    </w:p>
    <w:p w14:paraId="637EFD78" w14:textId="097EBF67" w:rsidR="00216AE5" w:rsidRDefault="00216AE5" w:rsidP="00216AE5">
      <w:pPr>
        <w:spacing w:after="120"/>
        <w:rPr>
          <w:sz w:val="24"/>
          <w:szCs w:val="24"/>
        </w:rPr>
      </w:pPr>
      <w:r>
        <w:rPr>
          <w:sz w:val="24"/>
          <w:szCs w:val="24"/>
        </w:rPr>
        <w:t>The PSM Standards provide a list of requirements that must be met in order for an additional salary to be approved. These are:</w:t>
      </w:r>
    </w:p>
    <w:p w14:paraId="19CED9EF" w14:textId="66024FE7" w:rsidR="00216AE5" w:rsidRDefault="00216AE5" w:rsidP="00216AE5">
      <w:pPr>
        <w:pStyle w:val="ListParagraph"/>
        <w:numPr>
          <w:ilvl w:val="0"/>
          <w:numId w:val="8"/>
        </w:numPr>
        <w:spacing w:after="120"/>
        <w:rPr>
          <w:sz w:val="24"/>
          <w:szCs w:val="24"/>
        </w:rPr>
      </w:pPr>
      <w:r w:rsidRPr="009E5288">
        <w:rPr>
          <w:sz w:val="24"/>
          <w:szCs w:val="24"/>
        </w:rPr>
        <w:t>that an executive position evaluation identifies that the base salary for a particular role is less than the salary applicable to similar roles outside the service</w:t>
      </w:r>
      <w:r>
        <w:rPr>
          <w:sz w:val="24"/>
          <w:szCs w:val="24"/>
        </w:rPr>
        <w:t>; and</w:t>
      </w:r>
      <w:r w:rsidRPr="009E5288">
        <w:rPr>
          <w:sz w:val="24"/>
          <w:szCs w:val="24"/>
        </w:rPr>
        <w:t xml:space="preserve"> </w:t>
      </w:r>
    </w:p>
    <w:p w14:paraId="2F8B6A89" w14:textId="77777777" w:rsidR="00216AE5" w:rsidRDefault="00216AE5" w:rsidP="00216AE5">
      <w:pPr>
        <w:pStyle w:val="ListParagraph"/>
        <w:numPr>
          <w:ilvl w:val="0"/>
          <w:numId w:val="8"/>
        </w:numPr>
        <w:spacing w:after="120"/>
        <w:rPr>
          <w:sz w:val="24"/>
          <w:szCs w:val="24"/>
        </w:rPr>
      </w:pPr>
      <w:r w:rsidRPr="009E5288">
        <w:rPr>
          <w:sz w:val="24"/>
          <w:szCs w:val="24"/>
        </w:rPr>
        <w:t>that a previous selection process did not identify a suitable candidate</w:t>
      </w:r>
      <w:r>
        <w:rPr>
          <w:sz w:val="24"/>
          <w:szCs w:val="24"/>
        </w:rPr>
        <w:t>; and</w:t>
      </w:r>
      <w:r w:rsidRPr="009E5288">
        <w:rPr>
          <w:sz w:val="24"/>
          <w:szCs w:val="24"/>
        </w:rPr>
        <w:t xml:space="preserve"> </w:t>
      </w:r>
    </w:p>
    <w:p w14:paraId="1282D2E7" w14:textId="77777777" w:rsidR="00216AE5" w:rsidRDefault="00216AE5" w:rsidP="00216AE5">
      <w:pPr>
        <w:pStyle w:val="ListParagraph"/>
        <w:numPr>
          <w:ilvl w:val="0"/>
          <w:numId w:val="8"/>
        </w:numPr>
        <w:spacing w:after="120"/>
        <w:rPr>
          <w:sz w:val="24"/>
          <w:szCs w:val="24"/>
        </w:rPr>
      </w:pPr>
      <w:r w:rsidRPr="009E5288">
        <w:rPr>
          <w:sz w:val="24"/>
          <w:szCs w:val="24"/>
        </w:rPr>
        <w:t>that the proposed candidate possesses a qualification, skill or expertise that is uncommon and warrants a higher salary</w:t>
      </w:r>
      <w:r>
        <w:rPr>
          <w:sz w:val="24"/>
          <w:szCs w:val="24"/>
        </w:rPr>
        <w:t>; and/or</w:t>
      </w:r>
      <w:r w:rsidRPr="009E5288">
        <w:rPr>
          <w:sz w:val="24"/>
          <w:szCs w:val="24"/>
        </w:rPr>
        <w:t xml:space="preserve"> </w:t>
      </w:r>
    </w:p>
    <w:p w14:paraId="3FE1A62F" w14:textId="77777777" w:rsidR="00216AE5" w:rsidRPr="009E5288" w:rsidRDefault="00216AE5" w:rsidP="00216AE5">
      <w:pPr>
        <w:pStyle w:val="ListParagraph"/>
        <w:numPr>
          <w:ilvl w:val="0"/>
          <w:numId w:val="8"/>
        </w:numPr>
        <w:spacing w:after="120"/>
        <w:rPr>
          <w:sz w:val="24"/>
          <w:szCs w:val="24"/>
        </w:rPr>
      </w:pPr>
      <w:proofErr w:type="gramStart"/>
      <w:r w:rsidRPr="009E5288">
        <w:rPr>
          <w:sz w:val="24"/>
          <w:szCs w:val="24"/>
        </w:rPr>
        <w:t>that</w:t>
      </w:r>
      <w:proofErr w:type="gramEnd"/>
      <w:r w:rsidRPr="009E5288">
        <w:rPr>
          <w:sz w:val="24"/>
          <w:szCs w:val="24"/>
        </w:rPr>
        <w:t xml:space="preserve"> the person’s salary outside the service is above the relevant base salary.</w:t>
      </w:r>
    </w:p>
    <w:p w14:paraId="4EB130BD" w14:textId="77777777" w:rsidR="00216AE5" w:rsidRDefault="00216AE5" w:rsidP="00216AE5">
      <w:pPr>
        <w:spacing w:after="120"/>
        <w:rPr>
          <w:sz w:val="24"/>
          <w:szCs w:val="24"/>
        </w:rPr>
      </w:pPr>
      <w:r>
        <w:rPr>
          <w:sz w:val="24"/>
          <w:szCs w:val="24"/>
        </w:rPr>
        <w:t xml:space="preserve">The current rate of usage of this provision is </w:t>
      </w:r>
      <w:r w:rsidRPr="005B40E1">
        <w:rPr>
          <w:sz w:val="24"/>
          <w:szCs w:val="24"/>
        </w:rPr>
        <w:t>less than 1</w:t>
      </w:r>
      <w:r>
        <w:rPr>
          <w:sz w:val="24"/>
          <w:szCs w:val="24"/>
        </w:rPr>
        <w:t xml:space="preserve"> per cent of the ACTPS executive workforce.</w:t>
      </w:r>
    </w:p>
    <w:p w14:paraId="7EA7B06D" w14:textId="710B6922" w:rsidR="00216AE5" w:rsidRDefault="00F802D6" w:rsidP="00216AE5">
      <w:pPr>
        <w:spacing w:after="120"/>
        <w:rPr>
          <w:color w:val="000000" w:themeColor="text1"/>
          <w:sz w:val="24"/>
          <w:szCs w:val="24"/>
        </w:rPr>
      </w:pPr>
      <w:r>
        <w:rPr>
          <w:color w:val="000000" w:themeColor="text1"/>
          <w:sz w:val="24"/>
          <w:szCs w:val="24"/>
        </w:rPr>
        <w:t xml:space="preserve">The Tribunal notes that </w:t>
      </w:r>
      <w:r w:rsidR="0040752F">
        <w:rPr>
          <w:color w:val="000000" w:themeColor="text1"/>
          <w:sz w:val="24"/>
          <w:szCs w:val="24"/>
        </w:rPr>
        <w:t xml:space="preserve">it </w:t>
      </w:r>
      <w:r w:rsidR="0040752F" w:rsidRPr="00DA396F">
        <w:rPr>
          <w:color w:val="000000" w:themeColor="text1"/>
          <w:sz w:val="24"/>
          <w:szCs w:val="24"/>
        </w:rPr>
        <w:t>is</w:t>
      </w:r>
      <w:r w:rsidR="00216AE5" w:rsidRPr="00DA396F">
        <w:rPr>
          <w:color w:val="000000" w:themeColor="text1"/>
          <w:sz w:val="24"/>
          <w:szCs w:val="24"/>
        </w:rPr>
        <w:t xml:space="preserve"> only used </w:t>
      </w:r>
      <w:r w:rsidR="00216AE5">
        <w:rPr>
          <w:color w:val="000000" w:themeColor="text1"/>
          <w:sz w:val="24"/>
          <w:szCs w:val="24"/>
        </w:rPr>
        <w:t>i</w:t>
      </w:r>
      <w:r w:rsidR="00216AE5" w:rsidRPr="00DA396F">
        <w:rPr>
          <w:color w:val="000000" w:themeColor="text1"/>
          <w:sz w:val="24"/>
          <w:szCs w:val="24"/>
        </w:rPr>
        <w:t xml:space="preserve">n exceptional circumstances. The Tribunal </w:t>
      </w:r>
      <w:r w:rsidR="00AA7509">
        <w:rPr>
          <w:color w:val="000000" w:themeColor="text1"/>
          <w:sz w:val="24"/>
          <w:szCs w:val="24"/>
        </w:rPr>
        <w:t>would be</w:t>
      </w:r>
      <w:r w:rsidR="00AA7509" w:rsidRPr="00DA396F">
        <w:rPr>
          <w:color w:val="000000" w:themeColor="text1"/>
          <w:sz w:val="24"/>
          <w:szCs w:val="24"/>
        </w:rPr>
        <w:t xml:space="preserve"> </w:t>
      </w:r>
      <w:r w:rsidR="00216AE5" w:rsidRPr="00DA396F">
        <w:rPr>
          <w:color w:val="000000" w:themeColor="text1"/>
          <w:sz w:val="24"/>
          <w:szCs w:val="24"/>
        </w:rPr>
        <w:t xml:space="preserve">concerned if this provision </w:t>
      </w:r>
      <w:r w:rsidR="001868F7">
        <w:rPr>
          <w:color w:val="000000" w:themeColor="text1"/>
          <w:sz w:val="24"/>
          <w:szCs w:val="24"/>
        </w:rPr>
        <w:t>were to be</w:t>
      </w:r>
      <w:r w:rsidR="001868F7" w:rsidRPr="00DA396F">
        <w:rPr>
          <w:color w:val="000000" w:themeColor="text1"/>
          <w:sz w:val="24"/>
          <w:szCs w:val="24"/>
        </w:rPr>
        <w:t xml:space="preserve"> </w:t>
      </w:r>
      <w:r w:rsidR="00216AE5" w:rsidRPr="00DA396F">
        <w:rPr>
          <w:color w:val="000000" w:themeColor="text1"/>
          <w:sz w:val="24"/>
          <w:szCs w:val="24"/>
        </w:rPr>
        <w:t>overused</w:t>
      </w:r>
      <w:r w:rsidR="001868F7">
        <w:rPr>
          <w:color w:val="000000" w:themeColor="text1"/>
          <w:sz w:val="24"/>
          <w:szCs w:val="24"/>
        </w:rPr>
        <w:t>,</w:t>
      </w:r>
      <w:r w:rsidR="00216AE5" w:rsidRPr="00DA396F">
        <w:rPr>
          <w:color w:val="000000" w:themeColor="text1"/>
          <w:sz w:val="24"/>
          <w:szCs w:val="24"/>
        </w:rPr>
        <w:t xml:space="preserve"> </w:t>
      </w:r>
      <w:r w:rsidR="00AA7509">
        <w:rPr>
          <w:color w:val="000000" w:themeColor="text1"/>
          <w:sz w:val="24"/>
          <w:szCs w:val="24"/>
        </w:rPr>
        <w:t xml:space="preserve">as </w:t>
      </w:r>
      <w:r w:rsidR="001868F7">
        <w:rPr>
          <w:color w:val="000000" w:themeColor="text1"/>
          <w:sz w:val="24"/>
          <w:szCs w:val="24"/>
        </w:rPr>
        <w:t>it could</w:t>
      </w:r>
      <w:r w:rsidRPr="00DA396F">
        <w:rPr>
          <w:color w:val="000000" w:themeColor="text1"/>
          <w:sz w:val="24"/>
          <w:szCs w:val="24"/>
        </w:rPr>
        <w:t xml:space="preserve"> </w:t>
      </w:r>
      <w:r w:rsidR="00216AE5" w:rsidRPr="00DA396F">
        <w:rPr>
          <w:color w:val="000000" w:themeColor="text1"/>
          <w:sz w:val="24"/>
          <w:szCs w:val="24"/>
        </w:rPr>
        <w:t>undermine the executive remuneration system and the Tribunal’s legislative responsibilities.</w:t>
      </w:r>
      <w:r w:rsidR="00216AE5">
        <w:rPr>
          <w:color w:val="000000" w:themeColor="text1"/>
          <w:sz w:val="24"/>
          <w:szCs w:val="24"/>
        </w:rPr>
        <w:t xml:space="preserve"> </w:t>
      </w:r>
    </w:p>
    <w:p w14:paraId="022849C6" w14:textId="3B67C49B" w:rsidR="00216AE5" w:rsidRDefault="00216AE5" w:rsidP="00216AE5">
      <w:pPr>
        <w:spacing w:after="120"/>
        <w:rPr>
          <w:color w:val="000000" w:themeColor="text1"/>
          <w:sz w:val="24"/>
          <w:szCs w:val="24"/>
        </w:rPr>
      </w:pPr>
      <w:r>
        <w:rPr>
          <w:color w:val="000000" w:themeColor="text1"/>
          <w:sz w:val="24"/>
          <w:szCs w:val="24"/>
        </w:rPr>
        <w:t xml:space="preserve">The executives </w:t>
      </w:r>
      <w:r w:rsidR="003E3D3C">
        <w:rPr>
          <w:color w:val="000000" w:themeColor="text1"/>
          <w:sz w:val="24"/>
          <w:szCs w:val="24"/>
        </w:rPr>
        <w:t xml:space="preserve">who </w:t>
      </w:r>
      <w:r>
        <w:rPr>
          <w:color w:val="000000" w:themeColor="text1"/>
          <w:sz w:val="24"/>
          <w:szCs w:val="24"/>
        </w:rPr>
        <w:t xml:space="preserve">receive the additional salary </w:t>
      </w:r>
      <w:r w:rsidR="001868F7">
        <w:rPr>
          <w:color w:val="000000" w:themeColor="text1"/>
          <w:sz w:val="24"/>
          <w:szCs w:val="24"/>
        </w:rPr>
        <w:t>are detailed</w:t>
      </w:r>
      <w:r>
        <w:rPr>
          <w:color w:val="000000" w:themeColor="text1"/>
          <w:sz w:val="24"/>
          <w:szCs w:val="24"/>
        </w:rPr>
        <w:t xml:space="preserve"> in the schedule tabled in the Legislative Assembly. </w:t>
      </w:r>
    </w:p>
    <w:tbl>
      <w:tblPr>
        <w:tblStyle w:val="TableGrid"/>
        <w:tblW w:w="0" w:type="auto"/>
        <w:shd w:val="clear" w:color="auto" w:fill="E5DFEC" w:themeFill="accent4" w:themeFillTint="33"/>
        <w:tblLook w:val="04A0" w:firstRow="1" w:lastRow="0" w:firstColumn="1" w:lastColumn="0" w:noHBand="0" w:noVBand="1"/>
      </w:tblPr>
      <w:tblGrid>
        <w:gridCol w:w="9016"/>
      </w:tblGrid>
      <w:tr w:rsidR="00F802D6" w:rsidRPr="007F684F" w14:paraId="2EEBDD90" w14:textId="77777777" w:rsidTr="00D60A79">
        <w:tc>
          <w:tcPr>
            <w:tcW w:w="9016" w:type="dxa"/>
            <w:shd w:val="clear" w:color="auto" w:fill="E5DFEC" w:themeFill="accent4" w:themeFillTint="33"/>
          </w:tcPr>
          <w:p w14:paraId="4A9AC7B2" w14:textId="30175E22" w:rsidR="00F802D6" w:rsidRPr="001804FA" w:rsidRDefault="00F802D6" w:rsidP="00963BBB">
            <w:pPr>
              <w:spacing w:before="120" w:after="120" w:line="276" w:lineRule="auto"/>
              <w:rPr>
                <w:sz w:val="24"/>
                <w:szCs w:val="24"/>
              </w:rPr>
            </w:pPr>
            <w:r w:rsidRPr="007570FB">
              <w:rPr>
                <w:b/>
                <w:color w:val="000000" w:themeColor="text1"/>
                <w:sz w:val="24"/>
                <w:szCs w:val="24"/>
              </w:rPr>
              <w:lastRenderedPageBreak/>
              <w:t xml:space="preserve">Decision </w:t>
            </w:r>
            <w:r w:rsidR="00963BBB">
              <w:rPr>
                <w:b/>
                <w:color w:val="000000" w:themeColor="text1"/>
                <w:sz w:val="24"/>
                <w:szCs w:val="24"/>
              </w:rPr>
              <w:t>11</w:t>
            </w:r>
            <w:r w:rsidRPr="007570FB">
              <w:rPr>
                <w:b/>
                <w:color w:val="000000" w:themeColor="text1"/>
                <w:sz w:val="24"/>
                <w:szCs w:val="24"/>
              </w:rPr>
              <w:t>:</w:t>
            </w:r>
            <w:r w:rsidRPr="007570FB">
              <w:rPr>
                <w:sz w:val="24"/>
                <w:szCs w:val="24"/>
              </w:rPr>
              <w:t xml:space="preserve"> </w:t>
            </w:r>
            <w:r>
              <w:rPr>
                <w:sz w:val="24"/>
                <w:szCs w:val="24"/>
              </w:rPr>
              <w:t xml:space="preserve">The Tribunal is of the view that there should be </w:t>
            </w:r>
            <w:r w:rsidR="001868F7">
              <w:rPr>
                <w:sz w:val="24"/>
                <w:szCs w:val="24"/>
              </w:rPr>
              <w:t xml:space="preserve">full </w:t>
            </w:r>
            <w:r>
              <w:rPr>
                <w:sz w:val="24"/>
                <w:szCs w:val="24"/>
              </w:rPr>
              <w:t xml:space="preserve">transparency and </w:t>
            </w:r>
            <w:r w:rsidR="0040752F">
              <w:rPr>
                <w:sz w:val="24"/>
                <w:szCs w:val="24"/>
              </w:rPr>
              <w:t>visibility</w:t>
            </w:r>
            <w:r>
              <w:rPr>
                <w:sz w:val="24"/>
                <w:szCs w:val="24"/>
              </w:rPr>
              <w:t xml:space="preserve"> on the </w:t>
            </w:r>
            <w:r w:rsidR="00045E0A">
              <w:rPr>
                <w:sz w:val="24"/>
                <w:szCs w:val="24"/>
              </w:rPr>
              <w:t>use of</w:t>
            </w:r>
            <w:r>
              <w:rPr>
                <w:sz w:val="24"/>
                <w:szCs w:val="24"/>
              </w:rPr>
              <w:t xml:space="preserve"> the additional salary provisions</w:t>
            </w:r>
            <w:r w:rsidR="00D467A8">
              <w:rPr>
                <w:sz w:val="24"/>
                <w:szCs w:val="24"/>
              </w:rPr>
              <w:t xml:space="preserve"> </w:t>
            </w:r>
            <w:r w:rsidR="00045E0A">
              <w:rPr>
                <w:sz w:val="24"/>
                <w:szCs w:val="24"/>
              </w:rPr>
              <w:t>for</w:t>
            </w:r>
            <w:r w:rsidR="00D467A8">
              <w:rPr>
                <w:sz w:val="24"/>
                <w:szCs w:val="24"/>
              </w:rPr>
              <w:t xml:space="preserve"> executives</w:t>
            </w:r>
            <w:r>
              <w:rPr>
                <w:sz w:val="24"/>
                <w:szCs w:val="24"/>
              </w:rPr>
              <w:t>. As these provisions are</w:t>
            </w:r>
            <w:r w:rsidRPr="00F802D6">
              <w:rPr>
                <w:sz w:val="24"/>
                <w:szCs w:val="24"/>
              </w:rPr>
              <w:t xml:space="preserve"> in the PSM Standard</w:t>
            </w:r>
            <w:r>
              <w:rPr>
                <w:sz w:val="24"/>
                <w:szCs w:val="24"/>
              </w:rPr>
              <w:t>s</w:t>
            </w:r>
            <w:r w:rsidRPr="00F802D6">
              <w:rPr>
                <w:sz w:val="24"/>
                <w:szCs w:val="24"/>
              </w:rPr>
              <w:t xml:space="preserve">, </w:t>
            </w:r>
            <w:r w:rsidR="00D467A8">
              <w:rPr>
                <w:sz w:val="24"/>
                <w:szCs w:val="24"/>
              </w:rPr>
              <w:t>this</w:t>
            </w:r>
            <w:r w:rsidRPr="00F802D6">
              <w:rPr>
                <w:sz w:val="24"/>
                <w:szCs w:val="24"/>
              </w:rPr>
              <w:t xml:space="preserve"> is a matter for the Government.</w:t>
            </w:r>
          </w:p>
        </w:tc>
      </w:tr>
    </w:tbl>
    <w:p w14:paraId="24236A72" w14:textId="7C6AFD40" w:rsidR="008079F7" w:rsidRDefault="008079F7" w:rsidP="008079F7">
      <w:pPr>
        <w:pStyle w:val="Heading3"/>
      </w:pPr>
      <w:bookmarkStart w:id="30" w:name="_Toc2327871"/>
      <w:r>
        <w:t>Enterprise Agreement negotiations</w:t>
      </w:r>
      <w:bookmarkEnd w:id="30"/>
      <w:r>
        <w:t xml:space="preserve"> </w:t>
      </w:r>
    </w:p>
    <w:p w14:paraId="0D1CB903" w14:textId="3EEA4BD3" w:rsidR="00ED32F5" w:rsidRPr="0040752F" w:rsidRDefault="008079F7" w:rsidP="00784975">
      <w:pPr>
        <w:spacing w:after="240"/>
        <w:contextualSpacing/>
        <w:rPr>
          <w:sz w:val="24"/>
          <w:szCs w:val="24"/>
        </w:rPr>
      </w:pPr>
      <w:r w:rsidRPr="0040752F">
        <w:rPr>
          <w:sz w:val="24"/>
          <w:szCs w:val="24"/>
        </w:rPr>
        <w:t xml:space="preserve">Analysis of executive remuneration increases in comparison to ACTPS increases achieved through enterprise bargaining shows that the rate of increases for ACTPS SES is out of step with </w:t>
      </w:r>
      <w:r w:rsidR="0055731A" w:rsidRPr="0040752F">
        <w:rPr>
          <w:sz w:val="24"/>
          <w:szCs w:val="24"/>
        </w:rPr>
        <w:t>non-executive</w:t>
      </w:r>
      <w:r w:rsidRPr="0040752F">
        <w:rPr>
          <w:sz w:val="24"/>
          <w:szCs w:val="24"/>
        </w:rPr>
        <w:t xml:space="preserve"> staff. </w:t>
      </w:r>
      <w:r w:rsidR="00ED32F5" w:rsidRPr="0040752F">
        <w:rPr>
          <w:sz w:val="24"/>
          <w:szCs w:val="24"/>
        </w:rPr>
        <w:t>The enterprise bargaining negotiations have secured non-executive pay rises of 36.5</w:t>
      </w:r>
      <w:r w:rsidR="00A406D2">
        <w:rPr>
          <w:sz w:val="24"/>
          <w:szCs w:val="24"/>
        </w:rPr>
        <w:t>6</w:t>
      </w:r>
      <w:r w:rsidR="004F6A10">
        <w:rPr>
          <w:sz w:val="24"/>
          <w:szCs w:val="24"/>
        </w:rPr>
        <w:t xml:space="preserve"> per cent</w:t>
      </w:r>
      <w:r w:rsidR="004F6A10" w:rsidRPr="0040752F">
        <w:rPr>
          <w:sz w:val="24"/>
          <w:szCs w:val="24"/>
        </w:rPr>
        <w:t xml:space="preserve"> </w:t>
      </w:r>
      <w:r w:rsidR="00ED32F5" w:rsidRPr="0040752F">
        <w:rPr>
          <w:sz w:val="24"/>
          <w:szCs w:val="24"/>
        </w:rPr>
        <w:t xml:space="preserve">during the 10 year period up to 2016 (the last remuneration increases provided by the </w:t>
      </w:r>
      <w:r w:rsidR="008B48B9">
        <w:rPr>
          <w:sz w:val="24"/>
          <w:szCs w:val="24"/>
        </w:rPr>
        <w:t>2013-17</w:t>
      </w:r>
      <w:r w:rsidR="008B48B9" w:rsidRPr="0040752F">
        <w:rPr>
          <w:sz w:val="24"/>
          <w:szCs w:val="24"/>
        </w:rPr>
        <w:t xml:space="preserve"> </w:t>
      </w:r>
      <w:r w:rsidR="00ED32F5" w:rsidRPr="0040752F">
        <w:rPr>
          <w:sz w:val="24"/>
          <w:szCs w:val="24"/>
        </w:rPr>
        <w:t>enterprise agreements)</w:t>
      </w:r>
      <w:r w:rsidR="002648C9">
        <w:rPr>
          <w:sz w:val="24"/>
          <w:szCs w:val="24"/>
        </w:rPr>
        <w:t>. In contrast,</w:t>
      </w:r>
      <w:r w:rsidR="00ED32F5" w:rsidRPr="0040752F">
        <w:rPr>
          <w:sz w:val="24"/>
          <w:szCs w:val="24"/>
        </w:rPr>
        <w:t xml:space="preserve"> the cash component of ACTPS executive salaries has grown by 30.75</w:t>
      </w:r>
      <w:r w:rsidR="004F6A10">
        <w:rPr>
          <w:sz w:val="24"/>
          <w:szCs w:val="24"/>
        </w:rPr>
        <w:t xml:space="preserve"> per cent</w:t>
      </w:r>
      <w:r w:rsidR="004F6A10" w:rsidRPr="0040752F">
        <w:rPr>
          <w:sz w:val="24"/>
          <w:szCs w:val="24"/>
        </w:rPr>
        <w:t xml:space="preserve"> </w:t>
      </w:r>
      <w:r w:rsidR="00ED32F5" w:rsidRPr="0040752F">
        <w:rPr>
          <w:sz w:val="24"/>
          <w:szCs w:val="24"/>
        </w:rPr>
        <w:t>over the same period</w:t>
      </w:r>
      <w:r w:rsidR="008B48B9">
        <w:rPr>
          <w:sz w:val="24"/>
          <w:szCs w:val="24"/>
        </w:rPr>
        <w:t xml:space="preserve"> (representing a difference of 5.</w:t>
      </w:r>
      <w:r w:rsidR="00A406D2">
        <w:rPr>
          <w:sz w:val="24"/>
          <w:szCs w:val="24"/>
        </w:rPr>
        <w:t>81</w:t>
      </w:r>
      <w:r w:rsidR="004F6A10">
        <w:rPr>
          <w:sz w:val="24"/>
          <w:szCs w:val="24"/>
        </w:rPr>
        <w:t xml:space="preserve"> per cent)</w:t>
      </w:r>
      <w:r w:rsidR="004F6A10" w:rsidRPr="0040752F">
        <w:rPr>
          <w:sz w:val="24"/>
          <w:szCs w:val="24"/>
        </w:rPr>
        <w:t xml:space="preserve">. </w:t>
      </w:r>
      <w:r w:rsidR="008B48B9">
        <w:rPr>
          <w:sz w:val="24"/>
          <w:szCs w:val="24"/>
        </w:rPr>
        <w:t>Using the compounding methodology, these rates are 43.</w:t>
      </w:r>
      <w:r w:rsidR="00A406D2">
        <w:rPr>
          <w:sz w:val="24"/>
          <w:szCs w:val="24"/>
        </w:rPr>
        <w:t>25</w:t>
      </w:r>
      <w:r w:rsidR="004F6A10">
        <w:rPr>
          <w:sz w:val="24"/>
          <w:szCs w:val="24"/>
        </w:rPr>
        <w:t xml:space="preserve"> per cent </w:t>
      </w:r>
      <w:r w:rsidR="008B48B9">
        <w:rPr>
          <w:sz w:val="24"/>
          <w:szCs w:val="24"/>
        </w:rPr>
        <w:t>and 35.39</w:t>
      </w:r>
      <w:r w:rsidR="004F6A10">
        <w:rPr>
          <w:sz w:val="24"/>
          <w:szCs w:val="24"/>
        </w:rPr>
        <w:t xml:space="preserve"> per cent </w:t>
      </w:r>
      <w:r w:rsidR="008B48B9">
        <w:rPr>
          <w:sz w:val="24"/>
          <w:szCs w:val="24"/>
        </w:rPr>
        <w:t>respectively (representing a difference of 7.</w:t>
      </w:r>
      <w:r w:rsidR="00A406D2">
        <w:rPr>
          <w:sz w:val="24"/>
          <w:szCs w:val="24"/>
        </w:rPr>
        <w:t>86</w:t>
      </w:r>
      <w:r w:rsidR="004F6A10">
        <w:rPr>
          <w:sz w:val="24"/>
          <w:szCs w:val="24"/>
        </w:rPr>
        <w:t xml:space="preserve"> per cent)</w:t>
      </w:r>
      <w:r w:rsidR="004F6A10" w:rsidRPr="00F403FB">
        <w:rPr>
          <w:sz w:val="24"/>
          <w:szCs w:val="24"/>
        </w:rPr>
        <w:t xml:space="preserve"> </w:t>
      </w:r>
      <w:r w:rsidR="00F403FB">
        <w:rPr>
          <w:sz w:val="24"/>
          <w:szCs w:val="24"/>
        </w:rPr>
        <w:t xml:space="preserve">to 2016 and are further increased to </w:t>
      </w:r>
      <w:r w:rsidR="00A406D2">
        <w:rPr>
          <w:sz w:val="24"/>
          <w:szCs w:val="24"/>
        </w:rPr>
        <w:t>55.32</w:t>
      </w:r>
      <w:r w:rsidR="004F6A10">
        <w:rPr>
          <w:sz w:val="24"/>
          <w:szCs w:val="24"/>
        </w:rPr>
        <w:t xml:space="preserve"> per cent </w:t>
      </w:r>
      <w:r w:rsidR="00F403FB">
        <w:rPr>
          <w:sz w:val="24"/>
          <w:szCs w:val="24"/>
        </w:rPr>
        <w:t xml:space="preserve">and </w:t>
      </w:r>
      <w:r w:rsidR="00A406D2">
        <w:rPr>
          <w:sz w:val="24"/>
          <w:szCs w:val="24"/>
        </w:rPr>
        <w:t>41.55</w:t>
      </w:r>
      <w:r w:rsidR="004F6A10">
        <w:rPr>
          <w:sz w:val="24"/>
          <w:szCs w:val="24"/>
        </w:rPr>
        <w:t xml:space="preserve"> per cent </w:t>
      </w:r>
      <w:r w:rsidR="00F403FB">
        <w:rPr>
          <w:sz w:val="24"/>
          <w:szCs w:val="24"/>
        </w:rPr>
        <w:t xml:space="preserve">(a difference of </w:t>
      </w:r>
      <w:r w:rsidR="00A406D2">
        <w:rPr>
          <w:sz w:val="24"/>
          <w:szCs w:val="24"/>
        </w:rPr>
        <w:t>13.77</w:t>
      </w:r>
      <w:r w:rsidR="004F6A10">
        <w:rPr>
          <w:sz w:val="24"/>
          <w:szCs w:val="24"/>
        </w:rPr>
        <w:t xml:space="preserve"> per cent), </w:t>
      </w:r>
      <w:r w:rsidR="00F403FB">
        <w:rPr>
          <w:sz w:val="24"/>
          <w:szCs w:val="24"/>
        </w:rPr>
        <w:t>based on the salary increases in the new enterprise agreements</w:t>
      </w:r>
      <w:r w:rsidR="008B48B9">
        <w:rPr>
          <w:sz w:val="24"/>
          <w:szCs w:val="24"/>
        </w:rPr>
        <w:t xml:space="preserve">. </w:t>
      </w:r>
      <w:r w:rsidR="00ED32F5" w:rsidRPr="0040752F">
        <w:rPr>
          <w:sz w:val="24"/>
          <w:szCs w:val="24"/>
        </w:rPr>
        <w:t xml:space="preserve">Table </w:t>
      </w:r>
      <w:r w:rsidR="0040752F" w:rsidRPr="0040752F">
        <w:rPr>
          <w:sz w:val="24"/>
          <w:szCs w:val="24"/>
        </w:rPr>
        <w:t xml:space="preserve">7 </w:t>
      </w:r>
      <w:r w:rsidR="00ED32F5" w:rsidRPr="0040752F">
        <w:rPr>
          <w:sz w:val="24"/>
          <w:szCs w:val="24"/>
        </w:rPr>
        <w:t>provides a breakdown of pay rises awarded since 2006</w:t>
      </w:r>
      <w:r w:rsidR="008B48B9">
        <w:rPr>
          <w:sz w:val="24"/>
          <w:szCs w:val="24"/>
        </w:rPr>
        <w:t xml:space="preserve"> using the </w:t>
      </w:r>
      <w:r w:rsidR="008B48B9" w:rsidRPr="0040752F">
        <w:rPr>
          <w:sz w:val="24"/>
          <w:szCs w:val="24"/>
        </w:rPr>
        <w:t>cumulative totals</w:t>
      </w:r>
      <w:r w:rsidR="008B48B9">
        <w:rPr>
          <w:sz w:val="24"/>
          <w:szCs w:val="24"/>
        </w:rPr>
        <w:t xml:space="preserve"> and compounding methodology</w:t>
      </w:r>
      <w:r w:rsidR="00DA3608" w:rsidRPr="0040752F">
        <w:rPr>
          <w:sz w:val="24"/>
          <w:szCs w:val="24"/>
        </w:rPr>
        <w:t xml:space="preserve">. </w:t>
      </w:r>
    </w:p>
    <w:p w14:paraId="6BF7E0F5" w14:textId="77777777" w:rsidR="00D66F92" w:rsidRDefault="00D66F92" w:rsidP="00D66F92">
      <w:pPr>
        <w:keepNext/>
        <w:spacing w:before="120" w:after="120"/>
        <w:rPr>
          <w:b/>
          <w:sz w:val="24"/>
          <w:szCs w:val="24"/>
        </w:rPr>
      </w:pPr>
    </w:p>
    <w:p w14:paraId="28B6AFE2" w14:textId="1D6A832B" w:rsidR="00D2026D" w:rsidRPr="0040752F" w:rsidRDefault="00D2026D" w:rsidP="00D66F92">
      <w:pPr>
        <w:keepNext/>
        <w:spacing w:before="120" w:after="120"/>
        <w:rPr>
          <w:b/>
          <w:sz w:val="24"/>
          <w:szCs w:val="24"/>
        </w:rPr>
      </w:pPr>
      <w:r w:rsidRPr="0040752F">
        <w:rPr>
          <w:b/>
          <w:sz w:val="24"/>
          <w:szCs w:val="24"/>
        </w:rPr>
        <w:t xml:space="preserve">Table </w:t>
      </w:r>
      <w:r w:rsidR="0040752F" w:rsidRPr="0040752F">
        <w:rPr>
          <w:b/>
          <w:sz w:val="24"/>
          <w:szCs w:val="24"/>
        </w:rPr>
        <w:t xml:space="preserve">7 </w:t>
      </w:r>
      <w:r w:rsidRPr="0040752F">
        <w:rPr>
          <w:b/>
          <w:sz w:val="24"/>
          <w:szCs w:val="24"/>
        </w:rPr>
        <w:t xml:space="preserve">– </w:t>
      </w:r>
      <w:r w:rsidR="0051256C" w:rsidRPr="0040752F">
        <w:rPr>
          <w:b/>
          <w:sz w:val="24"/>
          <w:szCs w:val="24"/>
        </w:rPr>
        <w:t>breakdown of executive and non-executive pay rises since 2006</w:t>
      </w:r>
    </w:p>
    <w:tbl>
      <w:tblPr>
        <w:tblStyle w:val="TableGrid"/>
        <w:tblW w:w="9209" w:type="dxa"/>
        <w:tblLook w:val="04A0" w:firstRow="1" w:lastRow="0" w:firstColumn="1" w:lastColumn="0" w:noHBand="0" w:noVBand="1"/>
      </w:tblPr>
      <w:tblGrid>
        <w:gridCol w:w="975"/>
        <w:gridCol w:w="1507"/>
        <w:gridCol w:w="1473"/>
        <w:gridCol w:w="1201"/>
        <w:gridCol w:w="1284"/>
        <w:gridCol w:w="1381"/>
        <w:gridCol w:w="1393"/>
      </w:tblGrid>
      <w:tr w:rsidR="00777A92" w:rsidRPr="00D66F92" w14:paraId="32785B72" w14:textId="77777777" w:rsidTr="00777A92">
        <w:trPr>
          <w:trHeight w:val="741"/>
        </w:trPr>
        <w:tc>
          <w:tcPr>
            <w:tcW w:w="974" w:type="dxa"/>
            <w:noWrap/>
            <w:hideMark/>
          </w:tcPr>
          <w:p w14:paraId="717DDE4E" w14:textId="32BFCBA7" w:rsidR="00777A92" w:rsidRPr="00D66F92" w:rsidRDefault="00A406D2" w:rsidP="00816E47">
            <w:pPr>
              <w:jc w:val="center"/>
              <w:rPr>
                <w:b/>
                <w:bCs/>
                <w:sz w:val="20"/>
                <w:szCs w:val="20"/>
              </w:rPr>
            </w:pPr>
            <w:r>
              <w:rPr>
                <w:b/>
                <w:bCs/>
                <w:sz w:val="20"/>
                <w:szCs w:val="20"/>
              </w:rPr>
              <w:t xml:space="preserve">Financial </w:t>
            </w:r>
            <w:r w:rsidR="00777A92" w:rsidRPr="00D66F92">
              <w:rPr>
                <w:b/>
                <w:bCs/>
                <w:sz w:val="20"/>
                <w:szCs w:val="20"/>
              </w:rPr>
              <w:t>Year</w:t>
            </w:r>
            <w:r>
              <w:rPr>
                <w:b/>
                <w:bCs/>
                <w:sz w:val="20"/>
                <w:szCs w:val="20"/>
              </w:rPr>
              <w:t xml:space="preserve"> </w:t>
            </w:r>
            <w:r>
              <w:rPr>
                <w:b/>
                <w:bCs/>
                <w:sz w:val="20"/>
                <w:szCs w:val="20"/>
              </w:rPr>
              <w:br/>
            </w:r>
          </w:p>
        </w:tc>
        <w:tc>
          <w:tcPr>
            <w:tcW w:w="1507" w:type="dxa"/>
            <w:shd w:val="clear" w:color="auto" w:fill="DBE5F1" w:themeFill="accent1" w:themeFillTint="33"/>
            <w:hideMark/>
          </w:tcPr>
          <w:p w14:paraId="04C638DF" w14:textId="74936DFC" w:rsidR="00777A92" w:rsidRPr="00D66F92" w:rsidRDefault="00777A92" w:rsidP="00777A92">
            <w:pPr>
              <w:jc w:val="right"/>
              <w:rPr>
                <w:b/>
                <w:bCs/>
                <w:sz w:val="20"/>
                <w:szCs w:val="20"/>
              </w:rPr>
            </w:pPr>
            <w:r w:rsidRPr="00D66F92">
              <w:rPr>
                <w:b/>
                <w:bCs/>
                <w:sz w:val="20"/>
                <w:szCs w:val="20"/>
              </w:rPr>
              <w:t>Executives (Remuneration Tribunal)</w:t>
            </w:r>
          </w:p>
        </w:tc>
        <w:tc>
          <w:tcPr>
            <w:tcW w:w="1472" w:type="dxa"/>
            <w:shd w:val="clear" w:color="auto" w:fill="95B3D7" w:themeFill="accent1" w:themeFillTint="99"/>
          </w:tcPr>
          <w:p w14:paraId="7C0E769A" w14:textId="5FA1F829" w:rsidR="00777A92" w:rsidRPr="00D66F92" w:rsidRDefault="00777A92" w:rsidP="00777A92">
            <w:pPr>
              <w:jc w:val="right"/>
              <w:rPr>
                <w:b/>
                <w:sz w:val="20"/>
                <w:szCs w:val="20"/>
              </w:rPr>
            </w:pPr>
            <w:r w:rsidRPr="00D66F92">
              <w:rPr>
                <w:b/>
                <w:bCs/>
                <w:color w:val="000000"/>
                <w:sz w:val="20"/>
                <w:szCs w:val="20"/>
                <w:lang w:eastAsia="en-AU"/>
              </w:rPr>
              <w:t>Executives (Remuneration Tribunal)</w:t>
            </w:r>
            <w:r w:rsidRPr="00D66F92">
              <w:rPr>
                <w:b/>
                <w:bCs/>
                <w:color w:val="000000"/>
                <w:sz w:val="20"/>
                <w:szCs w:val="20"/>
                <w:lang w:eastAsia="en-AU"/>
              </w:rPr>
              <w:br/>
            </w:r>
            <w:r w:rsidRPr="00D66F92">
              <w:rPr>
                <w:b/>
                <w:bCs/>
                <w:color w:val="C00000"/>
                <w:sz w:val="20"/>
                <w:szCs w:val="20"/>
                <w:lang w:eastAsia="en-AU"/>
              </w:rPr>
              <w:t>Compounding</w:t>
            </w:r>
          </w:p>
        </w:tc>
        <w:tc>
          <w:tcPr>
            <w:tcW w:w="1200" w:type="dxa"/>
            <w:shd w:val="clear" w:color="auto" w:fill="95B3D7" w:themeFill="accent1" w:themeFillTint="99"/>
            <w:noWrap/>
            <w:hideMark/>
          </w:tcPr>
          <w:p w14:paraId="43807118" w14:textId="1363F082" w:rsidR="00777A92" w:rsidRPr="00D66F92" w:rsidRDefault="00777A92" w:rsidP="00777A92">
            <w:pPr>
              <w:jc w:val="right"/>
              <w:rPr>
                <w:b/>
                <w:sz w:val="20"/>
                <w:szCs w:val="20"/>
              </w:rPr>
            </w:pPr>
            <w:r w:rsidRPr="00D66F92">
              <w:rPr>
                <w:b/>
                <w:sz w:val="20"/>
                <w:szCs w:val="20"/>
              </w:rPr>
              <w:t xml:space="preserve">Executives </w:t>
            </w:r>
          </w:p>
          <w:p w14:paraId="317F7465" w14:textId="77777777" w:rsidR="00777A92" w:rsidRPr="00D66F92" w:rsidRDefault="00777A92" w:rsidP="00777A92">
            <w:pPr>
              <w:jc w:val="right"/>
              <w:rPr>
                <w:b/>
                <w:sz w:val="20"/>
                <w:szCs w:val="20"/>
              </w:rPr>
            </w:pPr>
            <w:r w:rsidRPr="00D66F92">
              <w:rPr>
                <w:b/>
                <w:sz w:val="20"/>
                <w:szCs w:val="20"/>
              </w:rPr>
              <w:t>(cumulative total)</w:t>
            </w:r>
          </w:p>
        </w:tc>
        <w:tc>
          <w:tcPr>
            <w:tcW w:w="1284" w:type="dxa"/>
            <w:shd w:val="clear" w:color="auto" w:fill="FDE9D9" w:themeFill="accent6" w:themeFillTint="33"/>
            <w:hideMark/>
          </w:tcPr>
          <w:p w14:paraId="01A115E5" w14:textId="77777777" w:rsidR="00777A92" w:rsidRPr="00D66F92" w:rsidRDefault="00777A92" w:rsidP="00777A92">
            <w:pPr>
              <w:jc w:val="right"/>
              <w:rPr>
                <w:b/>
                <w:bCs/>
                <w:sz w:val="20"/>
                <w:szCs w:val="20"/>
              </w:rPr>
            </w:pPr>
            <w:r w:rsidRPr="00D66F92">
              <w:rPr>
                <w:b/>
                <w:bCs/>
                <w:sz w:val="20"/>
                <w:szCs w:val="20"/>
              </w:rPr>
              <w:t xml:space="preserve">ACTPS </w:t>
            </w:r>
          </w:p>
          <w:p w14:paraId="1BD1A572" w14:textId="77777777" w:rsidR="00777A92" w:rsidRPr="00D66F92" w:rsidRDefault="00777A92" w:rsidP="00777A92">
            <w:pPr>
              <w:jc w:val="right"/>
              <w:rPr>
                <w:b/>
                <w:bCs/>
                <w:sz w:val="20"/>
                <w:szCs w:val="20"/>
              </w:rPr>
            </w:pPr>
            <w:r w:rsidRPr="00D66F92">
              <w:rPr>
                <w:b/>
                <w:bCs/>
                <w:sz w:val="20"/>
                <w:szCs w:val="20"/>
              </w:rPr>
              <w:t>(Enterprise Agreement)</w:t>
            </w:r>
          </w:p>
        </w:tc>
        <w:tc>
          <w:tcPr>
            <w:tcW w:w="1379" w:type="dxa"/>
            <w:shd w:val="clear" w:color="auto" w:fill="FABF8F" w:themeFill="accent6" w:themeFillTint="99"/>
          </w:tcPr>
          <w:p w14:paraId="0E9C2716" w14:textId="4E45D24A" w:rsidR="00777A92" w:rsidRPr="00D66F92" w:rsidRDefault="00777A92" w:rsidP="00777A92">
            <w:pPr>
              <w:jc w:val="right"/>
              <w:rPr>
                <w:b/>
                <w:sz w:val="20"/>
                <w:szCs w:val="20"/>
              </w:rPr>
            </w:pPr>
            <w:r w:rsidRPr="00D66F92">
              <w:rPr>
                <w:b/>
                <w:bCs/>
                <w:color w:val="000000"/>
                <w:sz w:val="20"/>
                <w:szCs w:val="20"/>
                <w:lang w:eastAsia="en-AU"/>
              </w:rPr>
              <w:t xml:space="preserve">ACTPS </w:t>
            </w:r>
            <w:r w:rsidRPr="00D66F92">
              <w:rPr>
                <w:b/>
                <w:bCs/>
                <w:color w:val="000000"/>
                <w:sz w:val="20"/>
                <w:szCs w:val="20"/>
                <w:lang w:eastAsia="en-AU"/>
              </w:rPr>
              <w:br/>
              <w:t>(Enterprise Agreement)</w:t>
            </w:r>
            <w:r w:rsidRPr="00D66F92">
              <w:rPr>
                <w:b/>
                <w:bCs/>
                <w:color w:val="000000"/>
                <w:sz w:val="20"/>
                <w:szCs w:val="20"/>
                <w:lang w:eastAsia="en-AU"/>
              </w:rPr>
              <w:br/>
            </w:r>
            <w:r w:rsidRPr="00D66F92">
              <w:rPr>
                <w:b/>
                <w:bCs/>
                <w:color w:val="C00000"/>
                <w:sz w:val="20"/>
                <w:szCs w:val="20"/>
                <w:lang w:eastAsia="en-AU"/>
              </w:rPr>
              <w:t>Compounding</w:t>
            </w:r>
          </w:p>
        </w:tc>
        <w:tc>
          <w:tcPr>
            <w:tcW w:w="1393" w:type="dxa"/>
            <w:shd w:val="clear" w:color="auto" w:fill="FABF8F" w:themeFill="accent6" w:themeFillTint="99"/>
            <w:noWrap/>
            <w:hideMark/>
          </w:tcPr>
          <w:p w14:paraId="54C4C32E" w14:textId="145B536D" w:rsidR="00777A92" w:rsidRPr="00D66F92" w:rsidRDefault="00777A92" w:rsidP="00777A92">
            <w:pPr>
              <w:jc w:val="right"/>
              <w:rPr>
                <w:b/>
                <w:sz w:val="20"/>
                <w:szCs w:val="20"/>
              </w:rPr>
            </w:pPr>
            <w:r w:rsidRPr="00D66F92">
              <w:rPr>
                <w:b/>
                <w:sz w:val="20"/>
                <w:szCs w:val="20"/>
              </w:rPr>
              <w:t xml:space="preserve">ACTPS </w:t>
            </w:r>
          </w:p>
          <w:p w14:paraId="1B80ACF8" w14:textId="77777777" w:rsidR="00777A92" w:rsidRPr="00D66F92" w:rsidRDefault="00777A92" w:rsidP="00777A92">
            <w:pPr>
              <w:jc w:val="right"/>
              <w:rPr>
                <w:b/>
                <w:sz w:val="20"/>
                <w:szCs w:val="20"/>
              </w:rPr>
            </w:pPr>
            <w:r w:rsidRPr="00D66F92">
              <w:rPr>
                <w:b/>
                <w:sz w:val="20"/>
                <w:szCs w:val="20"/>
              </w:rPr>
              <w:t>(cumulative total)</w:t>
            </w:r>
          </w:p>
        </w:tc>
      </w:tr>
      <w:tr w:rsidR="00777A92" w:rsidRPr="00D66F92" w14:paraId="28F27B4D" w14:textId="77777777" w:rsidTr="00777A92">
        <w:trPr>
          <w:trHeight w:val="247"/>
        </w:trPr>
        <w:tc>
          <w:tcPr>
            <w:tcW w:w="974" w:type="dxa"/>
            <w:noWrap/>
          </w:tcPr>
          <w:p w14:paraId="19C9AA7E" w14:textId="7970EF4B" w:rsidR="00777A92" w:rsidRPr="00D66F92" w:rsidRDefault="00777A92" w:rsidP="00777A92">
            <w:pPr>
              <w:jc w:val="center"/>
              <w:rPr>
                <w:b/>
                <w:bCs/>
                <w:sz w:val="20"/>
                <w:szCs w:val="20"/>
              </w:rPr>
            </w:pPr>
            <w:r w:rsidRPr="00D66F92">
              <w:rPr>
                <w:b/>
                <w:bCs/>
                <w:sz w:val="20"/>
                <w:szCs w:val="20"/>
              </w:rPr>
              <w:t>Assumed base</w:t>
            </w:r>
          </w:p>
        </w:tc>
        <w:tc>
          <w:tcPr>
            <w:tcW w:w="1507" w:type="dxa"/>
            <w:shd w:val="clear" w:color="auto" w:fill="DBE5F1" w:themeFill="accent1" w:themeFillTint="33"/>
            <w:noWrap/>
          </w:tcPr>
          <w:p w14:paraId="689E627C" w14:textId="77777777" w:rsidR="00777A92" w:rsidRPr="00D66F92" w:rsidRDefault="00777A92" w:rsidP="00777A92">
            <w:pPr>
              <w:jc w:val="right"/>
              <w:rPr>
                <w:sz w:val="20"/>
                <w:szCs w:val="20"/>
              </w:rPr>
            </w:pPr>
          </w:p>
        </w:tc>
        <w:tc>
          <w:tcPr>
            <w:tcW w:w="1472" w:type="dxa"/>
            <w:shd w:val="clear" w:color="auto" w:fill="95B3D7" w:themeFill="accent1" w:themeFillTint="99"/>
          </w:tcPr>
          <w:p w14:paraId="6F11BF65" w14:textId="63BA1815" w:rsidR="00777A92" w:rsidRPr="00D66F92" w:rsidRDefault="00777A92" w:rsidP="00777A92">
            <w:pPr>
              <w:jc w:val="right"/>
              <w:rPr>
                <w:sz w:val="20"/>
                <w:szCs w:val="20"/>
              </w:rPr>
            </w:pPr>
            <w:r w:rsidRPr="00D66F92">
              <w:rPr>
                <w:b/>
                <w:bCs/>
                <w:color w:val="C00000"/>
                <w:sz w:val="20"/>
                <w:szCs w:val="20"/>
                <w:lang w:eastAsia="en-AU"/>
              </w:rPr>
              <w:t>100.00</w:t>
            </w:r>
          </w:p>
        </w:tc>
        <w:tc>
          <w:tcPr>
            <w:tcW w:w="1200" w:type="dxa"/>
            <w:shd w:val="clear" w:color="auto" w:fill="95B3D7" w:themeFill="accent1" w:themeFillTint="99"/>
            <w:noWrap/>
          </w:tcPr>
          <w:p w14:paraId="1F353086" w14:textId="51E8E7CF" w:rsidR="00777A92" w:rsidRPr="00D66F92" w:rsidRDefault="00777A92" w:rsidP="00777A92">
            <w:pPr>
              <w:jc w:val="right"/>
              <w:rPr>
                <w:sz w:val="20"/>
                <w:szCs w:val="20"/>
              </w:rPr>
            </w:pPr>
          </w:p>
        </w:tc>
        <w:tc>
          <w:tcPr>
            <w:tcW w:w="1284" w:type="dxa"/>
            <w:shd w:val="clear" w:color="auto" w:fill="FDE9D9" w:themeFill="accent6" w:themeFillTint="33"/>
            <w:noWrap/>
          </w:tcPr>
          <w:p w14:paraId="569359B9" w14:textId="77777777" w:rsidR="00777A92" w:rsidRPr="00D66F92" w:rsidRDefault="00777A92" w:rsidP="00777A92">
            <w:pPr>
              <w:jc w:val="right"/>
              <w:rPr>
                <w:sz w:val="20"/>
                <w:szCs w:val="20"/>
              </w:rPr>
            </w:pPr>
          </w:p>
        </w:tc>
        <w:tc>
          <w:tcPr>
            <w:tcW w:w="1379" w:type="dxa"/>
            <w:shd w:val="clear" w:color="auto" w:fill="FABF8F" w:themeFill="accent6" w:themeFillTint="99"/>
          </w:tcPr>
          <w:p w14:paraId="2A1FAFEA" w14:textId="67A147C2" w:rsidR="00777A92" w:rsidRPr="00D66F92" w:rsidRDefault="00777A92" w:rsidP="00777A92">
            <w:pPr>
              <w:jc w:val="right"/>
              <w:rPr>
                <w:sz w:val="20"/>
                <w:szCs w:val="20"/>
              </w:rPr>
            </w:pPr>
            <w:r w:rsidRPr="00D66F92">
              <w:rPr>
                <w:b/>
                <w:bCs/>
                <w:color w:val="C00000"/>
                <w:sz w:val="20"/>
                <w:szCs w:val="20"/>
                <w:lang w:eastAsia="en-AU"/>
              </w:rPr>
              <w:t>100.00</w:t>
            </w:r>
          </w:p>
        </w:tc>
        <w:tc>
          <w:tcPr>
            <w:tcW w:w="1393" w:type="dxa"/>
            <w:shd w:val="clear" w:color="auto" w:fill="FABF8F" w:themeFill="accent6" w:themeFillTint="99"/>
            <w:noWrap/>
          </w:tcPr>
          <w:p w14:paraId="6DE5EE43" w14:textId="17942A19" w:rsidR="00777A92" w:rsidRPr="00D66F92" w:rsidRDefault="00777A92" w:rsidP="00777A92">
            <w:pPr>
              <w:jc w:val="right"/>
              <w:rPr>
                <w:sz w:val="20"/>
                <w:szCs w:val="20"/>
              </w:rPr>
            </w:pPr>
          </w:p>
        </w:tc>
      </w:tr>
      <w:tr w:rsidR="00777A92" w:rsidRPr="00D66F92" w14:paraId="483B2B5D" w14:textId="77777777" w:rsidTr="00777A92">
        <w:trPr>
          <w:trHeight w:val="247"/>
        </w:trPr>
        <w:tc>
          <w:tcPr>
            <w:tcW w:w="974" w:type="dxa"/>
            <w:noWrap/>
            <w:hideMark/>
          </w:tcPr>
          <w:p w14:paraId="4E58E47A" w14:textId="56DCDB5B" w:rsidR="00777A92" w:rsidRPr="00D66F92" w:rsidRDefault="00777A92" w:rsidP="00777A92">
            <w:pPr>
              <w:jc w:val="center"/>
              <w:rPr>
                <w:b/>
                <w:bCs/>
                <w:sz w:val="20"/>
                <w:szCs w:val="20"/>
              </w:rPr>
            </w:pPr>
            <w:r w:rsidRPr="00D66F92">
              <w:rPr>
                <w:b/>
                <w:bCs/>
                <w:sz w:val="20"/>
                <w:szCs w:val="20"/>
              </w:rPr>
              <w:t>2006</w:t>
            </w:r>
            <w:r w:rsidR="00A406D2">
              <w:rPr>
                <w:b/>
                <w:bCs/>
                <w:sz w:val="20"/>
                <w:szCs w:val="20"/>
              </w:rPr>
              <w:t>-07</w:t>
            </w:r>
          </w:p>
        </w:tc>
        <w:tc>
          <w:tcPr>
            <w:tcW w:w="1507" w:type="dxa"/>
            <w:shd w:val="clear" w:color="auto" w:fill="DBE5F1" w:themeFill="accent1" w:themeFillTint="33"/>
            <w:noWrap/>
            <w:hideMark/>
          </w:tcPr>
          <w:p w14:paraId="434201C6" w14:textId="34760993" w:rsidR="00777A92" w:rsidRPr="00D66F92" w:rsidRDefault="00777A92" w:rsidP="00777A92">
            <w:pPr>
              <w:jc w:val="right"/>
              <w:rPr>
                <w:sz w:val="20"/>
                <w:szCs w:val="20"/>
              </w:rPr>
            </w:pPr>
            <w:r w:rsidRPr="00D66F92">
              <w:rPr>
                <w:sz w:val="20"/>
                <w:szCs w:val="20"/>
              </w:rPr>
              <w:t>3.00%</w:t>
            </w:r>
          </w:p>
        </w:tc>
        <w:tc>
          <w:tcPr>
            <w:tcW w:w="1472" w:type="dxa"/>
            <w:shd w:val="clear" w:color="auto" w:fill="95B3D7" w:themeFill="accent1" w:themeFillTint="99"/>
            <w:vAlign w:val="center"/>
          </w:tcPr>
          <w:p w14:paraId="715CD440" w14:textId="753AB9A3" w:rsidR="00777A92" w:rsidRPr="00D66F92" w:rsidRDefault="00777A92" w:rsidP="00777A92">
            <w:pPr>
              <w:jc w:val="right"/>
              <w:rPr>
                <w:sz w:val="20"/>
                <w:szCs w:val="20"/>
              </w:rPr>
            </w:pPr>
            <w:r w:rsidRPr="00D66F92">
              <w:rPr>
                <w:color w:val="000000"/>
                <w:sz w:val="20"/>
                <w:szCs w:val="20"/>
                <w:lang w:eastAsia="en-AU"/>
              </w:rPr>
              <w:t>103.00</w:t>
            </w:r>
          </w:p>
        </w:tc>
        <w:tc>
          <w:tcPr>
            <w:tcW w:w="1200" w:type="dxa"/>
            <w:shd w:val="clear" w:color="auto" w:fill="95B3D7" w:themeFill="accent1" w:themeFillTint="99"/>
            <w:noWrap/>
            <w:hideMark/>
          </w:tcPr>
          <w:p w14:paraId="564AE085" w14:textId="16E885AC" w:rsidR="00777A92" w:rsidRPr="00D66F92" w:rsidRDefault="00777A92" w:rsidP="00777A92">
            <w:pPr>
              <w:jc w:val="right"/>
              <w:rPr>
                <w:sz w:val="20"/>
                <w:szCs w:val="20"/>
              </w:rPr>
            </w:pPr>
            <w:r w:rsidRPr="00D66F92">
              <w:rPr>
                <w:sz w:val="20"/>
                <w:szCs w:val="20"/>
              </w:rPr>
              <w:t>3.00%</w:t>
            </w:r>
          </w:p>
        </w:tc>
        <w:tc>
          <w:tcPr>
            <w:tcW w:w="1284" w:type="dxa"/>
            <w:shd w:val="clear" w:color="auto" w:fill="FDE9D9" w:themeFill="accent6" w:themeFillTint="33"/>
            <w:noWrap/>
            <w:hideMark/>
          </w:tcPr>
          <w:p w14:paraId="1194351F" w14:textId="77777777" w:rsidR="00777A92" w:rsidRPr="00D66F92" w:rsidRDefault="00777A92" w:rsidP="00777A92">
            <w:pPr>
              <w:jc w:val="right"/>
              <w:rPr>
                <w:sz w:val="20"/>
                <w:szCs w:val="20"/>
              </w:rPr>
            </w:pPr>
            <w:r w:rsidRPr="00D66F92">
              <w:rPr>
                <w:sz w:val="20"/>
                <w:szCs w:val="20"/>
              </w:rPr>
              <w:t>4.00%</w:t>
            </w:r>
          </w:p>
        </w:tc>
        <w:tc>
          <w:tcPr>
            <w:tcW w:w="1379" w:type="dxa"/>
            <w:shd w:val="clear" w:color="auto" w:fill="FABF8F" w:themeFill="accent6" w:themeFillTint="99"/>
            <w:vAlign w:val="center"/>
          </w:tcPr>
          <w:p w14:paraId="1DAA3EEF" w14:textId="314AC661" w:rsidR="00777A92" w:rsidRPr="00D66F92" w:rsidRDefault="00777A92" w:rsidP="00777A92">
            <w:pPr>
              <w:jc w:val="right"/>
              <w:rPr>
                <w:sz w:val="20"/>
                <w:szCs w:val="20"/>
              </w:rPr>
            </w:pPr>
            <w:r w:rsidRPr="00D66F92">
              <w:rPr>
                <w:color w:val="000000"/>
                <w:sz w:val="20"/>
                <w:szCs w:val="20"/>
                <w:lang w:eastAsia="en-AU"/>
              </w:rPr>
              <w:t>104.00</w:t>
            </w:r>
          </w:p>
        </w:tc>
        <w:tc>
          <w:tcPr>
            <w:tcW w:w="1393" w:type="dxa"/>
            <w:shd w:val="clear" w:color="auto" w:fill="FABF8F" w:themeFill="accent6" w:themeFillTint="99"/>
            <w:noWrap/>
            <w:hideMark/>
          </w:tcPr>
          <w:p w14:paraId="7DC6A1D4" w14:textId="1CAC6BA4" w:rsidR="00777A92" w:rsidRPr="00D66F92" w:rsidRDefault="00777A92" w:rsidP="00777A92">
            <w:pPr>
              <w:jc w:val="right"/>
              <w:rPr>
                <w:sz w:val="20"/>
                <w:szCs w:val="20"/>
              </w:rPr>
            </w:pPr>
            <w:r w:rsidRPr="00D66F92">
              <w:rPr>
                <w:sz w:val="20"/>
                <w:szCs w:val="20"/>
              </w:rPr>
              <w:t>4.00%</w:t>
            </w:r>
          </w:p>
        </w:tc>
      </w:tr>
      <w:tr w:rsidR="00777A92" w:rsidRPr="00D66F92" w14:paraId="5395966B" w14:textId="77777777" w:rsidTr="00777A92">
        <w:trPr>
          <w:trHeight w:val="247"/>
        </w:trPr>
        <w:tc>
          <w:tcPr>
            <w:tcW w:w="974" w:type="dxa"/>
            <w:noWrap/>
            <w:hideMark/>
          </w:tcPr>
          <w:p w14:paraId="20FB779D" w14:textId="1330EC10" w:rsidR="00777A92" w:rsidRPr="00D66F92" w:rsidRDefault="00777A92" w:rsidP="00777A92">
            <w:pPr>
              <w:jc w:val="center"/>
              <w:rPr>
                <w:b/>
                <w:bCs/>
                <w:sz w:val="20"/>
                <w:szCs w:val="20"/>
              </w:rPr>
            </w:pPr>
            <w:r w:rsidRPr="00D66F92">
              <w:rPr>
                <w:b/>
                <w:bCs/>
                <w:sz w:val="20"/>
                <w:szCs w:val="20"/>
              </w:rPr>
              <w:t>2007</w:t>
            </w:r>
            <w:r w:rsidR="00A406D2">
              <w:rPr>
                <w:b/>
                <w:bCs/>
                <w:sz w:val="20"/>
                <w:szCs w:val="20"/>
              </w:rPr>
              <w:t>-08</w:t>
            </w:r>
          </w:p>
        </w:tc>
        <w:tc>
          <w:tcPr>
            <w:tcW w:w="1507" w:type="dxa"/>
            <w:shd w:val="clear" w:color="auto" w:fill="DBE5F1" w:themeFill="accent1" w:themeFillTint="33"/>
            <w:noWrap/>
            <w:hideMark/>
          </w:tcPr>
          <w:p w14:paraId="6A2879EE" w14:textId="2E9F9F89" w:rsidR="00777A92" w:rsidRPr="00D66F92" w:rsidRDefault="00777A92" w:rsidP="00777A92">
            <w:pPr>
              <w:jc w:val="right"/>
              <w:rPr>
                <w:sz w:val="20"/>
                <w:szCs w:val="20"/>
              </w:rPr>
            </w:pPr>
            <w:r w:rsidRPr="00D66F92">
              <w:rPr>
                <w:sz w:val="20"/>
                <w:szCs w:val="20"/>
              </w:rPr>
              <w:t>4.00%</w:t>
            </w:r>
          </w:p>
        </w:tc>
        <w:tc>
          <w:tcPr>
            <w:tcW w:w="1472" w:type="dxa"/>
            <w:shd w:val="clear" w:color="auto" w:fill="95B3D7" w:themeFill="accent1" w:themeFillTint="99"/>
            <w:vAlign w:val="center"/>
          </w:tcPr>
          <w:p w14:paraId="7F2CD09C" w14:textId="68F0A483" w:rsidR="00777A92" w:rsidRPr="00D66F92" w:rsidRDefault="00777A92" w:rsidP="00777A92">
            <w:pPr>
              <w:jc w:val="right"/>
              <w:rPr>
                <w:sz w:val="20"/>
                <w:szCs w:val="20"/>
              </w:rPr>
            </w:pPr>
            <w:r w:rsidRPr="00D66F92">
              <w:rPr>
                <w:color w:val="000000"/>
                <w:sz w:val="20"/>
                <w:szCs w:val="20"/>
                <w:lang w:eastAsia="en-AU"/>
              </w:rPr>
              <w:t>107.12</w:t>
            </w:r>
          </w:p>
        </w:tc>
        <w:tc>
          <w:tcPr>
            <w:tcW w:w="1200" w:type="dxa"/>
            <w:shd w:val="clear" w:color="auto" w:fill="95B3D7" w:themeFill="accent1" w:themeFillTint="99"/>
            <w:noWrap/>
            <w:hideMark/>
          </w:tcPr>
          <w:p w14:paraId="2DDA8CA2" w14:textId="11478101" w:rsidR="00777A92" w:rsidRPr="00D66F92" w:rsidRDefault="00777A92" w:rsidP="00777A92">
            <w:pPr>
              <w:jc w:val="right"/>
              <w:rPr>
                <w:sz w:val="20"/>
                <w:szCs w:val="20"/>
              </w:rPr>
            </w:pPr>
            <w:r w:rsidRPr="00D66F92">
              <w:rPr>
                <w:sz w:val="20"/>
                <w:szCs w:val="20"/>
              </w:rPr>
              <w:t>7.00%</w:t>
            </w:r>
          </w:p>
        </w:tc>
        <w:tc>
          <w:tcPr>
            <w:tcW w:w="1284" w:type="dxa"/>
            <w:shd w:val="clear" w:color="auto" w:fill="FDE9D9" w:themeFill="accent6" w:themeFillTint="33"/>
            <w:noWrap/>
            <w:hideMark/>
          </w:tcPr>
          <w:p w14:paraId="3451EF48" w14:textId="77777777" w:rsidR="00777A92" w:rsidRPr="00D66F92" w:rsidRDefault="00777A92" w:rsidP="00777A92">
            <w:pPr>
              <w:jc w:val="right"/>
              <w:rPr>
                <w:sz w:val="20"/>
                <w:szCs w:val="20"/>
              </w:rPr>
            </w:pPr>
            <w:r w:rsidRPr="00D66F92">
              <w:rPr>
                <w:sz w:val="20"/>
                <w:szCs w:val="20"/>
              </w:rPr>
              <w:t>4.00%</w:t>
            </w:r>
          </w:p>
        </w:tc>
        <w:tc>
          <w:tcPr>
            <w:tcW w:w="1379" w:type="dxa"/>
            <w:shd w:val="clear" w:color="auto" w:fill="FABF8F" w:themeFill="accent6" w:themeFillTint="99"/>
            <w:vAlign w:val="center"/>
          </w:tcPr>
          <w:p w14:paraId="6C481790" w14:textId="1CA9361B" w:rsidR="00777A92" w:rsidRPr="00D66F92" w:rsidRDefault="00777A92" w:rsidP="00777A92">
            <w:pPr>
              <w:jc w:val="right"/>
              <w:rPr>
                <w:sz w:val="20"/>
                <w:szCs w:val="20"/>
              </w:rPr>
            </w:pPr>
            <w:r w:rsidRPr="00D66F92">
              <w:rPr>
                <w:color w:val="000000"/>
                <w:sz w:val="20"/>
                <w:szCs w:val="20"/>
                <w:lang w:eastAsia="en-AU"/>
              </w:rPr>
              <w:t>108.16</w:t>
            </w:r>
          </w:p>
        </w:tc>
        <w:tc>
          <w:tcPr>
            <w:tcW w:w="1393" w:type="dxa"/>
            <w:shd w:val="clear" w:color="auto" w:fill="FABF8F" w:themeFill="accent6" w:themeFillTint="99"/>
            <w:noWrap/>
            <w:hideMark/>
          </w:tcPr>
          <w:p w14:paraId="46555B1F" w14:textId="273D0DD3" w:rsidR="00777A92" w:rsidRPr="00D66F92" w:rsidRDefault="00777A92" w:rsidP="00777A92">
            <w:pPr>
              <w:jc w:val="right"/>
              <w:rPr>
                <w:sz w:val="20"/>
                <w:szCs w:val="20"/>
              </w:rPr>
            </w:pPr>
            <w:r w:rsidRPr="00D66F92">
              <w:rPr>
                <w:sz w:val="20"/>
                <w:szCs w:val="20"/>
              </w:rPr>
              <w:t>8.00%</w:t>
            </w:r>
          </w:p>
        </w:tc>
      </w:tr>
      <w:tr w:rsidR="00777A92" w:rsidRPr="00D66F92" w14:paraId="426459EE" w14:textId="77777777" w:rsidTr="00777A92">
        <w:trPr>
          <w:trHeight w:val="247"/>
        </w:trPr>
        <w:tc>
          <w:tcPr>
            <w:tcW w:w="974" w:type="dxa"/>
            <w:noWrap/>
            <w:hideMark/>
          </w:tcPr>
          <w:p w14:paraId="2CB85EC3" w14:textId="629898F5" w:rsidR="00777A92" w:rsidRPr="00D66F92" w:rsidRDefault="00777A92" w:rsidP="00777A92">
            <w:pPr>
              <w:jc w:val="center"/>
              <w:rPr>
                <w:b/>
                <w:bCs/>
                <w:sz w:val="20"/>
                <w:szCs w:val="20"/>
              </w:rPr>
            </w:pPr>
            <w:r w:rsidRPr="00D66F92">
              <w:rPr>
                <w:b/>
                <w:bCs/>
                <w:sz w:val="20"/>
                <w:szCs w:val="20"/>
              </w:rPr>
              <w:t>2008</w:t>
            </w:r>
            <w:r w:rsidR="00A406D2">
              <w:rPr>
                <w:b/>
                <w:bCs/>
                <w:sz w:val="20"/>
                <w:szCs w:val="20"/>
              </w:rPr>
              <w:t>-09</w:t>
            </w:r>
          </w:p>
        </w:tc>
        <w:tc>
          <w:tcPr>
            <w:tcW w:w="1507" w:type="dxa"/>
            <w:shd w:val="clear" w:color="auto" w:fill="DBE5F1" w:themeFill="accent1" w:themeFillTint="33"/>
            <w:noWrap/>
            <w:hideMark/>
          </w:tcPr>
          <w:p w14:paraId="38183B27" w14:textId="7DBAB95A" w:rsidR="00777A92" w:rsidRPr="00D66F92" w:rsidRDefault="00777A92" w:rsidP="00777A92">
            <w:pPr>
              <w:jc w:val="right"/>
              <w:rPr>
                <w:sz w:val="20"/>
                <w:szCs w:val="20"/>
              </w:rPr>
            </w:pPr>
            <w:r w:rsidRPr="00D66F92">
              <w:rPr>
                <w:sz w:val="20"/>
                <w:szCs w:val="20"/>
              </w:rPr>
              <w:t>4.00%</w:t>
            </w:r>
          </w:p>
        </w:tc>
        <w:tc>
          <w:tcPr>
            <w:tcW w:w="1472" w:type="dxa"/>
            <w:shd w:val="clear" w:color="auto" w:fill="95B3D7" w:themeFill="accent1" w:themeFillTint="99"/>
            <w:vAlign w:val="center"/>
          </w:tcPr>
          <w:p w14:paraId="7EF42138" w14:textId="72E430FE" w:rsidR="00777A92" w:rsidRPr="00D66F92" w:rsidRDefault="00777A92" w:rsidP="00777A92">
            <w:pPr>
              <w:jc w:val="right"/>
              <w:rPr>
                <w:sz w:val="20"/>
                <w:szCs w:val="20"/>
              </w:rPr>
            </w:pPr>
            <w:r w:rsidRPr="00D66F92">
              <w:rPr>
                <w:color w:val="000000"/>
                <w:sz w:val="20"/>
                <w:szCs w:val="20"/>
                <w:lang w:eastAsia="en-AU"/>
              </w:rPr>
              <w:t>111.40</w:t>
            </w:r>
          </w:p>
        </w:tc>
        <w:tc>
          <w:tcPr>
            <w:tcW w:w="1200" w:type="dxa"/>
            <w:shd w:val="clear" w:color="auto" w:fill="95B3D7" w:themeFill="accent1" w:themeFillTint="99"/>
            <w:noWrap/>
            <w:hideMark/>
          </w:tcPr>
          <w:p w14:paraId="14A2189E" w14:textId="754BFB49" w:rsidR="00777A92" w:rsidRPr="00D66F92" w:rsidRDefault="00777A92" w:rsidP="00777A92">
            <w:pPr>
              <w:jc w:val="right"/>
              <w:rPr>
                <w:sz w:val="20"/>
                <w:szCs w:val="20"/>
              </w:rPr>
            </w:pPr>
            <w:r w:rsidRPr="00D66F92">
              <w:rPr>
                <w:sz w:val="20"/>
                <w:szCs w:val="20"/>
              </w:rPr>
              <w:t>11.00%</w:t>
            </w:r>
          </w:p>
        </w:tc>
        <w:tc>
          <w:tcPr>
            <w:tcW w:w="1284" w:type="dxa"/>
            <w:shd w:val="clear" w:color="auto" w:fill="FDE9D9" w:themeFill="accent6" w:themeFillTint="33"/>
            <w:noWrap/>
            <w:hideMark/>
          </w:tcPr>
          <w:p w14:paraId="299729E2" w14:textId="77777777" w:rsidR="00777A92" w:rsidRPr="00D66F92" w:rsidRDefault="00777A92" w:rsidP="00777A92">
            <w:pPr>
              <w:jc w:val="right"/>
              <w:rPr>
                <w:sz w:val="20"/>
                <w:szCs w:val="20"/>
              </w:rPr>
            </w:pPr>
            <w:r w:rsidRPr="00D66F92">
              <w:rPr>
                <w:sz w:val="20"/>
                <w:szCs w:val="20"/>
              </w:rPr>
              <w:t>4.00%</w:t>
            </w:r>
          </w:p>
        </w:tc>
        <w:tc>
          <w:tcPr>
            <w:tcW w:w="1379" w:type="dxa"/>
            <w:shd w:val="clear" w:color="auto" w:fill="FABF8F" w:themeFill="accent6" w:themeFillTint="99"/>
            <w:vAlign w:val="center"/>
          </w:tcPr>
          <w:p w14:paraId="7EE450A1" w14:textId="228D6C7F" w:rsidR="00777A92" w:rsidRPr="00D66F92" w:rsidRDefault="00777A92" w:rsidP="00777A92">
            <w:pPr>
              <w:jc w:val="right"/>
              <w:rPr>
                <w:sz w:val="20"/>
                <w:szCs w:val="20"/>
              </w:rPr>
            </w:pPr>
            <w:r w:rsidRPr="00D66F92">
              <w:rPr>
                <w:color w:val="000000"/>
                <w:sz w:val="20"/>
                <w:szCs w:val="20"/>
                <w:lang w:eastAsia="en-AU"/>
              </w:rPr>
              <w:t>112.49</w:t>
            </w:r>
          </w:p>
        </w:tc>
        <w:tc>
          <w:tcPr>
            <w:tcW w:w="1393" w:type="dxa"/>
            <w:shd w:val="clear" w:color="auto" w:fill="FABF8F" w:themeFill="accent6" w:themeFillTint="99"/>
            <w:noWrap/>
            <w:hideMark/>
          </w:tcPr>
          <w:p w14:paraId="272E9DB1" w14:textId="24BCED32" w:rsidR="00777A92" w:rsidRPr="00D66F92" w:rsidRDefault="00777A92" w:rsidP="00777A92">
            <w:pPr>
              <w:jc w:val="right"/>
              <w:rPr>
                <w:sz w:val="20"/>
                <w:szCs w:val="20"/>
              </w:rPr>
            </w:pPr>
            <w:r w:rsidRPr="00D66F92">
              <w:rPr>
                <w:sz w:val="20"/>
                <w:szCs w:val="20"/>
              </w:rPr>
              <w:t>12.00%</w:t>
            </w:r>
          </w:p>
        </w:tc>
      </w:tr>
      <w:tr w:rsidR="00777A92" w:rsidRPr="00D66F92" w14:paraId="734E2D67" w14:textId="77777777" w:rsidTr="00777A92">
        <w:trPr>
          <w:trHeight w:val="247"/>
        </w:trPr>
        <w:tc>
          <w:tcPr>
            <w:tcW w:w="974" w:type="dxa"/>
            <w:noWrap/>
            <w:hideMark/>
          </w:tcPr>
          <w:p w14:paraId="1EDAD601" w14:textId="57F4BA36" w:rsidR="00777A92" w:rsidRPr="00D66F92" w:rsidRDefault="00777A92" w:rsidP="00777A92">
            <w:pPr>
              <w:jc w:val="center"/>
              <w:rPr>
                <w:b/>
                <w:bCs/>
                <w:sz w:val="20"/>
                <w:szCs w:val="20"/>
              </w:rPr>
            </w:pPr>
            <w:r w:rsidRPr="00D66F92">
              <w:rPr>
                <w:b/>
                <w:bCs/>
                <w:sz w:val="20"/>
                <w:szCs w:val="20"/>
              </w:rPr>
              <w:t>2009</w:t>
            </w:r>
            <w:r w:rsidR="00A406D2">
              <w:rPr>
                <w:b/>
                <w:bCs/>
                <w:sz w:val="20"/>
                <w:szCs w:val="20"/>
              </w:rPr>
              <w:t>-10</w:t>
            </w:r>
          </w:p>
        </w:tc>
        <w:tc>
          <w:tcPr>
            <w:tcW w:w="1507" w:type="dxa"/>
            <w:shd w:val="clear" w:color="auto" w:fill="DBE5F1" w:themeFill="accent1" w:themeFillTint="33"/>
            <w:hideMark/>
          </w:tcPr>
          <w:p w14:paraId="4C50B656" w14:textId="7A21C4FD" w:rsidR="00777A92" w:rsidRPr="00D66F92" w:rsidRDefault="00777A92" w:rsidP="00777A92">
            <w:pPr>
              <w:jc w:val="right"/>
              <w:rPr>
                <w:sz w:val="20"/>
                <w:szCs w:val="20"/>
              </w:rPr>
            </w:pPr>
            <w:r w:rsidRPr="00D66F92">
              <w:rPr>
                <w:sz w:val="20"/>
                <w:szCs w:val="20"/>
              </w:rPr>
              <w:t>1.50%</w:t>
            </w:r>
          </w:p>
        </w:tc>
        <w:tc>
          <w:tcPr>
            <w:tcW w:w="1472" w:type="dxa"/>
            <w:shd w:val="clear" w:color="auto" w:fill="95B3D7" w:themeFill="accent1" w:themeFillTint="99"/>
            <w:vAlign w:val="center"/>
          </w:tcPr>
          <w:p w14:paraId="24772FE3" w14:textId="373886B2" w:rsidR="00777A92" w:rsidRPr="00D66F92" w:rsidRDefault="00777A92" w:rsidP="00777A92">
            <w:pPr>
              <w:jc w:val="right"/>
              <w:rPr>
                <w:sz w:val="20"/>
                <w:szCs w:val="20"/>
              </w:rPr>
            </w:pPr>
            <w:r w:rsidRPr="00D66F92">
              <w:rPr>
                <w:color w:val="000000"/>
                <w:sz w:val="20"/>
                <w:szCs w:val="20"/>
                <w:lang w:eastAsia="en-AU"/>
              </w:rPr>
              <w:t>113.08</w:t>
            </w:r>
          </w:p>
        </w:tc>
        <w:tc>
          <w:tcPr>
            <w:tcW w:w="1200" w:type="dxa"/>
            <w:shd w:val="clear" w:color="auto" w:fill="95B3D7" w:themeFill="accent1" w:themeFillTint="99"/>
            <w:noWrap/>
            <w:hideMark/>
          </w:tcPr>
          <w:p w14:paraId="4F6FD024" w14:textId="76AB4B5D" w:rsidR="00777A92" w:rsidRPr="00D66F92" w:rsidRDefault="00777A92" w:rsidP="00777A92">
            <w:pPr>
              <w:jc w:val="right"/>
              <w:rPr>
                <w:sz w:val="20"/>
                <w:szCs w:val="20"/>
              </w:rPr>
            </w:pPr>
            <w:r w:rsidRPr="00D66F92">
              <w:rPr>
                <w:sz w:val="20"/>
                <w:szCs w:val="20"/>
              </w:rPr>
              <w:t>12.50%</w:t>
            </w:r>
          </w:p>
        </w:tc>
        <w:tc>
          <w:tcPr>
            <w:tcW w:w="1284" w:type="dxa"/>
            <w:shd w:val="clear" w:color="auto" w:fill="FDE9D9" w:themeFill="accent6" w:themeFillTint="33"/>
            <w:hideMark/>
          </w:tcPr>
          <w:p w14:paraId="0F90D930" w14:textId="77777777" w:rsidR="00777A92" w:rsidRPr="00D66F92" w:rsidRDefault="00777A92" w:rsidP="00777A92">
            <w:pPr>
              <w:jc w:val="right"/>
              <w:rPr>
                <w:sz w:val="20"/>
                <w:szCs w:val="20"/>
              </w:rPr>
            </w:pPr>
            <w:r w:rsidRPr="00D66F92">
              <w:rPr>
                <w:sz w:val="20"/>
                <w:szCs w:val="20"/>
              </w:rPr>
              <w:t>4.00%</w:t>
            </w:r>
          </w:p>
        </w:tc>
        <w:tc>
          <w:tcPr>
            <w:tcW w:w="1379" w:type="dxa"/>
            <w:shd w:val="clear" w:color="auto" w:fill="FABF8F" w:themeFill="accent6" w:themeFillTint="99"/>
            <w:vAlign w:val="center"/>
          </w:tcPr>
          <w:p w14:paraId="5C8B530A" w14:textId="268810F1" w:rsidR="00777A92" w:rsidRPr="00D66F92" w:rsidRDefault="00777A92" w:rsidP="00777A92">
            <w:pPr>
              <w:jc w:val="right"/>
              <w:rPr>
                <w:sz w:val="20"/>
                <w:szCs w:val="20"/>
              </w:rPr>
            </w:pPr>
            <w:r w:rsidRPr="00D66F92">
              <w:rPr>
                <w:color w:val="000000"/>
                <w:sz w:val="20"/>
                <w:szCs w:val="20"/>
                <w:lang w:eastAsia="en-AU"/>
              </w:rPr>
              <w:t>116.99</w:t>
            </w:r>
          </w:p>
        </w:tc>
        <w:tc>
          <w:tcPr>
            <w:tcW w:w="1393" w:type="dxa"/>
            <w:shd w:val="clear" w:color="auto" w:fill="FABF8F" w:themeFill="accent6" w:themeFillTint="99"/>
            <w:noWrap/>
            <w:hideMark/>
          </w:tcPr>
          <w:p w14:paraId="42E8AD53" w14:textId="17F63CE8" w:rsidR="00777A92" w:rsidRPr="00D66F92" w:rsidRDefault="00777A92" w:rsidP="00777A92">
            <w:pPr>
              <w:jc w:val="right"/>
              <w:rPr>
                <w:sz w:val="20"/>
                <w:szCs w:val="20"/>
              </w:rPr>
            </w:pPr>
            <w:r w:rsidRPr="00D66F92">
              <w:rPr>
                <w:sz w:val="20"/>
                <w:szCs w:val="20"/>
              </w:rPr>
              <w:t>16.00%</w:t>
            </w:r>
          </w:p>
        </w:tc>
      </w:tr>
      <w:tr w:rsidR="00777A92" w:rsidRPr="00D66F92" w14:paraId="5BBDFFE3" w14:textId="77777777" w:rsidTr="00777A92">
        <w:trPr>
          <w:trHeight w:val="247"/>
        </w:trPr>
        <w:tc>
          <w:tcPr>
            <w:tcW w:w="974" w:type="dxa"/>
            <w:noWrap/>
            <w:hideMark/>
          </w:tcPr>
          <w:p w14:paraId="1930C9F9" w14:textId="5BFB6F96" w:rsidR="00777A92" w:rsidRPr="00D66F92" w:rsidRDefault="00777A92" w:rsidP="00777A92">
            <w:pPr>
              <w:jc w:val="center"/>
              <w:rPr>
                <w:b/>
                <w:bCs/>
                <w:sz w:val="20"/>
                <w:szCs w:val="20"/>
              </w:rPr>
            </w:pPr>
            <w:r w:rsidRPr="00D66F92">
              <w:rPr>
                <w:b/>
                <w:bCs/>
                <w:sz w:val="20"/>
                <w:szCs w:val="20"/>
              </w:rPr>
              <w:t>2010</w:t>
            </w:r>
            <w:r w:rsidR="00A406D2">
              <w:rPr>
                <w:b/>
                <w:bCs/>
                <w:sz w:val="20"/>
                <w:szCs w:val="20"/>
              </w:rPr>
              <w:t>-11</w:t>
            </w:r>
          </w:p>
        </w:tc>
        <w:tc>
          <w:tcPr>
            <w:tcW w:w="1507" w:type="dxa"/>
            <w:shd w:val="clear" w:color="auto" w:fill="DBE5F1" w:themeFill="accent1" w:themeFillTint="33"/>
            <w:hideMark/>
          </w:tcPr>
          <w:p w14:paraId="7FC10B2D" w14:textId="1697B1E9" w:rsidR="00777A92" w:rsidRPr="00D66F92" w:rsidRDefault="00777A92" w:rsidP="00777A92">
            <w:pPr>
              <w:jc w:val="right"/>
              <w:rPr>
                <w:sz w:val="20"/>
                <w:szCs w:val="20"/>
              </w:rPr>
            </w:pPr>
            <w:r w:rsidRPr="00D66F92">
              <w:rPr>
                <w:sz w:val="20"/>
                <w:szCs w:val="20"/>
              </w:rPr>
              <w:t>3.25%</w:t>
            </w:r>
          </w:p>
        </w:tc>
        <w:tc>
          <w:tcPr>
            <w:tcW w:w="1472" w:type="dxa"/>
            <w:shd w:val="clear" w:color="auto" w:fill="95B3D7" w:themeFill="accent1" w:themeFillTint="99"/>
            <w:vAlign w:val="center"/>
          </w:tcPr>
          <w:p w14:paraId="202C1114" w14:textId="0E942F69" w:rsidR="00777A92" w:rsidRPr="00D66F92" w:rsidRDefault="00777A92" w:rsidP="00777A92">
            <w:pPr>
              <w:jc w:val="right"/>
              <w:rPr>
                <w:sz w:val="20"/>
                <w:szCs w:val="20"/>
              </w:rPr>
            </w:pPr>
            <w:r w:rsidRPr="00D66F92">
              <w:rPr>
                <w:color w:val="000000"/>
                <w:sz w:val="20"/>
                <w:szCs w:val="20"/>
                <w:lang w:eastAsia="en-AU"/>
              </w:rPr>
              <w:t>116.75</w:t>
            </w:r>
          </w:p>
        </w:tc>
        <w:tc>
          <w:tcPr>
            <w:tcW w:w="1200" w:type="dxa"/>
            <w:shd w:val="clear" w:color="auto" w:fill="95B3D7" w:themeFill="accent1" w:themeFillTint="99"/>
            <w:noWrap/>
            <w:hideMark/>
          </w:tcPr>
          <w:p w14:paraId="2BD6C69E" w14:textId="0B74F01C" w:rsidR="00777A92" w:rsidRPr="00D66F92" w:rsidRDefault="00777A92" w:rsidP="00777A92">
            <w:pPr>
              <w:jc w:val="right"/>
              <w:rPr>
                <w:sz w:val="20"/>
                <w:szCs w:val="20"/>
              </w:rPr>
            </w:pPr>
            <w:r w:rsidRPr="00D66F92">
              <w:rPr>
                <w:sz w:val="20"/>
                <w:szCs w:val="20"/>
              </w:rPr>
              <w:t>15.75%</w:t>
            </w:r>
          </w:p>
        </w:tc>
        <w:tc>
          <w:tcPr>
            <w:tcW w:w="1284" w:type="dxa"/>
            <w:shd w:val="clear" w:color="auto" w:fill="FDE9D9" w:themeFill="accent6" w:themeFillTint="33"/>
            <w:hideMark/>
          </w:tcPr>
          <w:p w14:paraId="698E6C3E" w14:textId="77777777" w:rsidR="00777A92" w:rsidRPr="00D66F92" w:rsidRDefault="00777A92" w:rsidP="00777A92">
            <w:pPr>
              <w:jc w:val="right"/>
              <w:rPr>
                <w:sz w:val="20"/>
                <w:szCs w:val="20"/>
              </w:rPr>
            </w:pPr>
            <w:r w:rsidRPr="00D66F92">
              <w:rPr>
                <w:sz w:val="20"/>
                <w:szCs w:val="20"/>
              </w:rPr>
              <w:t>2.50%</w:t>
            </w:r>
          </w:p>
        </w:tc>
        <w:tc>
          <w:tcPr>
            <w:tcW w:w="1379" w:type="dxa"/>
            <w:shd w:val="clear" w:color="auto" w:fill="FABF8F" w:themeFill="accent6" w:themeFillTint="99"/>
            <w:vAlign w:val="center"/>
          </w:tcPr>
          <w:p w14:paraId="080D5BE5" w14:textId="4CFEA7FF" w:rsidR="00777A92" w:rsidRPr="00D66F92" w:rsidRDefault="00777A92" w:rsidP="00777A92">
            <w:pPr>
              <w:jc w:val="right"/>
              <w:rPr>
                <w:sz w:val="20"/>
                <w:szCs w:val="20"/>
              </w:rPr>
            </w:pPr>
            <w:r w:rsidRPr="00D66F92">
              <w:rPr>
                <w:color w:val="000000"/>
                <w:sz w:val="20"/>
                <w:szCs w:val="20"/>
                <w:lang w:eastAsia="en-AU"/>
              </w:rPr>
              <w:t>119.91</w:t>
            </w:r>
          </w:p>
        </w:tc>
        <w:tc>
          <w:tcPr>
            <w:tcW w:w="1393" w:type="dxa"/>
            <w:shd w:val="clear" w:color="auto" w:fill="FABF8F" w:themeFill="accent6" w:themeFillTint="99"/>
            <w:noWrap/>
            <w:hideMark/>
          </w:tcPr>
          <w:p w14:paraId="17DB865B" w14:textId="67FDA0C4" w:rsidR="00777A92" w:rsidRPr="00D66F92" w:rsidRDefault="00777A92" w:rsidP="00777A92">
            <w:pPr>
              <w:jc w:val="right"/>
              <w:rPr>
                <w:sz w:val="20"/>
                <w:szCs w:val="20"/>
              </w:rPr>
            </w:pPr>
            <w:r w:rsidRPr="00D66F92">
              <w:rPr>
                <w:sz w:val="20"/>
                <w:szCs w:val="20"/>
              </w:rPr>
              <w:t>18.50%</w:t>
            </w:r>
          </w:p>
        </w:tc>
      </w:tr>
      <w:tr w:rsidR="00777A92" w:rsidRPr="00D66F92" w14:paraId="3EF4CC01" w14:textId="77777777" w:rsidTr="00777A92">
        <w:trPr>
          <w:trHeight w:val="247"/>
        </w:trPr>
        <w:tc>
          <w:tcPr>
            <w:tcW w:w="974" w:type="dxa"/>
            <w:noWrap/>
            <w:hideMark/>
          </w:tcPr>
          <w:p w14:paraId="230E9576" w14:textId="3B9EF3CA" w:rsidR="00777A92" w:rsidRPr="00D66F92" w:rsidRDefault="00777A92" w:rsidP="00777A92">
            <w:pPr>
              <w:jc w:val="center"/>
              <w:rPr>
                <w:b/>
                <w:bCs/>
                <w:sz w:val="20"/>
                <w:szCs w:val="20"/>
              </w:rPr>
            </w:pPr>
            <w:r w:rsidRPr="00D66F92">
              <w:rPr>
                <w:b/>
                <w:bCs/>
                <w:sz w:val="20"/>
                <w:szCs w:val="20"/>
              </w:rPr>
              <w:t>2011</w:t>
            </w:r>
            <w:r w:rsidR="00A406D2">
              <w:rPr>
                <w:b/>
                <w:bCs/>
                <w:sz w:val="20"/>
                <w:szCs w:val="20"/>
              </w:rPr>
              <w:t>-12</w:t>
            </w:r>
          </w:p>
        </w:tc>
        <w:tc>
          <w:tcPr>
            <w:tcW w:w="1507" w:type="dxa"/>
            <w:shd w:val="clear" w:color="auto" w:fill="DBE5F1" w:themeFill="accent1" w:themeFillTint="33"/>
            <w:hideMark/>
          </w:tcPr>
          <w:p w14:paraId="01889C39" w14:textId="572E4F35" w:rsidR="00777A92" w:rsidRPr="00D66F92" w:rsidRDefault="00777A92" w:rsidP="00777A92">
            <w:pPr>
              <w:jc w:val="right"/>
              <w:rPr>
                <w:sz w:val="20"/>
                <w:szCs w:val="20"/>
              </w:rPr>
            </w:pPr>
            <w:r w:rsidRPr="00D66F92">
              <w:rPr>
                <w:sz w:val="20"/>
                <w:szCs w:val="20"/>
              </w:rPr>
              <w:t>2.50%</w:t>
            </w:r>
          </w:p>
        </w:tc>
        <w:tc>
          <w:tcPr>
            <w:tcW w:w="1472" w:type="dxa"/>
            <w:shd w:val="clear" w:color="auto" w:fill="95B3D7" w:themeFill="accent1" w:themeFillTint="99"/>
            <w:vAlign w:val="center"/>
          </w:tcPr>
          <w:p w14:paraId="427FDEE1" w14:textId="65EB9354" w:rsidR="00777A92" w:rsidRPr="00D66F92" w:rsidRDefault="00777A92" w:rsidP="00777A92">
            <w:pPr>
              <w:jc w:val="right"/>
              <w:rPr>
                <w:sz w:val="20"/>
                <w:szCs w:val="20"/>
              </w:rPr>
            </w:pPr>
            <w:r w:rsidRPr="00D66F92">
              <w:rPr>
                <w:color w:val="000000"/>
                <w:sz w:val="20"/>
                <w:szCs w:val="20"/>
                <w:lang w:eastAsia="en-AU"/>
              </w:rPr>
              <w:t>119.67</w:t>
            </w:r>
          </w:p>
        </w:tc>
        <w:tc>
          <w:tcPr>
            <w:tcW w:w="1200" w:type="dxa"/>
            <w:shd w:val="clear" w:color="auto" w:fill="95B3D7" w:themeFill="accent1" w:themeFillTint="99"/>
            <w:noWrap/>
            <w:hideMark/>
          </w:tcPr>
          <w:p w14:paraId="70DDEDB4" w14:textId="5597FADD" w:rsidR="00777A92" w:rsidRPr="00D66F92" w:rsidRDefault="00777A92" w:rsidP="00777A92">
            <w:pPr>
              <w:jc w:val="right"/>
              <w:rPr>
                <w:sz w:val="20"/>
                <w:szCs w:val="20"/>
              </w:rPr>
            </w:pPr>
            <w:r w:rsidRPr="00D66F92">
              <w:rPr>
                <w:sz w:val="20"/>
                <w:szCs w:val="20"/>
              </w:rPr>
              <w:t>18.25%</w:t>
            </w:r>
          </w:p>
        </w:tc>
        <w:tc>
          <w:tcPr>
            <w:tcW w:w="1284" w:type="dxa"/>
            <w:shd w:val="clear" w:color="auto" w:fill="FDE9D9" w:themeFill="accent6" w:themeFillTint="33"/>
            <w:hideMark/>
          </w:tcPr>
          <w:p w14:paraId="0CF4F8AC" w14:textId="77777777" w:rsidR="00777A92" w:rsidRPr="00D66F92" w:rsidRDefault="00777A92" w:rsidP="00777A92">
            <w:pPr>
              <w:jc w:val="right"/>
              <w:rPr>
                <w:sz w:val="20"/>
                <w:szCs w:val="20"/>
              </w:rPr>
            </w:pPr>
            <w:r w:rsidRPr="00D66F92">
              <w:rPr>
                <w:sz w:val="20"/>
                <w:szCs w:val="20"/>
              </w:rPr>
              <w:t>3.50%</w:t>
            </w:r>
          </w:p>
        </w:tc>
        <w:tc>
          <w:tcPr>
            <w:tcW w:w="1379" w:type="dxa"/>
            <w:shd w:val="clear" w:color="auto" w:fill="FABF8F" w:themeFill="accent6" w:themeFillTint="99"/>
            <w:vAlign w:val="center"/>
          </w:tcPr>
          <w:p w14:paraId="07B54D5C" w14:textId="607FAF30" w:rsidR="00777A92" w:rsidRPr="00D66F92" w:rsidRDefault="00777A92" w:rsidP="00777A92">
            <w:pPr>
              <w:jc w:val="right"/>
              <w:rPr>
                <w:sz w:val="20"/>
                <w:szCs w:val="20"/>
              </w:rPr>
            </w:pPr>
            <w:r w:rsidRPr="00D66F92">
              <w:rPr>
                <w:color w:val="000000"/>
                <w:sz w:val="20"/>
                <w:szCs w:val="20"/>
                <w:lang w:eastAsia="en-AU"/>
              </w:rPr>
              <w:t>124.11</w:t>
            </w:r>
          </w:p>
        </w:tc>
        <w:tc>
          <w:tcPr>
            <w:tcW w:w="1393" w:type="dxa"/>
            <w:shd w:val="clear" w:color="auto" w:fill="FABF8F" w:themeFill="accent6" w:themeFillTint="99"/>
            <w:noWrap/>
            <w:hideMark/>
          </w:tcPr>
          <w:p w14:paraId="2CF49B41" w14:textId="038B07C2" w:rsidR="00777A92" w:rsidRPr="00D66F92" w:rsidRDefault="00777A92" w:rsidP="00777A92">
            <w:pPr>
              <w:jc w:val="right"/>
              <w:rPr>
                <w:sz w:val="20"/>
                <w:szCs w:val="20"/>
              </w:rPr>
            </w:pPr>
            <w:r w:rsidRPr="00D66F92">
              <w:rPr>
                <w:sz w:val="20"/>
                <w:szCs w:val="20"/>
              </w:rPr>
              <w:t>22.00%</w:t>
            </w:r>
          </w:p>
        </w:tc>
      </w:tr>
      <w:tr w:rsidR="00777A92" w:rsidRPr="00D66F92" w14:paraId="3FA2D30D" w14:textId="77777777" w:rsidTr="00777A92">
        <w:trPr>
          <w:trHeight w:val="247"/>
        </w:trPr>
        <w:tc>
          <w:tcPr>
            <w:tcW w:w="974" w:type="dxa"/>
            <w:noWrap/>
            <w:hideMark/>
          </w:tcPr>
          <w:p w14:paraId="50430F77" w14:textId="0822D701" w:rsidR="00777A92" w:rsidRPr="00D66F92" w:rsidRDefault="00777A92" w:rsidP="00777A92">
            <w:pPr>
              <w:jc w:val="center"/>
              <w:rPr>
                <w:b/>
                <w:bCs/>
                <w:sz w:val="20"/>
                <w:szCs w:val="20"/>
              </w:rPr>
            </w:pPr>
            <w:r w:rsidRPr="00D66F92">
              <w:rPr>
                <w:b/>
                <w:bCs/>
                <w:sz w:val="20"/>
                <w:szCs w:val="20"/>
              </w:rPr>
              <w:t>2012</w:t>
            </w:r>
            <w:r w:rsidR="00A406D2">
              <w:rPr>
                <w:b/>
                <w:bCs/>
                <w:sz w:val="20"/>
                <w:szCs w:val="20"/>
              </w:rPr>
              <w:t>-13</w:t>
            </w:r>
          </w:p>
        </w:tc>
        <w:tc>
          <w:tcPr>
            <w:tcW w:w="1507" w:type="dxa"/>
            <w:shd w:val="clear" w:color="auto" w:fill="DBE5F1" w:themeFill="accent1" w:themeFillTint="33"/>
            <w:hideMark/>
          </w:tcPr>
          <w:p w14:paraId="37B51E8C" w14:textId="1EBF55C0" w:rsidR="00777A92" w:rsidRPr="00D66F92" w:rsidRDefault="00777A92" w:rsidP="00777A92">
            <w:pPr>
              <w:jc w:val="right"/>
              <w:rPr>
                <w:sz w:val="20"/>
                <w:szCs w:val="20"/>
              </w:rPr>
            </w:pPr>
            <w:r w:rsidRPr="00D66F92">
              <w:rPr>
                <w:sz w:val="20"/>
                <w:szCs w:val="20"/>
              </w:rPr>
              <w:t>3.50%</w:t>
            </w:r>
          </w:p>
        </w:tc>
        <w:tc>
          <w:tcPr>
            <w:tcW w:w="1472" w:type="dxa"/>
            <w:shd w:val="clear" w:color="auto" w:fill="95B3D7" w:themeFill="accent1" w:themeFillTint="99"/>
            <w:vAlign w:val="center"/>
          </w:tcPr>
          <w:p w14:paraId="247473B7" w14:textId="197FE299" w:rsidR="00777A92" w:rsidRPr="00D66F92" w:rsidRDefault="00777A92" w:rsidP="00777A92">
            <w:pPr>
              <w:jc w:val="right"/>
              <w:rPr>
                <w:sz w:val="20"/>
                <w:szCs w:val="20"/>
              </w:rPr>
            </w:pPr>
            <w:r w:rsidRPr="00D66F92">
              <w:rPr>
                <w:color w:val="000000"/>
                <w:sz w:val="20"/>
                <w:szCs w:val="20"/>
                <w:lang w:eastAsia="en-AU"/>
              </w:rPr>
              <w:t>123.86</w:t>
            </w:r>
          </w:p>
        </w:tc>
        <w:tc>
          <w:tcPr>
            <w:tcW w:w="1200" w:type="dxa"/>
            <w:shd w:val="clear" w:color="auto" w:fill="95B3D7" w:themeFill="accent1" w:themeFillTint="99"/>
            <w:noWrap/>
            <w:hideMark/>
          </w:tcPr>
          <w:p w14:paraId="3A61C44A" w14:textId="3E963B79" w:rsidR="00777A92" w:rsidRPr="00D66F92" w:rsidRDefault="00777A92" w:rsidP="00777A92">
            <w:pPr>
              <w:jc w:val="right"/>
              <w:rPr>
                <w:sz w:val="20"/>
                <w:szCs w:val="20"/>
              </w:rPr>
            </w:pPr>
            <w:r w:rsidRPr="00D66F92">
              <w:rPr>
                <w:sz w:val="20"/>
                <w:szCs w:val="20"/>
              </w:rPr>
              <w:t>21.75%</w:t>
            </w:r>
          </w:p>
        </w:tc>
        <w:tc>
          <w:tcPr>
            <w:tcW w:w="1284" w:type="dxa"/>
            <w:shd w:val="clear" w:color="auto" w:fill="FDE9D9" w:themeFill="accent6" w:themeFillTint="33"/>
            <w:hideMark/>
          </w:tcPr>
          <w:p w14:paraId="53B42625" w14:textId="77777777" w:rsidR="00777A92" w:rsidRPr="00D66F92" w:rsidRDefault="00777A92" w:rsidP="00777A92">
            <w:pPr>
              <w:jc w:val="right"/>
              <w:rPr>
                <w:sz w:val="20"/>
                <w:szCs w:val="20"/>
              </w:rPr>
            </w:pPr>
            <w:r w:rsidRPr="00D66F92">
              <w:rPr>
                <w:sz w:val="20"/>
                <w:szCs w:val="20"/>
              </w:rPr>
              <w:t>3.50%</w:t>
            </w:r>
          </w:p>
        </w:tc>
        <w:tc>
          <w:tcPr>
            <w:tcW w:w="1379" w:type="dxa"/>
            <w:shd w:val="clear" w:color="auto" w:fill="FABF8F" w:themeFill="accent6" w:themeFillTint="99"/>
            <w:vAlign w:val="center"/>
          </w:tcPr>
          <w:p w14:paraId="3CCD65B3" w14:textId="1D709E34" w:rsidR="00777A92" w:rsidRPr="00D66F92" w:rsidRDefault="00777A92" w:rsidP="00777A92">
            <w:pPr>
              <w:jc w:val="right"/>
              <w:rPr>
                <w:sz w:val="20"/>
                <w:szCs w:val="20"/>
              </w:rPr>
            </w:pPr>
            <w:r w:rsidRPr="00D66F92">
              <w:rPr>
                <w:color w:val="000000"/>
                <w:sz w:val="20"/>
                <w:szCs w:val="20"/>
                <w:lang w:eastAsia="en-AU"/>
              </w:rPr>
              <w:t>128.45</w:t>
            </w:r>
          </w:p>
        </w:tc>
        <w:tc>
          <w:tcPr>
            <w:tcW w:w="1393" w:type="dxa"/>
            <w:shd w:val="clear" w:color="auto" w:fill="FABF8F" w:themeFill="accent6" w:themeFillTint="99"/>
            <w:noWrap/>
            <w:hideMark/>
          </w:tcPr>
          <w:p w14:paraId="41283C6C" w14:textId="51657885" w:rsidR="00777A92" w:rsidRPr="00D66F92" w:rsidRDefault="00777A92" w:rsidP="00777A92">
            <w:pPr>
              <w:jc w:val="right"/>
              <w:rPr>
                <w:sz w:val="20"/>
                <w:szCs w:val="20"/>
              </w:rPr>
            </w:pPr>
            <w:r w:rsidRPr="00D66F92">
              <w:rPr>
                <w:sz w:val="20"/>
                <w:szCs w:val="20"/>
              </w:rPr>
              <w:t>25.50%</w:t>
            </w:r>
          </w:p>
        </w:tc>
      </w:tr>
      <w:tr w:rsidR="00777A92" w:rsidRPr="00D66F92" w14:paraId="0B8802EF" w14:textId="77777777" w:rsidTr="00777A92">
        <w:trPr>
          <w:trHeight w:val="247"/>
        </w:trPr>
        <w:tc>
          <w:tcPr>
            <w:tcW w:w="974" w:type="dxa"/>
            <w:noWrap/>
            <w:hideMark/>
          </w:tcPr>
          <w:p w14:paraId="64876F10" w14:textId="3A3115EC" w:rsidR="00777A92" w:rsidRPr="00D66F92" w:rsidRDefault="00777A92" w:rsidP="00777A92">
            <w:pPr>
              <w:jc w:val="center"/>
              <w:rPr>
                <w:b/>
                <w:bCs/>
                <w:sz w:val="20"/>
                <w:szCs w:val="20"/>
              </w:rPr>
            </w:pPr>
            <w:r w:rsidRPr="00D66F92">
              <w:rPr>
                <w:b/>
                <w:bCs/>
                <w:sz w:val="20"/>
                <w:szCs w:val="20"/>
              </w:rPr>
              <w:t>2013</w:t>
            </w:r>
            <w:r w:rsidR="00A406D2">
              <w:rPr>
                <w:b/>
                <w:bCs/>
                <w:sz w:val="20"/>
                <w:szCs w:val="20"/>
              </w:rPr>
              <w:t>-14</w:t>
            </w:r>
          </w:p>
        </w:tc>
        <w:tc>
          <w:tcPr>
            <w:tcW w:w="1507" w:type="dxa"/>
            <w:shd w:val="clear" w:color="auto" w:fill="DBE5F1" w:themeFill="accent1" w:themeFillTint="33"/>
            <w:hideMark/>
          </w:tcPr>
          <w:p w14:paraId="3ABCB4BF" w14:textId="7707FBD6" w:rsidR="00777A92" w:rsidRPr="00D66F92" w:rsidRDefault="00777A92" w:rsidP="00777A92">
            <w:pPr>
              <w:jc w:val="right"/>
              <w:rPr>
                <w:sz w:val="20"/>
                <w:szCs w:val="20"/>
              </w:rPr>
            </w:pPr>
            <w:r w:rsidRPr="00D66F92">
              <w:rPr>
                <w:sz w:val="20"/>
                <w:szCs w:val="20"/>
              </w:rPr>
              <w:t>2.00%</w:t>
            </w:r>
          </w:p>
        </w:tc>
        <w:tc>
          <w:tcPr>
            <w:tcW w:w="1472" w:type="dxa"/>
            <w:shd w:val="clear" w:color="auto" w:fill="95B3D7" w:themeFill="accent1" w:themeFillTint="99"/>
            <w:vAlign w:val="center"/>
          </w:tcPr>
          <w:p w14:paraId="55043C09" w14:textId="5A24BC55" w:rsidR="00777A92" w:rsidRPr="00D66F92" w:rsidRDefault="00777A92" w:rsidP="00777A92">
            <w:pPr>
              <w:jc w:val="right"/>
              <w:rPr>
                <w:sz w:val="20"/>
                <w:szCs w:val="20"/>
              </w:rPr>
            </w:pPr>
            <w:r w:rsidRPr="00D66F92">
              <w:rPr>
                <w:color w:val="000000"/>
                <w:sz w:val="20"/>
                <w:szCs w:val="20"/>
                <w:lang w:eastAsia="en-AU"/>
              </w:rPr>
              <w:t>126.34</w:t>
            </w:r>
          </w:p>
        </w:tc>
        <w:tc>
          <w:tcPr>
            <w:tcW w:w="1200" w:type="dxa"/>
            <w:shd w:val="clear" w:color="auto" w:fill="95B3D7" w:themeFill="accent1" w:themeFillTint="99"/>
            <w:noWrap/>
            <w:hideMark/>
          </w:tcPr>
          <w:p w14:paraId="746EC77E" w14:textId="2287F665" w:rsidR="00777A92" w:rsidRPr="00D66F92" w:rsidRDefault="00777A92" w:rsidP="00777A92">
            <w:pPr>
              <w:jc w:val="right"/>
              <w:rPr>
                <w:sz w:val="20"/>
                <w:szCs w:val="20"/>
              </w:rPr>
            </w:pPr>
            <w:r w:rsidRPr="00D66F92">
              <w:rPr>
                <w:sz w:val="20"/>
                <w:szCs w:val="20"/>
              </w:rPr>
              <w:t>23.75%</w:t>
            </w:r>
          </w:p>
        </w:tc>
        <w:tc>
          <w:tcPr>
            <w:tcW w:w="1284" w:type="dxa"/>
            <w:shd w:val="clear" w:color="auto" w:fill="FDE9D9" w:themeFill="accent6" w:themeFillTint="33"/>
            <w:hideMark/>
          </w:tcPr>
          <w:p w14:paraId="58E8313F" w14:textId="77777777" w:rsidR="00777A92" w:rsidRPr="00D66F92" w:rsidRDefault="00777A92" w:rsidP="00777A92">
            <w:pPr>
              <w:jc w:val="right"/>
              <w:rPr>
                <w:sz w:val="20"/>
                <w:szCs w:val="20"/>
              </w:rPr>
            </w:pPr>
            <w:r w:rsidRPr="00D66F92">
              <w:rPr>
                <w:sz w:val="20"/>
                <w:szCs w:val="20"/>
              </w:rPr>
              <w:t>2.00%</w:t>
            </w:r>
          </w:p>
        </w:tc>
        <w:tc>
          <w:tcPr>
            <w:tcW w:w="1379" w:type="dxa"/>
            <w:shd w:val="clear" w:color="auto" w:fill="FABF8F" w:themeFill="accent6" w:themeFillTint="99"/>
            <w:vAlign w:val="center"/>
          </w:tcPr>
          <w:p w14:paraId="19453031" w14:textId="0471FB99" w:rsidR="00777A92" w:rsidRPr="00D66F92" w:rsidRDefault="00777A92" w:rsidP="00777A92">
            <w:pPr>
              <w:jc w:val="right"/>
              <w:rPr>
                <w:sz w:val="20"/>
                <w:szCs w:val="20"/>
              </w:rPr>
            </w:pPr>
            <w:r w:rsidRPr="00D66F92">
              <w:rPr>
                <w:color w:val="000000"/>
                <w:sz w:val="20"/>
                <w:szCs w:val="20"/>
                <w:lang w:eastAsia="en-AU"/>
              </w:rPr>
              <w:t>131.02</w:t>
            </w:r>
          </w:p>
        </w:tc>
        <w:tc>
          <w:tcPr>
            <w:tcW w:w="1393" w:type="dxa"/>
            <w:shd w:val="clear" w:color="auto" w:fill="FABF8F" w:themeFill="accent6" w:themeFillTint="99"/>
            <w:noWrap/>
            <w:hideMark/>
          </w:tcPr>
          <w:p w14:paraId="5EB61D1E" w14:textId="2EC366A2" w:rsidR="00777A92" w:rsidRPr="00D66F92" w:rsidRDefault="00777A92" w:rsidP="00777A92">
            <w:pPr>
              <w:jc w:val="right"/>
              <w:rPr>
                <w:sz w:val="20"/>
                <w:szCs w:val="20"/>
              </w:rPr>
            </w:pPr>
            <w:r w:rsidRPr="00D66F92">
              <w:rPr>
                <w:sz w:val="20"/>
                <w:szCs w:val="20"/>
              </w:rPr>
              <w:t>27.50%</w:t>
            </w:r>
          </w:p>
        </w:tc>
      </w:tr>
      <w:tr w:rsidR="00777A92" w:rsidRPr="00D66F92" w14:paraId="139B2834" w14:textId="77777777" w:rsidTr="00777A92">
        <w:trPr>
          <w:trHeight w:val="247"/>
        </w:trPr>
        <w:tc>
          <w:tcPr>
            <w:tcW w:w="974" w:type="dxa"/>
            <w:noWrap/>
            <w:hideMark/>
          </w:tcPr>
          <w:p w14:paraId="7BE5480A" w14:textId="1E1F84A9" w:rsidR="00777A92" w:rsidRPr="00D66F92" w:rsidRDefault="00777A92" w:rsidP="00777A92">
            <w:pPr>
              <w:jc w:val="center"/>
              <w:rPr>
                <w:b/>
                <w:bCs/>
                <w:sz w:val="20"/>
                <w:szCs w:val="20"/>
              </w:rPr>
            </w:pPr>
            <w:r w:rsidRPr="00D66F92">
              <w:rPr>
                <w:b/>
                <w:bCs/>
                <w:sz w:val="20"/>
                <w:szCs w:val="20"/>
              </w:rPr>
              <w:t>2014</w:t>
            </w:r>
            <w:r w:rsidR="00A406D2">
              <w:rPr>
                <w:b/>
                <w:bCs/>
                <w:sz w:val="20"/>
                <w:szCs w:val="20"/>
              </w:rPr>
              <w:t>-15</w:t>
            </w:r>
          </w:p>
        </w:tc>
        <w:tc>
          <w:tcPr>
            <w:tcW w:w="1507" w:type="dxa"/>
            <w:shd w:val="clear" w:color="auto" w:fill="DBE5F1" w:themeFill="accent1" w:themeFillTint="33"/>
            <w:hideMark/>
          </w:tcPr>
          <w:p w14:paraId="260990D6" w14:textId="48112806" w:rsidR="00777A92" w:rsidRPr="00D66F92" w:rsidRDefault="00777A92" w:rsidP="00777A92">
            <w:pPr>
              <w:jc w:val="right"/>
              <w:rPr>
                <w:sz w:val="20"/>
                <w:szCs w:val="20"/>
              </w:rPr>
            </w:pPr>
            <w:r w:rsidRPr="00D66F92">
              <w:rPr>
                <w:sz w:val="20"/>
                <w:szCs w:val="20"/>
              </w:rPr>
              <w:t>2.00%</w:t>
            </w:r>
          </w:p>
        </w:tc>
        <w:tc>
          <w:tcPr>
            <w:tcW w:w="1472" w:type="dxa"/>
            <w:shd w:val="clear" w:color="auto" w:fill="95B3D7" w:themeFill="accent1" w:themeFillTint="99"/>
            <w:vAlign w:val="center"/>
          </w:tcPr>
          <w:p w14:paraId="2E9BB028" w14:textId="4E59DDEC" w:rsidR="00777A92" w:rsidRPr="00D66F92" w:rsidRDefault="00777A92" w:rsidP="00777A92">
            <w:pPr>
              <w:jc w:val="right"/>
              <w:rPr>
                <w:sz w:val="20"/>
                <w:szCs w:val="20"/>
              </w:rPr>
            </w:pPr>
            <w:r w:rsidRPr="00D66F92">
              <w:rPr>
                <w:color w:val="000000"/>
                <w:sz w:val="20"/>
                <w:szCs w:val="20"/>
                <w:lang w:eastAsia="en-AU"/>
              </w:rPr>
              <w:t>128.86</w:t>
            </w:r>
          </w:p>
        </w:tc>
        <w:tc>
          <w:tcPr>
            <w:tcW w:w="1200" w:type="dxa"/>
            <w:shd w:val="clear" w:color="auto" w:fill="95B3D7" w:themeFill="accent1" w:themeFillTint="99"/>
            <w:noWrap/>
            <w:hideMark/>
          </w:tcPr>
          <w:p w14:paraId="5806161E" w14:textId="1E7FF9B7" w:rsidR="00777A92" w:rsidRPr="00D66F92" w:rsidRDefault="00777A92" w:rsidP="00777A92">
            <w:pPr>
              <w:jc w:val="right"/>
              <w:rPr>
                <w:sz w:val="20"/>
                <w:szCs w:val="20"/>
              </w:rPr>
            </w:pPr>
            <w:r w:rsidRPr="00D66F92">
              <w:rPr>
                <w:sz w:val="20"/>
                <w:szCs w:val="20"/>
              </w:rPr>
              <w:t>25.75%</w:t>
            </w:r>
          </w:p>
        </w:tc>
        <w:tc>
          <w:tcPr>
            <w:tcW w:w="1284" w:type="dxa"/>
            <w:shd w:val="clear" w:color="auto" w:fill="FDE9D9" w:themeFill="accent6" w:themeFillTint="33"/>
            <w:hideMark/>
          </w:tcPr>
          <w:p w14:paraId="7C8B5576" w14:textId="3D6BACC7" w:rsidR="00777A92" w:rsidRPr="00D66F92" w:rsidRDefault="00777A92" w:rsidP="00777A92">
            <w:pPr>
              <w:jc w:val="right"/>
              <w:rPr>
                <w:sz w:val="20"/>
                <w:szCs w:val="20"/>
              </w:rPr>
            </w:pPr>
            <w:r w:rsidRPr="00D66F92">
              <w:rPr>
                <w:sz w:val="20"/>
                <w:szCs w:val="20"/>
              </w:rPr>
              <w:t>3.0</w:t>
            </w:r>
            <w:r w:rsidR="00A406D2">
              <w:rPr>
                <w:sz w:val="20"/>
                <w:szCs w:val="20"/>
              </w:rPr>
              <w:t>2</w:t>
            </w:r>
            <w:r w:rsidRPr="00D66F92">
              <w:rPr>
                <w:sz w:val="20"/>
                <w:szCs w:val="20"/>
              </w:rPr>
              <w:t>%</w:t>
            </w:r>
          </w:p>
        </w:tc>
        <w:tc>
          <w:tcPr>
            <w:tcW w:w="1379" w:type="dxa"/>
            <w:shd w:val="clear" w:color="auto" w:fill="FABF8F" w:themeFill="accent6" w:themeFillTint="99"/>
            <w:vAlign w:val="center"/>
          </w:tcPr>
          <w:p w14:paraId="292E28A9" w14:textId="66D020F0" w:rsidR="00777A92" w:rsidRPr="00D66F92" w:rsidRDefault="005969EE" w:rsidP="00777A92">
            <w:pPr>
              <w:jc w:val="right"/>
              <w:rPr>
                <w:sz w:val="20"/>
                <w:szCs w:val="20"/>
              </w:rPr>
            </w:pPr>
            <w:r>
              <w:rPr>
                <w:color w:val="000000"/>
                <w:sz w:val="20"/>
                <w:szCs w:val="20"/>
                <w:lang w:eastAsia="en-AU"/>
              </w:rPr>
              <w:t>139.98</w:t>
            </w:r>
          </w:p>
        </w:tc>
        <w:tc>
          <w:tcPr>
            <w:tcW w:w="1393" w:type="dxa"/>
            <w:shd w:val="clear" w:color="auto" w:fill="FABF8F" w:themeFill="accent6" w:themeFillTint="99"/>
            <w:noWrap/>
            <w:hideMark/>
          </w:tcPr>
          <w:p w14:paraId="085A8489" w14:textId="598C7E70" w:rsidR="00777A92" w:rsidRPr="00D66F92" w:rsidRDefault="00777A92" w:rsidP="00777A92">
            <w:pPr>
              <w:jc w:val="right"/>
              <w:rPr>
                <w:sz w:val="20"/>
                <w:szCs w:val="20"/>
              </w:rPr>
            </w:pPr>
            <w:r w:rsidRPr="00D66F92">
              <w:rPr>
                <w:sz w:val="20"/>
                <w:szCs w:val="20"/>
              </w:rPr>
              <w:t>30.5</w:t>
            </w:r>
            <w:r w:rsidR="00A406D2">
              <w:rPr>
                <w:sz w:val="20"/>
                <w:szCs w:val="20"/>
              </w:rPr>
              <w:t>2</w:t>
            </w:r>
            <w:r w:rsidRPr="00D66F92">
              <w:rPr>
                <w:sz w:val="20"/>
                <w:szCs w:val="20"/>
              </w:rPr>
              <w:t>%</w:t>
            </w:r>
          </w:p>
        </w:tc>
      </w:tr>
      <w:tr w:rsidR="00777A92" w:rsidRPr="00D66F92" w14:paraId="3A7A46E1" w14:textId="77777777" w:rsidTr="00777A92">
        <w:trPr>
          <w:trHeight w:val="247"/>
        </w:trPr>
        <w:tc>
          <w:tcPr>
            <w:tcW w:w="974" w:type="dxa"/>
            <w:noWrap/>
            <w:hideMark/>
          </w:tcPr>
          <w:p w14:paraId="426221B7" w14:textId="02053DC6" w:rsidR="00777A92" w:rsidRPr="00D66F92" w:rsidRDefault="00777A92" w:rsidP="00777A92">
            <w:pPr>
              <w:jc w:val="center"/>
              <w:rPr>
                <w:b/>
                <w:bCs/>
                <w:sz w:val="20"/>
                <w:szCs w:val="20"/>
              </w:rPr>
            </w:pPr>
            <w:r w:rsidRPr="00D66F92">
              <w:rPr>
                <w:b/>
                <w:bCs/>
                <w:sz w:val="20"/>
                <w:szCs w:val="20"/>
              </w:rPr>
              <w:t>2015</w:t>
            </w:r>
            <w:r w:rsidR="00A406D2">
              <w:rPr>
                <w:b/>
                <w:bCs/>
                <w:sz w:val="20"/>
                <w:szCs w:val="20"/>
              </w:rPr>
              <w:t>-16</w:t>
            </w:r>
          </w:p>
        </w:tc>
        <w:tc>
          <w:tcPr>
            <w:tcW w:w="1507" w:type="dxa"/>
            <w:shd w:val="clear" w:color="auto" w:fill="DBE5F1" w:themeFill="accent1" w:themeFillTint="33"/>
            <w:hideMark/>
          </w:tcPr>
          <w:p w14:paraId="49B4469E" w14:textId="13FC7D6D" w:rsidR="00777A92" w:rsidRPr="00D66F92" w:rsidRDefault="00777A92" w:rsidP="00777A92">
            <w:pPr>
              <w:jc w:val="right"/>
              <w:rPr>
                <w:sz w:val="20"/>
                <w:szCs w:val="20"/>
              </w:rPr>
            </w:pPr>
            <w:r w:rsidRPr="00D66F92">
              <w:rPr>
                <w:sz w:val="20"/>
                <w:szCs w:val="20"/>
              </w:rPr>
              <w:t>2.50%</w:t>
            </w:r>
          </w:p>
        </w:tc>
        <w:tc>
          <w:tcPr>
            <w:tcW w:w="1472" w:type="dxa"/>
            <w:shd w:val="clear" w:color="auto" w:fill="95B3D7" w:themeFill="accent1" w:themeFillTint="99"/>
            <w:vAlign w:val="center"/>
          </w:tcPr>
          <w:p w14:paraId="1498888D" w14:textId="68A386CA" w:rsidR="00777A92" w:rsidRPr="00D66F92" w:rsidRDefault="00777A92" w:rsidP="00777A92">
            <w:pPr>
              <w:jc w:val="right"/>
              <w:rPr>
                <w:sz w:val="20"/>
                <w:szCs w:val="20"/>
              </w:rPr>
            </w:pPr>
            <w:r w:rsidRPr="00D66F92">
              <w:rPr>
                <w:color w:val="000000"/>
                <w:sz w:val="20"/>
                <w:szCs w:val="20"/>
                <w:lang w:eastAsia="en-AU"/>
              </w:rPr>
              <w:t>132.08</w:t>
            </w:r>
          </w:p>
        </w:tc>
        <w:tc>
          <w:tcPr>
            <w:tcW w:w="1200" w:type="dxa"/>
            <w:shd w:val="clear" w:color="auto" w:fill="95B3D7" w:themeFill="accent1" w:themeFillTint="99"/>
            <w:noWrap/>
            <w:hideMark/>
          </w:tcPr>
          <w:p w14:paraId="2405ECC6" w14:textId="25C1BDBB" w:rsidR="00777A92" w:rsidRPr="00D66F92" w:rsidRDefault="00777A92" w:rsidP="00777A92">
            <w:pPr>
              <w:jc w:val="right"/>
              <w:rPr>
                <w:sz w:val="20"/>
                <w:szCs w:val="20"/>
              </w:rPr>
            </w:pPr>
            <w:r w:rsidRPr="00D66F92">
              <w:rPr>
                <w:sz w:val="20"/>
                <w:szCs w:val="20"/>
              </w:rPr>
              <w:t>28.25%</w:t>
            </w:r>
          </w:p>
        </w:tc>
        <w:tc>
          <w:tcPr>
            <w:tcW w:w="1284" w:type="dxa"/>
            <w:shd w:val="clear" w:color="auto" w:fill="FDE9D9" w:themeFill="accent6" w:themeFillTint="33"/>
            <w:hideMark/>
          </w:tcPr>
          <w:p w14:paraId="12592573" w14:textId="7DDB7410" w:rsidR="00777A92" w:rsidRPr="00D66F92" w:rsidRDefault="00777A92" w:rsidP="00777A92">
            <w:pPr>
              <w:jc w:val="right"/>
              <w:rPr>
                <w:sz w:val="20"/>
                <w:szCs w:val="20"/>
              </w:rPr>
            </w:pPr>
            <w:r w:rsidRPr="00D66F92">
              <w:rPr>
                <w:sz w:val="20"/>
                <w:szCs w:val="20"/>
              </w:rPr>
              <w:t>3.0</w:t>
            </w:r>
            <w:r w:rsidR="00A406D2">
              <w:rPr>
                <w:sz w:val="20"/>
                <w:szCs w:val="20"/>
              </w:rPr>
              <w:t>2</w:t>
            </w:r>
            <w:r w:rsidRPr="00D66F92">
              <w:rPr>
                <w:sz w:val="20"/>
                <w:szCs w:val="20"/>
              </w:rPr>
              <w:t>%</w:t>
            </w:r>
          </w:p>
        </w:tc>
        <w:tc>
          <w:tcPr>
            <w:tcW w:w="1379" w:type="dxa"/>
            <w:shd w:val="clear" w:color="auto" w:fill="FABF8F" w:themeFill="accent6" w:themeFillTint="99"/>
            <w:vAlign w:val="center"/>
          </w:tcPr>
          <w:p w14:paraId="62C97794" w14:textId="670080CC" w:rsidR="00777A92" w:rsidRPr="00D66F92" w:rsidRDefault="00777A92" w:rsidP="00777A92">
            <w:pPr>
              <w:jc w:val="right"/>
              <w:rPr>
                <w:sz w:val="20"/>
                <w:szCs w:val="20"/>
              </w:rPr>
            </w:pPr>
            <w:r w:rsidRPr="00D66F92">
              <w:rPr>
                <w:color w:val="000000"/>
                <w:sz w:val="20"/>
                <w:szCs w:val="20"/>
                <w:lang w:eastAsia="en-AU"/>
              </w:rPr>
              <w:t>139.0</w:t>
            </w:r>
            <w:r w:rsidR="00A406D2">
              <w:rPr>
                <w:color w:val="000000"/>
                <w:sz w:val="20"/>
                <w:szCs w:val="20"/>
                <w:lang w:eastAsia="en-AU"/>
              </w:rPr>
              <w:t>5</w:t>
            </w:r>
          </w:p>
        </w:tc>
        <w:tc>
          <w:tcPr>
            <w:tcW w:w="1393" w:type="dxa"/>
            <w:shd w:val="clear" w:color="auto" w:fill="FABF8F" w:themeFill="accent6" w:themeFillTint="99"/>
            <w:noWrap/>
            <w:hideMark/>
          </w:tcPr>
          <w:p w14:paraId="00FE6521" w14:textId="1959FD09" w:rsidR="00777A92" w:rsidRPr="00D66F92" w:rsidRDefault="00777A92" w:rsidP="00777A92">
            <w:pPr>
              <w:jc w:val="right"/>
              <w:rPr>
                <w:sz w:val="20"/>
                <w:szCs w:val="20"/>
              </w:rPr>
            </w:pPr>
            <w:r w:rsidRPr="00D66F92">
              <w:rPr>
                <w:sz w:val="20"/>
                <w:szCs w:val="20"/>
              </w:rPr>
              <w:t>33.5</w:t>
            </w:r>
            <w:r w:rsidR="00A406D2">
              <w:rPr>
                <w:sz w:val="20"/>
                <w:szCs w:val="20"/>
              </w:rPr>
              <w:t>4</w:t>
            </w:r>
            <w:r w:rsidRPr="00D66F92">
              <w:rPr>
                <w:sz w:val="20"/>
                <w:szCs w:val="20"/>
              </w:rPr>
              <w:t>%</w:t>
            </w:r>
          </w:p>
        </w:tc>
      </w:tr>
      <w:tr w:rsidR="00777A92" w:rsidRPr="00D66F92" w14:paraId="03B6619B" w14:textId="77777777" w:rsidTr="00777A92">
        <w:trPr>
          <w:trHeight w:val="247"/>
        </w:trPr>
        <w:tc>
          <w:tcPr>
            <w:tcW w:w="974" w:type="dxa"/>
            <w:noWrap/>
            <w:hideMark/>
          </w:tcPr>
          <w:p w14:paraId="7FFDFFCD" w14:textId="6788B143" w:rsidR="00777A92" w:rsidRPr="00D66F92" w:rsidRDefault="00777A92" w:rsidP="00777A92">
            <w:pPr>
              <w:jc w:val="center"/>
              <w:rPr>
                <w:b/>
                <w:bCs/>
                <w:sz w:val="20"/>
                <w:szCs w:val="20"/>
              </w:rPr>
            </w:pPr>
            <w:r w:rsidRPr="00D66F92">
              <w:rPr>
                <w:b/>
                <w:bCs/>
                <w:sz w:val="20"/>
                <w:szCs w:val="20"/>
              </w:rPr>
              <w:t>2016</w:t>
            </w:r>
            <w:r w:rsidR="00A406D2">
              <w:rPr>
                <w:b/>
                <w:bCs/>
                <w:sz w:val="20"/>
                <w:szCs w:val="20"/>
              </w:rPr>
              <w:t>-17</w:t>
            </w:r>
          </w:p>
        </w:tc>
        <w:tc>
          <w:tcPr>
            <w:tcW w:w="1507" w:type="dxa"/>
            <w:shd w:val="clear" w:color="auto" w:fill="DBE5F1" w:themeFill="accent1" w:themeFillTint="33"/>
            <w:hideMark/>
          </w:tcPr>
          <w:p w14:paraId="4E4B4D83" w14:textId="245E87B3" w:rsidR="00777A92" w:rsidRPr="00D66F92" w:rsidRDefault="00777A92" w:rsidP="00777A92">
            <w:pPr>
              <w:jc w:val="right"/>
              <w:rPr>
                <w:sz w:val="20"/>
                <w:szCs w:val="20"/>
              </w:rPr>
            </w:pPr>
            <w:r w:rsidRPr="00D66F92">
              <w:rPr>
                <w:sz w:val="20"/>
                <w:szCs w:val="20"/>
              </w:rPr>
              <w:t>2.50%</w:t>
            </w:r>
          </w:p>
        </w:tc>
        <w:tc>
          <w:tcPr>
            <w:tcW w:w="1472" w:type="dxa"/>
            <w:shd w:val="clear" w:color="auto" w:fill="95B3D7" w:themeFill="accent1" w:themeFillTint="99"/>
            <w:vAlign w:val="center"/>
          </w:tcPr>
          <w:p w14:paraId="3D78E0AA" w14:textId="6476EE57" w:rsidR="00777A92" w:rsidRPr="00D66F92" w:rsidRDefault="00777A92" w:rsidP="00777A92">
            <w:pPr>
              <w:jc w:val="right"/>
              <w:rPr>
                <w:sz w:val="20"/>
                <w:szCs w:val="20"/>
              </w:rPr>
            </w:pPr>
            <w:r w:rsidRPr="00D66F92">
              <w:rPr>
                <w:color w:val="000000"/>
                <w:sz w:val="20"/>
                <w:szCs w:val="20"/>
                <w:lang w:eastAsia="en-AU"/>
              </w:rPr>
              <w:t>135.39</w:t>
            </w:r>
          </w:p>
        </w:tc>
        <w:tc>
          <w:tcPr>
            <w:tcW w:w="1200" w:type="dxa"/>
            <w:shd w:val="clear" w:color="auto" w:fill="95B3D7" w:themeFill="accent1" w:themeFillTint="99"/>
            <w:noWrap/>
            <w:hideMark/>
          </w:tcPr>
          <w:p w14:paraId="39E9861D" w14:textId="3ABB45FD" w:rsidR="00777A92" w:rsidRPr="00D66F92" w:rsidRDefault="00777A92" w:rsidP="00777A92">
            <w:pPr>
              <w:jc w:val="right"/>
              <w:rPr>
                <w:sz w:val="20"/>
                <w:szCs w:val="20"/>
              </w:rPr>
            </w:pPr>
            <w:r w:rsidRPr="00D66F92">
              <w:rPr>
                <w:sz w:val="20"/>
                <w:szCs w:val="20"/>
              </w:rPr>
              <w:t>30.75%</w:t>
            </w:r>
          </w:p>
        </w:tc>
        <w:tc>
          <w:tcPr>
            <w:tcW w:w="1284" w:type="dxa"/>
            <w:shd w:val="clear" w:color="auto" w:fill="FDE9D9" w:themeFill="accent6" w:themeFillTint="33"/>
            <w:hideMark/>
          </w:tcPr>
          <w:p w14:paraId="4ECAD31C" w14:textId="2C4CFD77" w:rsidR="00777A92" w:rsidRPr="00D66F92" w:rsidRDefault="00777A92" w:rsidP="00777A92">
            <w:pPr>
              <w:jc w:val="right"/>
              <w:rPr>
                <w:sz w:val="20"/>
                <w:szCs w:val="20"/>
              </w:rPr>
            </w:pPr>
            <w:r w:rsidRPr="00D66F92">
              <w:rPr>
                <w:sz w:val="20"/>
                <w:szCs w:val="20"/>
              </w:rPr>
              <w:t>3.0</w:t>
            </w:r>
            <w:r w:rsidR="00A406D2">
              <w:rPr>
                <w:sz w:val="20"/>
                <w:szCs w:val="20"/>
              </w:rPr>
              <w:t>2</w:t>
            </w:r>
            <w:r w:rsidRPr="00D66F92">
              <w:rPr>
                <w:sz w:val="20"/>
                <w:szCs w:val="20"/>
              </w:rPr>
              <w:t>%</w:t>
            </w:r>
          </w:p>
        </w:tc>
        <w:tc>
          <w:tcPr>
            <w:tcW w:w="1379" w:type="dxa"/>
            <w:shd w:val="clear" w:color="auto" w:fill="FABF8F" w:themeFill="accent6" w:themeFillTint="99"/>
            <w:vAlign w:val="center"/>
          </w:tcPr>
          <w:p w14:paraId="451B4A7E" w14:textId="20A484BD" w:rsidR="00777A92" w:rsidRPr="00D66F92" w:rsidRDefault="00777A92" w:rsidP="00777A92">
            <w:pPr>
              <w:jc w:val="right"/>
              <w:rPr>
                <w:sz w:val="20"/>
                <w:szCs w:val="20"/>
              </w:rPr>
            </w:pPr>
            <w:r w:rsidRPr="00D66F92">
              <w:rPr>
                <w:color w:val="000000"/>
                <w:sz w:val="20"/>
                <w:szCs w:val="20"/>
                <w:lang w:eastAsia="en-AU"/>
              </w:rPr>
              <w:t>143.</w:t>
            </w:r>
            <w:r w:rsidR="00A406D2">
              <w:rPr>
                <w:color w:val="000000"/>
                <w:sz w:val="20"/>
                <w:szCs w:val="20"/>
                <w:lang w:eastAsia="en-AU"/>
              </w:rPr>
              <w:t>25</w:t>
            </w:r>
          </w:p>
        </w:tc>
        <w:tc>
          <w:tcPr>
            <w:tcW w:w="1393" w:type="dxa"/>
            <w:shd w:val="clear" w:color="auto" w:fill="FABF8F" w:themeFill="accent6" w:themeFillTint="99"/>
            <w:noWrap/>
            <w:hideMark/>
          </w:tcPr>
          <w:p w14:paraId="5611CB70" w14:textId="62851D93" w:rsidR="00777A92" w:rsidRPr="00D66F92" w:rsidRDefault="00777A92" w:rsidP="00777A92">
            <w:pPr>
              <w:jc w:val="right"/>
              <w:rPr>
                <w:sz w:val="20"/>
                <w:szCs w:val="20"/>
              </w:rPr>
            </w:pPr>
            <w:r w:rsidRPr="00D66F92">
              <w:rPr>
                <w:sz w:val="20"/>
                <w:szCs w:val="20"/>
              </w:rPr>
              <w:t>36.5</w:t>
            </w:r>
            <w:r w:rsidR="00A406D2">
              <w:rPr>
                <w:sz w:val="20"/>
                <w:szCs w:val="20"/>
              </w:rPr>
              <w:t>6</w:t>
            </w:r>
            <w:r w:rsidRPr="00D66F92">
              <w:rPr>
                <w:sz w:val="20"/>
                <w:szCs w:val="20"/>
              </w:rPr>
              <w:t>%</w:t>
            </w:r>
          </w:p>
        </w:tc>
      </w:tr>
      <w:tr w:rsidR="00777A92" w:rsidRPr="00D66F92" w14:paraId="6CB98676" w14:textId="77777777" w:rsidTr="00777A92">
        <w:trPr>
          <w:trHeight w:val="247"/>
        </w:trPr>
        <w:tc>
          <w:tcPr>
            <w:tcW w:w="974" w:type="dxa"/>
            <w:noWrap/>
          </w:tcPr>
          <w:p w14:paraId="5C01AA0C" w14:textId="77777777" w:rsidR="00777A92" w:rsidRPr="00D66F92" w:rsidRDefault="00A33A5E" w:rsidP="00777A92">
            <w:pPr>
              <w:jc w:val="center"/>
              <w:rPr>
                <w:b/>
                <w:bCs/>
                <w:sz w:val="20"/>
                <w:szCs w:val="20"/>
              </w:rPr>
            </w:pPr>
            <w:r w:rsidRPr="00D66F92">
              <w:rPr>
                <w:b/>
                <w:bCs/>
                <w:sz w:val="20"/>
                <w:szCs w:val="20"/>
              </w:rPr>
              <w:t>Sub-</w:t>
            </w:r>
            <w:r w:rsidR="00777A92" w:rsidRPr="00D66F92">
              <w:rPr>
                <w:b/>
                <w:bCs/>
                <w:sz w:val="20"/>
                <w:szCs w:val="20"/>
              </w:rPr>
              <w:t>Total</w:t>
            </w:r>
          </w:p>
          <w:p w14:paraId="0AF553B7" w14:textId="65B25FB8" w:rsidR="00777A92" w:rsidRPr="00D66F92" w:rsidRDefault="00777A92" w:rsidP="00777A92">
            <w:pPr>
              <w:jc w:val="center"/>
              <w:rPr>
                <w:b/>
                <w:bCs/>
                <w:sz w:val="20"/>
                <w:szCs w:val="20"/>
              </w:rPr>
            </w:pPr>
            <w:r w:rsidRPr="00D66F92">
              <w:rPr>
                <w:bCs/>
                <w:sz w:val="20"/>
                <w:szCs w:val="20"/>
              </w:rPr>
              <w:t>2006-2016</w:t>
            </w:r>
          </w:p>
        </w:tc>
        <w:tc>
          <w:tcPr>
            <w:tcW w:w="1507" w:type="dxa"/>
            <w:shd w:val="clear" w:color="auto" w:fill="DBE5F1" w:themeFill="accent1" w:themeFillTint="33"/>
            <w:noWrap/>
          </w:tcPr>
          <w:p w14:paraId="009954E6" w14:textId="11267C7A" w:rsidR="00777A92" w:rsidRPr="00D66F92" w:rsidRDefault="00777A92" w:rsidP="00777A92">
            <w:pPr>
              <w:jc w:val="right"/>
              <w:rPr>
                <w:bCs/>
                <w:sz w:val="20"/>
                <w:szCs w:val="20"/>
              </w:rPr>
            </w:pPr>
            <w:r w:rsidRPr="00D66F92">
              <w:rPr>
                <w:b/>
                <w:sz w:val="20"/>
                <w:szCs w:val="20"/>
              </w:rPr>
              <w:t>30.75%</w:t>
            </w:r>
          </w:p>
        </w:tc>
        <w:tc>
          <w:tcPr>
            <w:tcW w:w="1472" w:type="dxa"/>
            <w:shd w:val="clear" w:color="auto" w:fill="95B3D7" w:themeFill="accent1" w:themeFillTint="99"/>
          </w:tcPr>
          <w:p w14:paraId="47C11C3D" w14:textId="0D1FD72B" w:rsidR="00777A92" w:rsidRPr="00D66F92" w:rsidRDefault="00777A92" w:rsidP="00777A92">
            <w:pPr>
              <w:jc w:val="right"/>
              <w:rPr>
                <w:bCs/>
                <w:sz w:val="20"/>
                <w:szCs w:val="20"/>
              </w:rPr>
            </w:pPr>
            <w:r w:rsidRPr="00D66F92">
              <w:rPr>
                <w:b/>
                <w:bCs/>
                <w:color w:val="C00000"/>
                <w:sz w:val="20"/>
                <w:szCs w:val="20"/>
                <w:lang w:eastAsia="en-AU"/>
              </w:rPr>
              <w:t>35.39%</w:t>
            </w:r>
          </w:p>
        </w:tc>
        <w:tc>
          <w:tcPr>
            <w:tcW w:w="1200" w:type="dxa"/>
            <w:shd w:val="clear" w:color="auto" w:fill="95B3D7" w:themeFill="accent1" w:themeFillTint="99"/>
            <w:noWrap/>
          </w:tcPr>
          <w:p w14:paraId="155A9EA0" w14:textId="614FA6DB" w:rsidR="00777A92" w:rsidRPr="00D66F92" w:rsidRDefault="00777A92" w:rsidP="00777A92">
            <w:pPr>
              <w:jc w:val="right"/>
              <w:rPr>
                <w:bCs/>
                <w:sz w:val="20"/>
                <w:szCs w:val="20"/>
              </w:rPr>
            </w:pPr>
          </w:p>
        </w:tc>
        <w:tc>
          <w:tcPr>
            <w:tcW w:w="1284" w:type="dxa"/>
            <w:shd w:val="clear" w:color="auto" w:fill="FDE9D9" w:themeFill="accent6" w:themeFillTint="33"/>
            <w:noWrap/>
          </w:tcPr>
          <w:p w14:paraId="508413E7" w14:textId="27CC8538" w:rsidR="00777A92" w:rsidRPr="00D66F92" w:rsidRDefault="00777A92" w:rsidP="00777A92">
            <w:pPr>
              <w:jc w:val="right"/>
              <w:rPr>
                <w:bCs/>
                <w:sz w:val="20"/>
                <w:szCs w:val="20"/>
              </w:rPr>
            </w:pPr>
            <w:r w:rsidRPr="00D66F92">
              <w:rPr>
                <w:b/>
                <w:sz w:val="20"/>
                <w:szCs w:val="20"/>
              </w:rPr>
              <w:t>36.5</w:t>
            </w:r>
            <w:r w:rsidR="00A406D2">
              <w:rPr>
                <w:b/>
                <w:sz w:val="20"/>
                <w:szCs w:val="20"/>
              </w:rPr>
              <w:t>6</w:t>
            </w:r>
            <w:r w:rsidRPr="00D66F92">
              <w:rPr>
                <w:b/>
                <w:sz w:val="20"/>
                <w:szCs w:val="20"/>
              </w:rPr>
              <w:t>%</w:t>
            </w:r>
          </w:p>
        </w:tc>
        <w:tc>
          <w:tcPr>
            <w:tcW w:w="1379" w:type="dxa"/>
            <w:shd w:val="clear" w:color="auto" w:fill="FABF8F" w:themeFill="accent6" w:themeFillTint="99"/>
          </w:tcPr>
          <w:p w14:paraId="4709BDE6" w14:textId="6C1F6FA3" w:rsidR="00777A92" w:rsidRPr="00D66F92" w:rsidRDefault="00777A92" w:rsidP="00777A92">
            <w:pPr>
              <w:jc w:val="right"/>
              <w:rPr>
                <w:bCs/>
                <w:sz w:val="20"/>
                <w:szCs w:val="20"/>
              </w:rPr>
            </w:pPr>
            <w:r w:rsidRPr="00D66F92">
              <w:rPr>
                <w:b/>
                <w:bCs/>
                <w:color w:val="C00000"/>
                <w:sz w:val="20"/>
                <w:szCs w:val="20"/>
                <w:lang w:eastAsia="en-AU"/>
              </w:rPr>
              <w:t>43.</w:t>
            </w:r>
            <w:r w:rsidR="00A406D2">
              <w:rPr>
                <w:b/>
                <w:bCs/>
                <w:color w:val="C00000"/>
                <w:sz w:val="20"/>
                <w:szCs w:val="20"/>
                <w:lang w:eastAsia="en-AU"/>
              </w:rPr>
              <w:t>25</w:t>
            </w:r>
            <w:r w:rsidRPr="00D66F92">
              <w:rPr>
                <w:b/>
                <w:bCs/>
                <w:color w:val="C00000"/>
                <w:sz w:val="20"/>
                <w:szCs w:val="20"/>
                <w:lang w:eastAsia="en-AU"/>
              </w:rPr>
              <w:t>%</w:t>
            </w:r>
          </w:p>
        </w:tc>
        <w:tc>
          <w:tcPr>
            <w:tcW w:w="1393" w:type="dxa"/>
            <w:shd w:val="clear" w:color="auto" w:fill="FABF8F" w:themeFill="accent6" w:themeFillTint="99"/>
            <w:noWrap/>
          </w:tcPr>
          <w:p w14:paraId="75FC5799" w14:textId="43058D47" w:rsidR="00777A92" w:rsidRPr="00D66F92" w:rsidRDefault="00777A92" w:rsidP="00777A92">
            <w:pPr>
              <w:jc w:val="right"/>
              <w:rPr>
                <w:bCs/>
                <w:sz w:val="20"/>
                <w:szCs w:val="20"/>
              </w:rPr>
            </w:pPr>
          </w:p>
        </w:tc>
      </w:tr>
      <w:tr w:rsidR="00A33A5E" w:rsidRPr="00D66F92" w14:paraId="195141B8" w14:textId="77777777" w:rsidTr="00777A92">
        <w:trPr>
          <w:trHeight w:val="247"/>
        </w:trPr>
        <w:tc>
          <w:tcPr>
            <w:tcW w:w="974" w:type="dxa"/>
            <w:noWrap/>
          </w:tcPr>
          <w:p w14:paraId="7F18C6F6" w14:textId="01CB18F2" w:rsidR="00A33A5E" w:rsidRPr="00D66F92" w:rsidRDefault="00A33A5E" w:rsidP="00777A92">
            <w:pPr>
              <w:jc w:val="center"/>
              <w:rPr>
                <w:b/>
                <w:bCs/>
                <w:sz w:val="20"/>
                <w:szCs w:val="20"/>
              </w:rPr>
            </w:pPr>
            <w:r w:rsidRPr="00D66F92">
              <w:rPr>
                <w:b/>
                <w:bCs/>
                <w:sz w:val="20"/>
                <w:szCs w:val="20"/>
              </w:rPr>
              <w:t>2017</w:t>
            </w:r>
            <w:r w:rsidR="00A406D2">
              <w:rPr>
                <w:b/>
                <w:bCs/>
                <w:sz w:val="20"/>
                <w:szCs w:val="20"/>
              </w:rPr>
              <w:t>-18</w:t>
            </w:r>
          </w:p>
        </w:tc>
        <w:tc>
          <w:tcPr>
            <w:tcW w:w="1507" w:type="dxa"/>
            <w:shd w:val="clear" w:color="auto" w:fill="DBE5F1" w:themeFill="accent1" w:themeFillTint="33"/>
            <w:noWrap/>
          </w:tcPr>
          <w:p w14:paraId="7495D8AE" w14:textId="472DB68B" w:rsidR="00A33A5E" w:rsidRPr="00D66F92" w:rsidRDefault="00A33A5E" w:rsidP="00777A92">
            <w:pPr>
              <w:jc w:val="right"/>
              <w:rPr>
                <w:color w:val="000000" w:themeColor="text1"/>
                <w:sz w:val="20"/>
                <w:szCs w:val="20"/>
              </w:rPr>
            </w:pPr>
            <w:r w:rsidRPr="00D66F92">
              <w:rPr>
                <w:color w:val="000000" w:themeColor="text1"/>
                <w:sz w:val="20"/>
                <w:szCs w:val="20"/>
              </w:rPr>
              <w:t>2.00%</w:t>
            </w:r>
          </w:p>
        </w:tc>
        <w:tc>
          <w:tcPr>
            <w:tcW w:w="1472" w:type="dxa"/>
            <w:shd w:val="clear" w:color="auto" w:fill="95B3D7" w:themeFill="accent1" w:themeFillTint="99"/>
          </w:tcPr>
          <w:p w14:paraId="33A67B3B" w14:textId="0D0AA632" w:rsidR="00A33A5E" w:rsidRPr="00D66F92" w:rsidRDefault="00A33A5E" w:rsidP="00777A92">
            <w:pPr>
              <w:jc w:val="right"/>
              <w:rPr>
                <w:bCs/>
                <w:color w:val="000000" w:themeColor="text1"/>
                <w:sz w:val="20"/>
                <w:szCs w:val="20"/>
                <w:lang w:eastAsia="en-AU"/>
              </w:rPr>
            </w:pPr>
            <w:r w:rsidRPr="00D66F92">
              <w:rPr>
                <w:bCs/>
                <w:color w:val="000000" w:themeColor="text1"/>
                <w:sz w:val="20"/>
                <w:szCs w:val="20"/>
                <w:lang w:eastAsia="en-AU"/>
              </w:rPr>
              <w:t>13</w:t>
            </w:r>
            <w:r w:rsidR="00A406D2">
              <w:rPr>
                <w:bCs/>
                <w:color w:val="000000" w:themeColor="text1"/>
                <w:sz w:val="20"/>
                <w:szCs w:val="20"/>
                <w:lang w:eastAsia="en-AU"/>
              </w:rPr>
              <w:t>8.09</w:t>
            </w:r>
          </w:p>
        </w:tc>
        <w:tc>
          <w:tcPr>
            <w:tcW w:w="1200" w:type="dxa"/>
            <w:shd w:val="clear" w:color="auto" w:fill="95B3D7" w:themeFill="accent1" w:themeFillTint="99"/>
            <w:noWrap/>
          </w:tcPr>
          <w:p w14:paraId="14D24F31" w14:textId="584EE46A" w:rsidR="00A33A5E" w:rsidRPr="00D66F92" w:rsidRDefault="00A33A5E" w:rsidP="00777A92">
            <w:pPr>
              <w:jc w:val="right"/>
              <w:rPr>
                <w:bCs/>
                <w:color w:val="000000" w:themeColor="text1"/>
                <w:sz w:val="20"/>
                <w:szCs w:val="20"/>
              </w:rPr>
            </w:pPr>
            <w:r w:rsidRPr="00D66F92">
              <w:rPr>
                <w:bCs/>
                <w:color w:val="000000" w:themeColor="text1"/>
                <w:sz w:val="20"/>
                <w:szCs w:val="20"/>
              </w:rPr>
              <w:t>32.75%</w:t>
            </w:r>
          </w:p>
        </w:tc>
        <w:tc>
          <w:tcPr>
            <w:tcW w:w="1284" w:type="dxa"/>
            <w:shd w:val="clear" w:color="auto" w:fill="FDE9D9" w:themeFill="accent6" w:themeFillTint="33"/>
            <w:noWrap/>
          </w:tcPr>
          <w:p w14:paraId="6334CC96" w14:textId="6C9687E1" w:rsidR="00A33A5E" w:rsidRPr="00D66F92" w:rsidRDefault="00A406D2" w:rsidP="00777A92">
            <w:pPr>
              <w:jc w:val="right"/>
              <w:rPr>
                <w:color w:val="000000" w:themeColor="text1"/>
                <w:sz w:val="20"/>
                <w:szCs w:val="20"/>
              </w:rPr>
            </w:pPr>
            <w:r>
              <w:rPr>
                <w:color w:val="000000" w:themeColor="text1"/>
                <w:sz w:val="20"/>
                <w:szCs w:val="20"/>
              </w:rPr>
              <w:t>2.761</w:t>
            </w:r>
            <w:r w:rsidR="00A33A5E" w:rsidRPr="00D66F92">
              <w:rPr>
                <w:color w:val="000000" w:themeColor="text1"/>
                <w:sz w:val="20"/>
                <w:szCs w:val="20"/>
              </w:rPr>
              <w:t>%</w:t>
            </w:r>
          </w:p>
        </w:tc>
        <w:tc>
          <w:tcPr>
            <w:tcW w:w="1379" w:type="dxa"/>
            <w:shd w:val="clear" w:color="auto" w:fill="FABF8F" w:themeFill="accent6" w:themeFillTint="99"/>
          </w:tcPr>
          <w:p w14:paraId="7B9982C3" w14:textId="65E7BA06" w:rsidR="00A33A5E" w:rsidRPr="00D66F92" w:rsidRDefault="00A406D2" w:rsidP="00777A92">
            <w:pPr>
              <w:jc w:val="right"/>
              <w:rPr>
                <w:bCs/>
                <w:color w:val="000000" w:themeColor="text1"/>
                <w:sz w:val="20"/>
                <w:szCs w:val="20"/>
                <w:lang w:eastAsia="en-AU"/>
              </w:rPr>
            </w:pPr>
            <w:r>
              <w:rPr>
                <w:bCs/>
                <w:color w:val="000000" w:themeColor="text1"/>
                <w:sz w:val="20"/>
                <w:szCs w:val="20"/>
                <w:lang w:eastAsia="en-AU"/>
              </w:rPr>
              <w:t>147.21</w:t>
            </w:r>
          </w:p>
        </w:tc>
        <w:tc>
          <w:tcPr>
            <w:tcW w:w="1393" w:type="dxa"/>
            <w:shd w:val="clear" w:color="auto" w:fill="FABF8F" w:themeFill="accent6" w:themeFillTint="99"/>
            <w:noWrap/>
          </w:tcPr>
          <w:p w14:paraId="4B3A5EBC" w14:textId="05D8589E" w:rsidR="00A33A5E" w:rsidRPr="00D66F92" w:rsidRDefault="00A406D2" w:rsidP="00777A92">
            <w:pPr>
              <w:jc w:val="right"/>
              <w:rPr>
                <w:bCs/>
                <w:color w:val="000000" w:themeColor="text1"/>
                <w:sz w:val="20"/>
                <w:szCs w:val="20"/>
              </w:rPr>
            </w:pPr>
            <w:r>
              <w:rPr>
                <w:bCs/>
                <w:color w:val="000000" w:themeColor="text1"/>
                <w:sz w:val="20"/>
                <w:szCs w:val="20"/>
              </w:rPr>
              <w:t>39.32</w:t>
            </w:r>
          </w:p>
        </w:tc>
      </w:tr>
      <w:tr w:rsidR="00A33A5E" w:rsidRPr="00D66F92" w14:paraId="7E9571A1" w14:textId="77777777" w:rsidTr="00777A92">
        <w:trPr>
          <w:trHeight w:val="247"/>
        </w:trPr>
        <w:tc>
          <w:tcPr>
            <w:tcW w:w="974" w:type="dxa"/>
            <w:noWrap/>
          </w:tcPr>
          <w:p w14:paraId="4C51D498" w14:textId="5C59F2F9" w:rsidR="00A33A5E" w:rsidRPr="00D66F92" w:rsidRDefault="00A33A5E" w:rsidP="00777A92">
            <w:pPr>
              <w:jc w:val="center"/>
              <w:rPr>
                <w:b/>
                <w:bCs/>
                <w:sz w:val="20"/>
                <w:szCs w:val="20"/>
              </w:rPr>
            </w:pPr>
            <w:r w:rsidRPr="00D66F92">
              <w:rPr>
                <w:b/>
                <w:bCs/>
                <w:sz w:val="20"/>
                <w:szCs w:val="20"/>
              </w:rPr>
              <w:t>2018</w:t>
            </w:r>
            <w:r w:rsidR="00A406D2">
              <w:rPr>
                <w:b/>
                <w:bCs/>
                <w:sz w:val="20"/>
                <w:szCs w:val="20"/>
              </w:rPr>
              <w:t>-19</w:t>
            </w:r>
          </w:p>
        </w:tc>
        <w:tc>
          <w:tcPr>
            <w:tcW w:w="1507" w:type="dxa"/>
            <w:shd w:val="clear" w:color="auto" w:fill="DBE5F1" w:themeFill="accent1" w:themeFillTint="33"/>
            <w:noWrap/>
          </w:tcPr>
          <w:p w14:paraId="7A55A6C7" w14:textId="3FC0CA8A" w:rsidR="00A33A5E" w:rsidRPr="00D66F92" w:rsidRDefault="00A33A5E" w:rsidP="00777A92">
            <w:pPr>
              <w:jc w:val="right"/>
              <w:rPr>
                <w:color w:val="000000" w:themeColor="text1"/>
                <w:sz w:val="20"/>
                <w:szCs w:val="20"/>
              </w:rPr>
            </w:pPr>
            <w:r w:rsidRPr="00D66F92">
              <w:rPr>
                <w:color w:val="000000" w:themeColor="text1"/>
                <w:sz w:val="20"/>
                <w:szCs w:val="20"/>
              </w:rPr>
              <w:t>2.50%</w:t>
            </w:r>
          </w:p>
        </w:tc>
        <w:tc>
          <w:tcPr>
            <w:tcW w:w="1472" w:type="dxa"/>
            <w:shd w:val="clear" w:color="auto" w:fill="95B3D7" w:themeFill="accent1" w:themeFillTint="99"/>
          </w:tcPr>
          <w:p w14:paraId="42EC1F26" w14:textId="57CC501B" w:rsidR="00A33A5E" w:rsidRPr="00D66F92" w:rsidRDefault="00A406D2" w:rsidP="00777A92">
            <w:pPr>
              <w:jc w:val="right"/>
              <w:rPr>
                <w:bCs/>
                <w:color w:val="000000" w:themeColor="text1"/>
                <w:sz w:val="20"/>
                <w:szCs w:val="20"/>
                <w:lang w:eastAsia="en-AU"/>
              </w:rPr>
            </w:pPr>
            <w:r>
              <w:rPr>
                <w:bCs/>
                <w:color w:val="000000" w:themeColor="text1"/>
                <w:sz w:val="20"/>
                <w:szCs w:val="20"/>
                <w:lang w:eastAsia="en-AU"/>
              </w:rPr>
              <w:t>141.55</w:t>
            </w:r>
          </w:p>
        </w:tc>
        <w:tc>
          <w:tcPr>
            <w:tcW w:w="1200" w:type="dxa"/>
            <w:shd w:val="clear" w:color="auto" w:fill="95B3D7" w:themeFill="accent1" w:themeFillTint="99"/>
            <w:noWrap/>
          </w:tcPr>
          <w:p w14:paraId="7773BC35" w14:textId="659D8A0D" w:rsidR="00A33A5E" w:rsidRPr="00D66F92" w:rsidRDefault="00A33A5E" w:rsidP="00777A92">
            <w:pPr>
              <w:jc w:val="right"/>
              <w:rPr>
                <w:bCs/>
                <w:color w:val="000000" w:themeColor="text1"/>
                <w:sz w:val="20"/>
                <w:szCs w:val="20"/>
              </w:rPr>
            </w:pPr>
            <w:r w:rsidRPr="00D66F92">
              <w:rPr>
                <w:bCs/>
                <w:color w:val="000000" w:themeColor="text1"/>
                <w:sz w:val="20"/>
                <w:szCs w:val="20"/>
              </w:rPr>
              <w:t>35.25%</w:t>
            </w:r>
          </w:p>
        </w:tc>
        <w:tc>
          <w:tcPr>
            <w:tcW w:w="1284" w:type="dxa"/>
            <w:shd w:val="clear" w:color="auto" w:fill="FDE9D9" w:themeFill="accent6" w:themeFillTint="33"/>
            <w:noWrap/>
          </w:tcPr>
          <w:p w14:paraId="2E08416E" w14:textId="542A0A2D" w:rsidR="00A33A5E" w:rsidRPr="00D66F92" w:rsidRDefault="00A33A5E" w:rsidP="00A406D2">
            <w:pPr>
              <w:jc w:val="right"/>
              <w:rPr>
                <w:color w:val="000000" w:themeColor="text1"/>
                <w:sz w:val="20"/>
                <w:szCs w:val="20"/>
              </w:rPr>
            </w:pPr>
            <w:r w:rsidRPr="00D66F92">
              <w:rPr>
                <w:color w:val="000000" w:themeColor="text1"/>
                <w:sz w:val="20"/>
                <w:szCs w:val="20"/>
              </w:rPr>
              <w:t>2.</w:t>
            </w:r>
            <w:r w:rsidR="00A406D2">
              <w:rPr>
                <w:color w:val="000000" w:themeColor="text1"/>
                <w:sz w:val="20"/>
                <w:szCs w:val="20"/>
              </w:rPr>
              <w:t>718</w:t>
            </w:r>
            <w:r w:rsidRPr="00D66F92">
              <w:rPr>
                <w:color w:val="000000" w:themeColor="text1"/>
                <w:sz w:val="20"/>
                <w:szCs w:val="20"/>
              </w:rPr>
              <w:t>%</w:t>
            </w:r>
          </w:p>
        </w:tc>
        <w:tc>
          <w:tcPr>
            <w:tcW w:w="1379" w:type="dxa"/>
            <w:shd w:val="clear" w:color="auto" w:fill="FABF8F" w:themeFill="accent6" w:themeFillTint="99"/>
          </w:tcPr>
          <w:p w14:paraId="0DC2DC53" w14:textId="6BD54F8A" w:rsidR="00A33A5E" w:rsidRPr="00D66F92" w:rsidRDefault="00A406D2" w:rsidP="00777A92">
            <w:pPr>
              <w:jc w:val="right"/>
              <w:rPr>
                <w:bCs/>
                <w:color w:val="000000" w:themeColor="text1"/>
                <w:sz w:val="20"/>
                <w:szCs w:val="20"/>
                <w:lang w:eastAsia="en-AU"/>
              </w:rPr>
            </w:pPr>
            <w:r>
              <w:rPr>
                <w:bCs/>
                <w:color w:val="000000" w:themeColor="text1"/>
                <w:sz w:val="20"/>
                <w:szCs w:val="20"/>
                <w:lang w:eastAsia="en-AU"/>
              </w:rPr>
              <w:t>151.21</w:t>
            </w:r>
          </w:p>
        </w:tc>
        <w:tc>
          <w:tcPr>
            <w:tcW w:w="1393" w:type="dxa"/>
            <w:shd w:val="clear" w:color="auto" w:fill="FABF8F" w:themeFill="accent6" w:themeFillTint="99"/>
            <w:noWrap/>
          </w:tcPr>
          <w:p w14:paraId="078B1AF2" w14:textId="71595040" w:rsidR="00A33A5E" w:rsidRPr="00D66F92" w:rsidRDefault="00A406D2" w:rsidP="00777A92">
            <w:pPr>
              <w:jc w:val="right"/>
              <w:rPr>
                <w:bCs/>
                <w:color w:val="000000" w:themeColor="text1"/>
                <w:sz w:val="20"/>
                <w:szCs w:val="20"/>
              </w:rPr>
            </w:pPr>
            <w:r>
              <w:rPr>
                <w:bCs/>
                <w:color w:val="000000" w:themeColor="text1"/>
                <w:sz w:val="20"/>
                <w:szCs w:val="20"/>
              </w:rPr>
              <w:t>42.04</w:t>
            </w:r>
          </w:p>
        </w:tc>
      </w:tr>
      <w:tr w:rsidR="00A33A5E" w:rsidRPr="00D66F92" w14:paraId="64E97AAD" w14:textId="77777777" w:rsidTr="00777A92">
        <w:trPr>
          <w:trHeight w:val="247"/>
        </w:trPr>
        <w:tc>
          <w:tcPr>
            <w:tcW w:w="974" w:type="dxa"/>
            <w:noWrap/>
          </w:tcPr>
          <w:p w14:paraId="374CDB6B" w14:textId="2761572C" w:rsidR="00A33A5E" w:rsidRPr="00D66F92" w:rsidRDefault="00A33A5E" w:rsidP="00777A92">
            <w:pPr>
              <w:jc w:val="center"/>
              <w:rPr>
                <w:b/>
                <w:bCs/>
                <w:sz w:val="20"/>
                <w:szCs w:val="20"/>
              </w:rPr>
            </w:pPr>
            <w:r w:rsidRPr="00D66F92">
              <w:rPr>
                <w:b/>
                <w:bCs/>
                <w:sz w:val="20"/>
                <w:szCs w:val="20"/>
              </w:rPr>
              <w:t>2019</w:t>
            </w:r>
            <w:r w:rsidR="00A406D2">
              <w:rPr>
                <w:b/>
                <w:bCs/>
                <w:sz w:val="20"/>
                <w:szCs w:val="20"/>
              </w:rPr>
              <w:t>-20</w:t>
            </w:r>
          </w:p>
        </w:tc>
        <w:tc>
          <w:tcPr>
            <w:tcW w:w="1507" w:type="dxa"/>
            <w:shd w:val="clear" w:color="auto" w:fill="DBE5F1" w:themeFill="accent1" w:themeFillTint="33"/>
            <w:noWrap/>
          </w:tcPr>
          <w:p w14:paraId="1A8A6DAB" w14:textId="2DA4899C" w:rsidR="00A33A5E" w:rsidRPr="00D66F92" w:rsidRDefault="00A33A5E" w:rsidP="00777A92">
            <w:pPr>
              <w:jc w:val="right"/>
              <w:rPr>
                <w:color w:val="000000" w:themeColor="text1"/>
                <w:sz w:val="20"/>
                <w:szCs w:val="20"/>
              </w:rPr>
            </w:pPr>
            <w:r w:rsidRPr="00D66F92">
              <w:rPr>
                <w:color w:val="000000" w:themeColor="text1"/>
                <w:sz w:val="20"/>
                <w:szCs w:val="20"/>
              </w:rPr>
              <w:t>-</w:t>
            </w:r>
          </w:p>
        </w:tc>
        <w:tc>
          <w:tcPr>
            <w:tcW w:w="1472" w:type="dxa"/>
            <w:shd w:val="clear" w:color="auto" w:fill="95B3D7" w:themeFill="accent1" w:themeFillTint="99"/>
          </w:tcPr>
          <w:p w14:paraId="4B9DEBC6" w14:textId="1C3FDFAB" w:rsidR="00A33A5E" w:rsidRPr="00D66F92" w:rsidRDefault="00A33A5E" w:rsidP="00777A92">
            <w:pPr>
              <w:jc w:val="right"/>
              <w:rPr>
                <w:bCs/>
                <w:color w:val="000000" w:themeColor="text1"/>
                <w:sz w:val="20"/>
                <w:szCs w:val="20"/>
                <w:lang w:eastAsia="en-AU"/>
              </w:rPr>
            </w:pPr>
            <w:r w:rsidRPr="00D66F92">
              <w:rPr>
                <w:bCs/>
                <w:color w:val="000000" w:themeColor="text1"/>
                <w:sz w:val="20"/>
                <w:szCs w:val="20"/>
                <w:lang w:eastAsia="en-AU"/>
              </w:rPr>
              <w:t>-</w:t>
            </w:r>
          </w:p>
        </w:tc>
        <w:tc>
          <w:tcPr>
            <w:tcW w:w="1200" w:type="dxa"/>
            <w:shd w:val="clear" w:color="auto" w:fill="95B3D7" w:themeFill="accent1" w:themeFillTint="99"/>
            <w:noWrap/>
          </w:tcPr>
          <w:p w14:paraId="046ADCAE" w14:textId="59746D39" w:rsidR="00A33A5E" w:rsidRPr="00D66F92" w:rsidRDefault="00A33A5E" w:rsidP="00777A92">
            <w:pPr>
              <w:jc w:val="right"/>
              <w:rPr>
                <w:bCs/>
                <w:color w:val="000000" w:themeColor="text1"/>
                <w:sz w:val="20"/>
                <w:szCs w:val="20"/>
              </w:rPr>
            </w:pPr>
            <w:r w:rsidRPr="00D66F92">
              <w:rPr>
                <w:bCs/>
                <w:color w:val="000000" w:themeColor="text1"/>
                <w:sz w:val="20"/>
                <w:szCs w:val="20"/>
              </w:rPr>
              <w:t>-</w:t>
            </w:r>
          </w:p>
        </w:tc>
        <w:tc>
          <w:tcPr>
            <w:tcW w:w="1284" w:type="dxa"/>
            <w:shd w:val="clear" w:color="auto" w:fill="FDE9D9" w:themeFill="accent6" w:themeFillTint="33"/>
            <w:noWrap/>
          </w:tcPr>
          <w:p w14:paraId="12A0B935" w14:textId="0A688F7B" w:rsidR="00A33A5E" w:rsidRPr="00D66F92" w:rsidRDefault="00A33A5E" w:rsidP="00A406D2">
            <w:pPr>
              <w:jc w:val="right"/>
              <w:rPr>
                <w:color w:val="000000" w:themeColor="text1"/>
                <w:sz w:val="20"/>
                <w:szCs w:val="20"/>
              </w:rPr>
            </w:pPr>
            <w:r w:rsidRPr="00D66F92">
              <w:rPr>
                <w:color w:val="000000" w:themeColor="text1"/>
                <w:sz w:val="20"/>
                <w:szCs w:val="20"/>
              </w:rPr>
              <w:t>2.</w:t>
            </w:r>
            <w:r w:rsidR="00A406D2">
              <w:rPr>
                <w:color w:val="000000" w:themeColor="text1"/>
                <w:sz w:val="20"/>
                <w:szCs w:val="20"/>
              </w:rPr>
              <w:t>718</w:t>
            </w:r>
            <w:r w:rsidRPr="00D66F92">
              <w:rPr>
                <w:color w:val="000000" w:themeColor="text1"/>
                <w:sz w:val="20"/>
                <w:szCs w:val="20"/>
              </w:rPr>
              <w:t>%</w:t>
            </w:r>
          </w:p>
        </w:tc>
        <w:tc>
          <w:tcPr>
            <w:tcW w:w="1379" w:type="dxa"/>
            <w:shd w:val="clear" w:color="auto" w:fill="FABF8F" w:themeFill="accent6" w:themeFillTint="99"/>
          </w:tcPr>
          <w:p w14:paraId="3AEDF05C" w14:textId="68550845" w:rsidR="00A33A5E" w:rsidRPr="00D66F92" w:rsidRDefault="00A406D2" w:rsidP="00777A92">
            <w:pPr>
              <w:jc w:val="right"/>
              <w:rPr>
                <w:bCs/>
                <w:color w:val="000000" w:themeColor="text1"/>
                <w:sz w:val="20"/>
                <w:szCs w:val="20"/>
                <w:lang w:eastAsia="en-AU"/>
              </w:rPr>
            </w:pPr>
            <w:r>
              <w:rPr>
                <w:bCs/>
                <w:color w:val="000000" w:themeColor="text1"/>
                <w:sz w:val="20"/>
                <w:szCs w:val="20"/>
                <w:lang w:eastAsia="en-AU"/>
              </w:rPr>
              <w:t>155.32</w:t>
            </w:r>
          </w:p>
        </w:tc>
        <w:tc>
          <w:tcPr>
            <w:tcW w:w="1393" w:type="dxa"/>
            <w:shd w:val="clear" w:color="auto" w:fill="FABF8F" w:themeFill="accent6" w:themeFillTint="99"/>
            <w:noWrap/>
          </w:tcPr>
          <w:p w14:paraId="552AC58C" w14:textId="212B2DD0" w:rsidR="00A33A5E" w:rsidRPr="00D66F92" w:rsidRDefault="00A406D2" w:rsidP="00777A92">
            <w:pPr>
              <w:jc w:val="right"/>
              <w:rPr>
                <w:bCs/>
                <w:color w:val="000000" w:themeColor="text1"/>
                <w:sz w:val="20"/>
                <w:szCs w:val="20"/>
              </w:rPr>
            </w:pPr>
            <w:r>
              <w:rPr>
                <w:bCs/>
                <w:color w:val="000000" w:themeColor="text1"/>
                <w:sz w:val="20"/>
                <w:szCs w:val="20"/>
              </w:rPr>
              <w:t>44.76</w:t>
            </w:r>
          </w:p>
        </w:tc>
      </w:tr>
      <w:tr w:rsidR="00A33A5E" w:rsidRPr="00D66F92" w14:paraId="5DA39981" w14:textId="77777777" w:rsidTr="00777A92">
        <w:trPr>
          <w:trHeight w:val="247"/>
        </w:trPr>
        <w:tc>
          <w:tcPr>
            <w:tcW w:w="974" w:type="dxa"/>
            <w:noWrap/>
          </w:tcPr>
          <w:p w14:paraId="4084A20C" w14:textId="3B496A65" w:rsidR="00A33A5E" w:rsidRPr="00D66F92" w:rsidRDefault="00A33A5E" w:rsidP="00777A92">
            <w:pPr>
              <w:jc w:val="center"/>
              <w:rPr>
                <w:b/>
                <w:bCs/>
                <w:sz w:val="20"/>
                <w:szCs w:val="20"/>
              </w:rPr>
            </w:pPr>
            <w:r w:rsidRPr="00D66F92">
              <w:rPr>
                <w:b/>
                <w:bCs/>
                <w:sz w:val="20"/>
                <w:szCs w:val="20"/>
              </w:rPr>
              <w:t xml:space="preserve">TOTAL </w:t>
            </w:r>
          </w:p>
          <w:p w14:paraId="0E82F4C7" w14:textId="390E6998" w:rsidR="00A33A5E" w:rsidRPr="00D66F92" w:rsidRDefault="00A33A5E" w:rsidP="00777A92">
            <w:pPr>
              <w:jc w:val="center"/>
              <w:rPr>
                <w:b/>
                <w:bCs/>
                <w:sz w:val="20"/>
                <w:szCs w:val="20"/>
              </w:rPr>
            </w:pPr>
            <w:r w:rsidRPr="00D66F92">
              <w:rPr>
                <w:bCs/>
                <w:sz w:val="20"/>
                <w:szCs w:val="20"/>
              </w:rPr>
              <w:t>2006-2019</w:t>
            </w:r>
          </w:p>
        </w:tc>
        <w:tc>
          <w:tcPr>
            <w:tcW w:w="1507" w:type="dxa"/>
            <w:shd w:val="clear" w:color="auto" w:fill="DBE5F1" w:themeFill="accent1" w:themeFillTint="33"/>
            <w:noWrap/>
          </w:tcPr>
          <w:p w14:paraId="50F53F92" w14:textId="7DCE6FCA" w:rsidR="00A33A5E" w:rsidRPr="00D66F92" w:rsidRDefault="00A33A5E" w:rsidP="00777A92">
            <w:pPr>
              <w:jc w:val="right"/>
              <w:rPr>
                <w:b/>
                <w:sz w:val="20"/>
                <w:szCs w:val="20"/>
              </w:rPr>
            </w:pPr>
            <w:r w:rsidRPr="00D66F92">
              <w:rPr>
                <w:b/>
                <w:sz w:val="20"/>
                <w:szCs w:val="20"/>
              </w:rPr>
              <w:t>35.25%</w:t>
            </w:r>
          </w:p>
        </w:tc>
        <w:tc>
          <w:tcPr>
            <w:tcW w:w="1472" w:type="dxa"/>
            <w:shd w:val="clear" w:color="auto" w:fill="95B3D7" w:themeFill="accent1" w:themeFillTint="99"/>
          </w:tcPr>
          <w:p w14:paraId="6B94B69A" w14:textId="108949E0" w:rsidR="00A33A5E" w:rsidRPr="00D66F92" w:rsidRDefault="00A406D2" w:rsidP="00777A92">
            <w:pPr>
              <w:jc w:val="right"/>
              <w:rPr>
                <w:b/>
                <w:bCs/>
                <w:color w:val="C00000"/>
                <w:sz w:val="20"/>
                <w:szCs w:val="20"/>
                <w:lang w:eastAsia="en-AU"/>
              </w:rPr>
            </w:pPr>
            <w:r>
              <w:rPr>
                <w:b/>
                <w:bCs/>
                <w:color w:val="C00000"/>
                <w:sz w:val="20"/>
                <w:szCs w:val="20"/>
                <w:lang w:eastAsia="en-AU"/>
              </w:rPr>
              <w:t>41.55</w:t>
            </w:r>
            <w:r w:rsidR="00A33A5E" w:rsidRPr="00D66F92">
              <w:rPr>
                <w:b/>
                <w:bCs/>
                <w:color w:val="C00000"/>
                <w:sz w:val="20"/>
                <w:szCs w:val="20"/>
                <w:lang w:eastAsia="en-AU"/>
              </w:rPr>
              <w:t>%</w:t>
            </w:r>
          </w:p>
        </w:tc>
        <w:tc>
          <w:tcPr>
            <w:tcW w:w="1200" w:type="dxa"/>
            <w:shd w:val="clear" w:color="auto" w:fill="95B3D7" w:themeFill="accent1" w:themeFillTint="99"/>
            <w:noWrap/>
          </w:tcPr>
          <w:p w14:paraId="432E27BC" w14:textId="77777777" w:rsidR="00A33A5E" w:rsidRPr="00D66F92" w:rsidRDefault="00A33A5E" w:rsidP="00777A92">
            <w:pPr>
              <w:jc w:val="right"/>
              <w:rPr>
                <w:bCs/>
                <w:sz w:val="20"/>
                <w:szCs w:val="20"/>
              </w:rPr>
            </w:pPr>
          </w:p>
        </w:tc>
        <w:tc>
          <w:tcPr>
            <w:tcW w:w="1284" w:type="dxa"/>
            <w:shd w:val="clear" w:color="auto" w:fill="FDE9D9" w:themeFill="accent6" w:themeFillTint="33"/>
            <w:noWrap/>
          </w:tcPr>
          <w:p w14:paraId="5CB71F74" w14:textId="7DE3CA86" w:rsidR="00A33A5E" w:rsidRPr="00D66F92" w:rsidRDefault="00A406D2" w:rsidP="00777A92">
            <w:pPr>
              <w:jc w:val="right"/>
              <w:rPr>
                <w:b/>
                <w:sz w:val="20"/>
                <w:szCs w:val="20"/>
              </w:rPr>
            </w:pPr>
            <w:r>
              <w:rPr>
                <w:b/>
                <w:sz w:val="20"/>
                <w:szCs w:val="20"/>
              </w:rPr>
              <w:t>44.76</w:t>
            </w:r>
            <w:r w:rsidR="00A33A5E" w:rsidRPr="00D66F92">
              <w:rPr>
                <w:b/>
                <w:sz w:val="20"/>
                <w:szCs w:val="20"/>
              </w:rPr>
              <w:t>%</w:t>
            </w:r>
          </w:p>
        </w:tc>
        <w:tc>
          <w:tcPr>
            <w:tcW w:w="1379" w:type="dxa"/>
            <w:shd w:val="clear" w:color="auto" w:fill="FABF8F" w:themeFill="accent6" w:themeFillTint="99"/>
          </w:tcPr>
          <w:p w14:paraId="783E7BE8" w14:textId="26DD60B5" w:rsidR="00A33A5E" w:rsidRPr="00D66F92" w:rsidRDefault="00A406D2" w:rsidP="00777A92">
            <w:pPr>
              <w:jc w:val="right"/>
              <w:rPr>
                <w:b/>
                <w:bCs/>
                <w:color w:val="C00000"/>
                <w:sz w:val="20"/>
                <w:szCs w:val="20"/>
                <w:lang w:eastAsia="en-AU"/>
              </w:rPr>
            </w:pPr>
            <w:r>
              <w:rPr>
                <w:b/>
                <w:bCs/>
                <w:color w:val="C00000"/>
                <w:sz w:val="20"/>
                <w:szCs w:val="20"/>
                <w:lang w:eastAsia="en-AU"/>
              </w:rPr>
              <w:t>55.32</w:t>
            </w:r>
            <w:r w:rsidR="00A33A5E" w:rsidRPr="00D66F92">
              <w:rPr>
                <w:b/>
                <w:bCs/>
                <w:color w:val="C00000"/>
                <w:sz w:val="20"/>
                <w:szCs w:val="20"/>
                <w:lang w:eastAsia="en-AU"/>
              </w:rPr>
              <w:t>%</w:t>
            </w:r>
          </w:p>
        </w:tc>
        <w:tc>
          <w:tcPr>
            <w:tcW w:w="1393" w:type="dxa"/>
            <w:shd w:val="clear" w:color="auto" w:fill="FABF8F" w:themeFill="accent6" w:themeFillTint="99"/>
            <w:noWrap/>
          </w:tcPr>
          <w:p w14:paraId="10245A29" w14:textId="77777777" w:rsidR="00A33A5E" w:rsidRPr="00D66F92" w:rsidRDefault="00A33A5E" w:rsidP="00777A92">
            <w:pPr>
              <w:jc w:val="right"/>
              <w:rPr>
                <w:bCs/>
                <w:sz w:val="20"/>
                <w:szCs w:val="20"/>
              </w:rPr>
            </w:pPr>
          </w:p>
        </w:tc>
      </w:tr>
    </w:tbl>
    <w:p w14:paraId="6FF8CD52" w14:textId="77777777" w:rsidR="005C6837" w:rsidRDefault="005C6837">
      <w:pPr>
        <w:contextualSpacing/>
        <w:rPr>
          <w:color w:val="FF0000"/>
          <w:sz w:val="20"/>
          <w:szCs w:val="20"/>
        </w:rPr>
      </w:pPr>
    </w:p>
    <w:p w14:paraId="36E9B462" w14:textId="2C3142B6" w:rsidR="005C6837" w:rsidRPr="005C6837" w:rsidRDefault="005C6837" w:rsidP="005C6837">
      <w:pPr>
        <w:rPr>
          <w:sz w:val="24"/>
          <w:szCs w:val="24"/>
        </w:rPr>
      </w:pPr>
      <w:r w:rsidRPr="005C6837">
        <w:rPr>
          <w:sz w:val="24"/>
          <w:szCs w:val="24"/>
        </w:rPr>
        <w:lastRenderedPageBreak/>
        <w:t xml:space="preserve">The Government’s pay offer </w:t>
      </w:r>
      <w:r>
        <w:rPr>
          <w:sz w:val="24"/>
          <w:szCs w:val="24"/>
        </w:rPr>
        <w:t xml:space="preserve">for the </w:t>
      </w:r>
      <w:r w:rsidR="00F76F14">
        <w:rPr>
          <w:sz w:val="24"/>
          <w:szCs w:val="24"/>
        </w:rPr>
        <w:t xml:space="preserve">ACTPS Administrative and </w:t>
      </w:r>
      <w:r w:rsidR="005641D3">
        <w:rPr>
          <w:sz w:val="24"/>
          <w:szCs w:val="24"/>
        </w:rPr>
        <w:t>R</w:t>
      </w:r>
      <w:r w:rsidR="00F76F14">
        <w:rPr>
          <w:sz w:val="24"/>
          <w:szCs w:val="24"/>
        </w:rPr>
        <w:t xml:space="preserve">elated </w:t>
      </w:r>
      <w:r w:rsidR="005641D3">
        <w:rPr>
          <w:sz w:val="24"/>
          <w:szCs w:val="24"/>
        </w:rPr>
        <w:t>C</w:t>
      </w:r>
      <w:r w:rsidR="00F76F14">
        <w:rPr>
          <w:sz w:val="24"/>
          <w:szCs w:val="24"/>
        </w:rPr>
        <w:t xml:space="preserve">lassifications Enterprise Agreement </w:t>
      </w:r>
      <w:r>
        <w:rPr>
          <w:sz w:val="24"/>
          <w:szCs w:val="24"/>
        </w:rPr>
        <w:t>201</w:t>
      </w:r>
      <w:r w:rsidR="00F76F14">
        <w:rPr>
          <w:sz w:val="24"/>
          <w:szCs w:val="24"/>
        </w:rPr>
        <w:t>8</w:t>
      </w:r>
      <w:r>
        <w:rPr>
          <w:sz w:val="24"/>
          <w:szCs w:val="24"/>
        </w:rPr>
        <w:t xml:space="preserve">-2021 </w:t>
      </w:r>
      <w:r w:rsidR="00F76F14">
        <w:rPr>
          <w:sz w:val="24"/>
          <w:szCs w:val="24"/>
        </w:rPr>
        <w:t xml:space="preserve">(the Enterprise Agreement) </w:t>
      </w:r>
      <w:r w:rsidRPr="005C6837">
        <w:rPr>
          <w:sz w:val="24"/>
          <w:szCs w:val="24"/>
        </w:rPr>
        <w:t xml:space="preserve">covers a period of four years with percentage increases being provided at regular intervals. The first pay increase is to be back‐paid to the first full pay period on or after 1 October 2017, with the second pay increase </w:t>
      </w:r>
      <w:r w:rsidR="00387F42" w:rsidRPr="005C6837">
        <w:rPr>
          <w:sz w:val="24"/>
          <w:szCs w:val="24"/>
        </w:rPr>
        <w:t>back</w:t>
      </w:r>
      <w:r w:rsidR="00C82F1D">
        <w:rPr>
          <w:sz w:val="24"/>
          <w:szCs w:val="24"/>
        </w:rPr>
        <w:t>-</w:t>
      </w:r>
      <w:r w:rsidR="00387F42" w:rsidRPr="005C6837">
        <w:rPr>
          <w:sz w:val="24"/>
          <w:szCs w:val="24"/>
        </w:rPr>
        <w:t>paid</w:t>
      </w:r>
      <w:r w:rsidRPr="005C6837">
        <w:rPr>
          <w:sz w:val="24"/>
          <w:szCs w:val="24"/>
        </w:rPr>
        <w:t xml:space="preserve"> to the first full pay</w:t>
      </w:r>
      <w:r w:rsidR="00C82F1D">
        <w:rPr>
          <w:sz w:val="24"/>
          <w:szCs w:val="24"/>
        </w:rPr>
        <w:t xml:space="preserve"> </w:t>
      </w:r>
      <w:r w:rsidRPr="005C6837">
        <w:rPr>
          <w:sz w:val="24"/>
          <w:szCs w:val="24"/>
        </w:rPr>
        <w:t xml:space="preserve">period on or after 1 June 2018.  </w:t>
      </w:r>
    </w:p>
    <w:p w14:paraId="3EB9D52A" w14:textId="2AED22BC" w:rsidR="005C6837" w:rsidRPr="005C6837" w:rsidRDefault="005C6837" w:rsidP="009E725B">
      <w:pPr>
        <w:tabs>
          <w:tab w:val="left" w:pos="7691"/>
        </w:tabs>
        <w:rPr>
          <w:sz w:val="24"/>
          <w:szCs w:val="24"/>
        </w:rPr>
      </w:pPr>
      <w:r w:rsidRPr="005C6837">
        <w:rPr>
          <w:sz w:val="24"/>
          <w:szCs w:val="24"/>
        </w:rPr>
        <w:t>The full offer is:</w:t>
      </w:r>
      <w:r w:rsidR="009E725B">
        <w:rPr>
          <w:sz w:val="24"/>
          <w:szCs w:val="24"/>
        </w:rPr>
        <w:tab/>
      </w:r>
    </w:p>
    <w:p w14:paraId="7A33839F" w14:textId="7828BBCB" w:rsidR="005C6837" w:rsidRPr="005C6837" w:rsidRDefault="005C6837" w:rsidP="005C6837">
      <w:pPr>
        <w:pStyle w:val="ListParagraph"/>
        <w:numPr>
          <w:ilvl w:val="0"/>
          <w:numId w:val="23"/>
        </w:numPr>
        <w:spacing w:after="160" w:line="259" w:lineRule="auto"/>
        <w:contextualSpacing/>
        <w:rPr>
          <w:sz w:val="24"/>
          <w:szCs w:val="24"/>
        </w:rPr>
      </w:pPr>
      <w:r w:rsidRPr="005C6837">
        <w:rPr>
          <w:sz w:val="24"/>
          <w:szCs w:val="24"/>
        </w:rPr>
        <w:t>2.25</w:t>
      </w:r>
      <w:r w:rsidR="00277120">
        <w:rPr>
          <w:sz w:val="24"/>
          <w:szCs w:val="24"/>
        </w:rPr>
        <w:t xml:space="preserve"> per cent</w:t>
      </w:r>
      <w:r w:rsidR="00277120" w:rsidRPr="005C6837">
        <w:rPr>
          <w:sz w:val="24"/>
          <w:szCs w:val="24"/>
        </w:rPr>
        <w:t xml:space="preserve"> </w:t>
      </w:r>
      <w:r w:rsidRPr="005C6837">
        <w:rPr>
          <w:sz w:val="24"/>
          <w:szCs w:val="24"/>
        </w:rPr>
        <w:t>from the first full pay period on or after 1 October 2017;</w:t>
      </w:r>
    </w:p>
    <w:p w14:paraId="254D6306" w14:textId="4DB9509C" w:rsidR="005C6837" w:rsidRPr="005C6837" w:rsidRDefault="005C6837" w:rsidP="005C6837">
      <w:pPr>
        <w:pStyle w:val="ListParagraph"/>
        <w:numPr>
          <w:ilvl w:val="0"/>
          <w:numId w:val="23"/>
        </w:numPr>
        <w:spacing w:after="160" w:line="259" w:lineRule="auto"/>
        <w:contextualSpacing/>
        <w:rPr>
          <w:sz w:val="24"/>
          <w:szCs w:val="24"/>
        </w:rPr>
      </w:pPr>
      <w:r w:rsidRPr="005C6837">
        <w:rPr>
          <w:sz w:val="24"/>
          <w:szCs w:val="24"/>
        </w:rPr>
        <w:t>0.5</w:t>
      </w:r>
      <w:r w:rsidR="00277120">
        <w:rPr>
          <w:sz w:val="24"/>
          <w:szCs w:val="24"/>
        </w:rPr>
        <w:t xml:space="preserve"> per cent</w:t>
      </w:r>
      <w:r w:rsidR="00277120" w:rsidRPr="005C6837">
        <w:rPr>
          <w:sz w:val="24"/>
          <w:szCs w:val="24"/>
        </w:rPr>
        <w:t xml:space="preserve"> </w:t>
      </w:r>
      <w:r w:rsidRPr="005C6837">
        <w:rPr>
          <w:sz w:val="24"/>
          <w:szCs w:val="24"/>
        </w:rPr>
        <w:t>from the first full pay period on or after 1 June 2018;</w:t>
      </w:r>
    </w:p>
    <w:p w14:paraId="24DCA530" w14:textId="59563FDF" w:rsidR="005C6837" w:rsidRPr="005C6837" w:rsidRDefault="005C6837" w:rsidP="005C6837">
      <w:pPr>
        <w:pStyle w:val="ListParagraph"/>
        <w:numPr>
          <w:ilvl w:val="0"/>
          <w:numId w:val="23"/>
        </w:numPr>
        <w:spacing w:after="160" w:line="259" w:lineRule="auto"/>
        <w:contextualSpacing/>
        <w:rPr>
          <w:sz w:val="24"/>
          <w:szCs w:val="24"/>
        </w:rPr>
      </w:pPr>
      <w:r w:rsidRPr="005C6837">
        <w:rPr>
          <w:sz w:val="24"/>
          <w:szCs w:val="24"/>
        </w:rPr>
        <w:t>1.35</w:t>
      </w:r>
      <w:r w:rsidR="00277120">
        <w:rPr>
          <w:sz w:val="24"/>
          <w:szCs w:val="24"/>
        </w:rPr>
        <w:t xml:space="preserve"> per cent</w:t>
      </w:r>
      <w:r w:rsidR="00277120" w:rsidRPr="005C6837">
        <w:rPr>
          <w:sz w:val="24"/>
          <w:szCs w:val="24"/>
        </w:rPr>
        <w:t xml:space="preserve"> </w:t>
      </w:r>
      <w:r w:rsidRPr="005C6837">
        <w:rPr>
          <w:sz w:val="24"/>
          <w:szCs w:val="24"/>
        </w:rPr>
        <w:t>from the first full pay period on or after 1 December 2018;</w:t>
      </w:r>
    </w:p>
    <w:p w14:paraId="3FB9EB45" w14:textId="5CDD27A0" w:rsidR="005C6837" w:rsidRPr="005C6837" w:rsidRDefault="005C6837" w:rsidP="005C6837">
      <w:pPr>
        <w:pStyle w:val="ListParagraph"/>
        <w:numPr>
          <w:ilvl w:val="0"/>
          <w:numId w:val="23"/>
        </w:numPr>
        <w:spacing w:after="160" w:line="259" w:lineRule="auto"/>
        <w:contextualSpacing/>
        <w:rPr>
          <w:sz w:val="24"/>
          <w:szCs w:val="24"/>
        </w:rPr>
      </w:pPr>
      <w:r w:rsidRPr="005C6837">
        <w:rPr>
          <w:sz w:val="24"/>
          <w:szCs w:val="24"/>
        </w:rPr>
        <w:t>1.35</w:t>
      </w:r>
      <w:r w:rsidR="00277120">
        <w:rPr>
          <w:sz w:val="24"/>
          <w:szCs w:val="24"/>
        </w:rPr>
        <w:t xml:space="preserve"> per cent</w:t>
      </w:r>
      <w:r w:rsidR="00277120" w:rsidRPr="005C6837">
        <w:rPr>
          <w:sz w:val="24"/>
          <w:szCs w:val="24"/>
        </w:rPr>
        <w:t xml:space="preserve"> </w:t>
      </w:r>
      <w:r w:rsidRPr="005C6837">
        <w:rPr>
          <w:sz w:val="24"/>
          <w:szCs w:val="24"/>
        </w:rPr>
        <w:t>from the first full pay period on or after 1 June 2019;</w:t>
      </w:r>
    </w:p>
    <w:p w14:paraId="5A837ED2" w14:textId="2B460842" w:rsidR="005C6837" w:rsidRPr="005C6837" w:rsidRDefault="005C6837" w:rsidP="005C6837">
      <w:pPr>
        <w:pStyle w:val="ListParagraph"/>
        <w:numPr>
          <w:ilvl w:val="0"/>
          <w:numId w:val="23"/>
        </w:numPr>
        <w:spacing w:after="160" w:line="259" w:lineRule="auto"/>
        <w:contextualSpacing/>
        <w:rPr>
          <w:sz w:val="24"/>
          <w:szCs w:val="24"/>
        </w:rPr>
      </w:pPr>
      <w:r w:rsidRPr="005C6837">
        <w:rPr>
          <w:sz w:val="24"/>
          <w:szCs w:val="24"/>
        </w:rPr>
        <w:t>1.35</w:t>
      </w:r>
      <w:r w:rsidR="00277120">
        <w:rPr>
          <w:sz w:val="24"/>
          <w:szCs w:val="24"/>
        </w:rPr>
        <w:t xml:space="preserve"> per cent</w:t>
      </w:r>
      <w:r w:rsidR="00277120" w:rsidRPr="005C6837" w:rsidDel="00277120">
        <w:rPr>
          <w:sz w:val="24"/>
          <w:szCs w:val="24"/>
        </w:rPr>
        <w:t xml:space="preserve"> </w:t>
      </w:r>
      <w:r w:rsidRPr="005C6837">
        <w:rPr>
          <w:sz w:val="24"/>
          <w:szCs w:val="24"/>
        </w:rPr>
        <w:t>from the first full pay period on or after 1 December 2019;</w:t>
      </w:r>
    </w:p>
    <w:p w14:paraId="01A52672" w14:textId="38B78B5E" w:rsidR="005C6837" w:rsidRPr="005C6837" w:rsidRDefault="005C6837" w:rsidP="005C6837">
      <w:pPr>
        <w:pStyle w:val="ListParagraph"/>
        <w:numPr>
          <w:ilvl w:val="0"/>
          <w:numId w:val="23"/>
        </w:numPr>
        <w:spacing w:after="160" w:line="259" w:lineRule="auto"/>
        <w:contextualSpacing/>
        <w:rPr>
          <w:sz w:val="24"/>
          <w:szCs w:val="24"/>
        </w:rPr>
      </w:pPr>
      <w:r w:rsidRPr="005C6837">
        <w:rPr>
          <w:sz w:val="24"/>
          <w:szCs w:val="24"/>
        </w:rPr>
        <w:t>1.35</w:t>
      </w:r>
      <w:r w:rsidR="00277120">
        <w:rPr>
          <w:sz w:val="24"/>
          <w:szCs w:val="24"/>
        </w:rPr>
        <w:t xml:space="preserve"> per cent</w:t>
      </w:r>
      <w:r w:rsidRPr="005C6837">
        <w:rPr>
          <w:sz w:val="24"/>
          <w:szCs w:val="24"/>
        </w:rPr>
        <w:t xml:space="preserve"> from the first full pay period on or after 1 June 2020;</w:t>
      </w:r>
    </w:p>
    <w:p w14:paraId="37C082F6" w14:textId="746A623F" w:rsidR="005C6837" w:rsidRPr="005C6837" w:rsidRDefault="005C6837" w:rsidP="005C6837">
      <w:pPr>
        <w:pStyle w:val="ListParagraph"/>
        <w:numPr>
          <w:ilvl w:val="0"/>
          <w:numId w:val="23"/>
        </w:numPr>
        <w:spacing w:after="160" w:line="259" w:lineRule="auto"/>
        <w:contextualSpacing/>
        <w:rPr>
          <w:sz w:val="24"/>
          <w:szCs w:val="24"/>
        </w:rPr>
      </w:pPr>
      <w:r w:rsidRPr="005C6837">
        <w:rPr>
          <w:sz w:val="24"/>
          <w:szCs w:val="24"/>
        </w:rPr>
        <w:t>1.35</w:t>
      </w:r>
      <w:r w:rsidR="00277120">
        <w:rPr>
          <w:sz w:val="24"/>
          <w:szCs w:val="24"/>
        </w:rPr>
        <w:t xml:space="preserve"> per cent</w:t>
      </w:r>
      <w:r w:rsidRPr="005C6837">
        <w:rPr>
          <w:sz w:val="24"/>
          <w:szCs w:val="24"/>
        </w:rPr>
        <w:t xml:space="preserve"> from the first full pay period on or after 1 December 2020; and</w:t>
      </w:r>
    </w:p>
    <w:p w14:paraId="6F6CDCE6" w14:textId="30480792" w:rsidR="005C6837" w:rsidRPr="005C6837" w:rsidRDefault="005C6837" w:rsidP="005C6837">
      <w:pPr>
        <w:pStyle w:val="ListParagraph"/>
        <w:numPr>
          <w:ilvl w:val="0"/>
          <w:numId w:val="23"/>
        </w:numPr>
        <w:spacing w:after="160" w:line="259" w:lineRule="auto"/>
        <w:contextualSpacing/>
        <w:rPr>
          <w:sz w:val="24"/>
          <w:szCs w:val="24"/>
        </w:rPr>
      </w:pPr>
      <w:r w:rsidRPr="005C6837">
        <w:rPr>
          <w:sz w:val="24"/>
          <w:szCs w:val="24"/>
        </w:rPr>
        <w:t>1.35</w:t>
      </w:r>
      <w:r w:rsidR="00277120">
        <w:rPr>
          <w:sz w:val="24"/>
          <w:szCs w:val="24"/>
        </w:rPr>
        <w:t xml:space="preserve"> per cent</w:t>
      </w:r>
      <w:r w:rsidRPr="005C6837">
        <w:rPr>
          <w:sz w:val="24"/>
          <w:szCs w:val="24"/>
        </w:rPr>
        <w:t xml:space="preserve"> from the first full pay period on or after 1 June 2021.</w:t>
      </w:r>
    </w:p>
    <w:p w14:paraId="3E635E70" w14:textId="5657291B" w:rsidR="005C6837" w:rsidRPr="005C6837" w:rsidRDefault="005C6837" w:rsidP="005C6837">
      <w:pPr>
        <w:rPr>
          <w:sz w:val="24"/>
          <w:szCs w:val="24"/>
        </w:rPr>
      </w:pPr>
      <w:r w:rsidRPr="005C6837">
        <w:rPr>
          <w:sz w:val="24"/>
          <w:szCs w:val="24"/>
        </w:rPr>
        <w:t xml:space="preserve">This represents an </w:t>
      </w:r>
      <w:r w:rsidRPr="005C6837">
        <w:rPr>
          <w:b/>
          <w:sz w:val="24"/>
          <w:szCs w:val="24"/>
        </w:rPr>
        <w:t>11.4</w:t>
      </w:r>
      <w:r w:rsidR="004F6A10">
        <w:rPr>
          <w:b/>
          <w:sz w:val="24"/>
          <w:szCs w:val="24"/>
        </w:rPr>
        <w:t xml:space="preserve"> </w:t>
      </w:r>
      <w:r w:rsidR="004F6A10" w:rsidRPr="004F6A10">
        <w:rPr>
          <w:b/>
          <w:sz w:val="24"/>
          <w:szCs w:val="24"/>
        </w:rPr>
        <w:t>per cent</w:t>
      </w:r>
      <w:r w:rsidR="004F6A10" w:rsidRPr="005C6837">
        <w:rPr>
          <w:b/>
          <w:sz w:val="24"/>
          <w:szCs w:val="24"/>
        </w:rPr>
        <w:t xml:space="preserve"> </w:t>
      </w:r>
      <w:r w:rsidRPr="005C6837">
        <w:rPr>
          <w:b/>
          <w:sz w:val="24"/>
          <w:szCs w:val="24"/>
        </w:rPr>
        <w:t>increase</w:t>
      </w:r>
      <w:r w:rsidRPr="005C6837">
        <w:rPr>
          <w:sz w:val="24"/>
          <w:szCs w:val="24"/>
        </w:rPr>
        <w:t xml:space="preserve"> from 1 October 2017 to 1 June 2021. This percentage is compounding, not additive.</w:t>
      </w:r>
    </w:p>
    <w:tbl>
      <w:tblPr>
        <w:tblStyle w:val="TableGrid"/>
        <w:tblW w:w="0" w:type="auto"/>
        <w:shd w:val="clear" w:color="auto" w:fill="E5DFEC" w:themeFill="accent4" w:themeFillTint="33"/>
        <w:tblLook w:val="04A0" w:firstRow="1" w:lastRow="0" w:firstColumn="1" w:lastColumn="0" w:noHBand="0" w:noVBand="1"/>
      </w:tblPr>
      <w:tblGrid>
        <w:gridCol w:w="9016"/>
      </w:tblGrid>
      <w:tr w:rsidR="00350474" w14:paraId="4D542769" w14:textId="77777777" w:rsidTr="00350474">
        <w:tc>
          <w:tcPr>
            <w:tcW w:w="9016" w:type="dxa"/>
            <w:shd w:val="clear" w:color="auto" w:fill="E5DFEC" w:themeFill="accent4" w:themeFillTint="33"/>
          </w:tcPr>
          <w:p w14:paraId="4E87DDC8" w14:textId="2D31B185" w:rsidR="0040752F" w:rsidRDefault="002A297A" w:rsidP="00931D6A">
            <w:pPr>
              <w:spacing w:before="120" w:after="120" w:line="276" w:lineRule="auto"/>
            </w:pPr>
            <w:r w:rsidRPr="007570FB">
              <w:rPr>
                <w:b/>
                <w:color w:val="000000" w:themeColor="text1"/>
                <w:sz w:val="24"/>
                <w:szCs w:val="24"/>
              </w:rPr>
              <w:t xml:space="preserve">Decision </w:t>
            </w:r>
            <w:r w:rsidR="00963BBB">
              <w:rPr>
                <w:b/>
                <w:color w:val="000000" w:themeColor="text1"/>
                <w:sz w:val="24"/>
                <w:szCs w:val="24"/>
              </w:rPr>
              <w:t>12</w:t>
            </w:r>
            <w:r w:rsidR="00C50D79">
              <w:rPr>
                <w:b/>
                <w:color w:val="000000" w:themeColor="text1"/>
                <w:sz w:val="24"/>
                <w:szCs w:val="24"/>
              </w:rPr>
              <w:t>:</w:t>
            </w:r>
            <w:r w:rsidRPr="007570FB">
              <w:rPr>
                <w:sz w:val="24"/>
                <w:szCs w:val="24"/>
              </w:rPr>
              <w:t xml:space="preserve"> </w:t>
            </w:r>
            <w:r w:rsidR="008C2656">
              <w:rPr>
                <w:sz w:val="24"/>
                <w:szCs w:val="24"/>
              </w:rPr>
              <w:t>A</w:t>
            </w:r>
            <w:r w:rsidR="00F71829">
              <w:rPr>
                <w:sz w:val="24"/>
                <w:szCs w:val="24"/>
              </w:rPr>
              <w:t>s part of the annual review of executive base salaries</w:t>
            </w:r>
            <w:r w:rsidR="008C2656">
              <w:rPr>
                <w:sz w:val="24"/>
                <w:szCs w:val="24"/>
              </w:rPr>
              <w:t>, the Tribunal</w:t>
            </w:r>
            <w:r w:rsidR="00F71829">
              <w:rPr>
                <w:sz w:val="24"/>
                <w:szCs w:val="24"/>
              </w:rPr>
              <w:t xml:space="preserve"> will </w:t>
            </w:r>
            <w:r w:rsidR="008C2656">
              <w:rPr>
                <w:sz w:val="24"/>
                <w:szCs w:val="24"/>
              </w:rPr>
              <w:t xml:space="preserve">monitor </w:t>
            </w:r>
            <w:r w:rsidR="00F71829">
              <w:rPr>
                <w:sz w:val="24"/>
                <w:szCs w:val="24"/>
              </w:rPr>
              <w:t xml:space="preserve">the relativities </w:t>
            </w:r>
            <w:r w:rsidR="004056FF">
              <w:rPr>
                <w:sz w:val="24"/>
                <w:szCs w:val="24"/>
              </w:rPr>
              <w:t xml:space="preserve">between executive base salaries and </w:t>
            </w:r>
            <w:r w:rsidR="00F71829">
              <w:rPr>
                <w:sz w:val="24"/>
                <w:szCs w:val="24"/>
              </w:rPr>
              <w:t>the salaries for the non-executive ACTPS, as determined through the Enterprise Agreements.</w:t>
            </w:r>
          </w:p>
        </w:tc>
      </w:tr>
    </w:tbl>
    <w:p w14:paraId="1445AF4C" w14:textId="39D4540D" w:rsidR="00801E1A" w:rsidRDefault="008C2656" w:rsidP="00801E1A">
      <w:pPr>
        <w:spacing w:before="240" w:after="120"/>
        <w:rPr>
          <w:sz w:val="24"/>
          <w:szCs w:val="24"/>
        </w:rPr>
      </w:pPr>
      <w:r>
        <w:rPr>
          <w:sz w:val="24"/>
          <w:szCs w:val="24"/>
        </w:rPr>
        <w:t xml:space="preserve">In addition to the decisions outlined in </w:t>
      </w:r>
      <w:r w:rsidRPr="00D67086">
        <w:rPr>
          <w:sz w:val="24"/>
          <w:szCs w:val="24"/>
        </w:rPr>
        <w:t xml:space="preserve">Decision 6 to </w:t>
      </w:r>
      <w:r w:rsidR="00963BBB" w:rsidRPr="00D67086">
        <w:rPr>
          <w:sz w:val="24"/>
          <w:szCs w:val="24"/>
        </w:rPr>
        <w:t>12</w:t>
      </w:r>
      <w:r w:rsidRPr="00D67086">
        <w:rPr>
          <w:sz w:val="24"/>
          <w:szCs w:val="24"/>
        </w:rPr>
        <w:t>,</w:t>
      </w:r>
      <w:r>
        <w:rPr>
          <w:sz w:val="24"/>
          <w:szCs w:val="24"/>
        </w:rPr>
        <w:t xml:space="preserve"> t</w:t>
      </w:r>
      <w:r w:rsidR="00801E1A" w:rsidRPr="00801E1A">
        <w:rPr>
          <w:sz w:val="24"/>
          <w:szCs w:val="24"/>
        </w:rPr>
        <w:t xml:space="preserve">he Tribunal </w:t>
      </w:r>
      <w:r w:rsidR="00C50D79">
        <w:rPr>
          <w:sz w:val="24"/>
          <w:szCs w:val="24"/>
        </w:rPr>
        <w:t xml:space="preserve">will </w:t>
      </w:r>
      <w:r w:rsidR="00E566A1">
        <w:rPr>
          <w:sz w:val="24"/>
          <w:szCs w:val="24"/>
        </w:rPr>
        <w:t xml:space="preserve">continue </w:t>
      </w:r>
      <w:r w:rsidR="00774D63">
        <w:rPr>
          <w:sz w:val="24"/>
          <w:szCs w:val="24"/>
        </w:rPr>
        <w:t xml:space="preserve">to </w:t>
      </w:r>
      <w:r w:rsidR="00722624">
        <w:rPr>
          <w:sz w:val="24"/>
          <w:szCs w:val="24"/>
        </w:rPr>
        <w:t>co</w:t>
      </w:r>
      <w:r w:rsidR="00774D63">
        <w:rPr>
          <w:sz w:val="24"/>
          <w:szCs w:val="24"/>
        </w:rPr>
        <w:t>nsider the state of the economy,</w:t>
      </w:r>
      <w:r w:rsidR="00722624">
        <w:rPr>
          <w:sz w:val="24"/>
          <w:szCs w:val="24"/>
        </w:rPr>
        <w:t xml:space="preserve"> changes to legislation and functional responsibilities including</w:t>
      </w:r>
      <w:r w:rsidR="00E566A1">
        <w:rPr>
          <w:sz w:val="24"/>
          <w:szCs w:val="24"/>
        </w:rPr>
        <w:t xml:space="preserve"> work value</w:t>
      </w:r>
      <w:r w:rsidR="00722624">
        <w:rPr>
          <w:sz w:val="24"/>
          <w:szCs w:val="24"/>
        </w:rPr>
        <w:t>,</w:t>
      </w:r>
      <w:r w:rsidR="00E566A1">
        <w:rPr>
          <w:sz w:val="24"/>
          <w:szCs w:val="24"/>
        </w:rPr>
        <w:t xml:space="preserve"> </w:t>
      </w:r>
      <w:r w:rsidR="00774D63">
        <w:rPr>
          <w:sz w:val="24"/>
          <w:szCs w:val="24"/>
        </w:rPr>
        <w:t>stakeholder submission</w:t>
      </w:r>
      <w:r w:rsidR="00D67086">
        <w:rPr>
          <w:sz w:val="24"/>
          <w:szCs w:val="24"/>
        </w:rPr>
        <w:t>s</w:t>
      </w:r>
      <w:r w:rsidR="00E566A1">
        <w:rPr>
          <w:sz w:val="24"/>
          <w:szCs w:val="24"/>
        </w:rPr>
        <w:t xml:space="preserve"> and discussions </w:t>
      </w:r>
      <w:r w:rsidR="00722624">
        <w:rPr>
          <w:sz w:val="24"/>
          <w:szCs w:val="24"/>
        </w:rPr>
        <w:t>and Government submissions</w:t>
      </w:r>
      <w:r w:rsidR="00801E1A" w:rsidRPr="00801E1A">
        <w:rPr>
          <w:sz w:val="24"/>
          <w:szCs w:val="24"/>
        </w:rPr>
        <w:t xml:space="preserve"> as its key principles</w:t>
      </w:r>
      <w:r w:rsidR="00801E1A">
        <w:rPr>
          <w:sz w:val="24"/>
          <w:szCs w:val="24"/>
        </w:rPr>
        <w:t xml:space="preserve"> as the basis</w:t>
      </w:r>
      <w:r w:rsidR="00801E1A" w:rsidRPr="00801E1A">
        <w:rPr>
          <w:sz w:val="24"/>
          <w:szCs w:val="24"/>
        </w:rPr>
        <w:t xml:space="preserve"> for </w:t>
      </w:r>
      <w:r w:rsidR="00801E1A">
        <w:rPr>
          <w:sz w:val="24"/>
          <w:szCs w:val="24"/>
        </w:rPr>
        <w:t xml:space="preserve">setting executive base remuneration in the </w:t>
      </w:r>
      <w:r w:rsidR="008B48B9">
        <w:rPr>
          <w:sz w:val="24"/>
          <w:szCs w:val="24"/>
        </w:rPr>
        <w:t>annual determinations</w:t>
      </w:r>
      <w:r w:rsidR="00801E1A">
        <w:rPr>
          <w:sz w:val="24"/>
          <w:szCs w:val="24"/>
        </w:rPr>
        <w:t>.</w:t>
      </w:r>
    </w:p>
    <w:p w14:paraId="64BF6F56" w14:textId="77777777" w:rsidR="009E725B" w:rsidRDefault="009E725B">
      <w:pPr>
        <w:rPr>
          <w:rFonts w:asciiTheme="majorHAnsi" w:eastAsiaTheme="majorEastAsia" w:hAnsiTheme="majorHAnsi" w:cstheme="majorBidi"/>
          <w:b/>
          <w:bCs/>
          <w:color w:val="4F81BD" w:themeColor="accent1"/>
          <w:sz w:val="26"/>
          <w:szCs w:val="26"/>
        </w:rPr>
      </w:pPr>
      <w:r>
        <w:br w:type="page"/>
      </w:r>
    </w:p>
    <w:p w14:paraId="13AC3BB9" w14:textId="30847669" w:rsidR="00C45D04" w:rsidRDefault="00C45D04" w:rsidP="00C45D04">
      <w:pPr>
        <w:pStyle w:val="Heading2"/>
      </w:pPr>
      <w:bookmarkStart w:id="31" w:name="_Toc2327872"/>
      <w:r>
        <w:lastRenderedPageBreak/>
        <w:t>Vehicle and parking arrangement</w:t>
      </w:r>
      <w:r w:rsidR="00AE4019">
        <w:t>s</w:t>
      </w:r>
      <w:bookmarkEnd w:id="31"/>
    </w:p>
    <w:p w14:paraId="1A15E6E5" w14:textId="7511D22D" w:rsidR="00733729" w:rsidRDefault="005E0AEF" w:rsidP="00DF4362">
      <w:pPr>
        <w:spacing w:before="240" w:after="120"/>
        <w:rPr>
          <w:rFonts w:eastAsia="Times New Roman" w:cs="Times New Roman"/>
          <w:b/>
          <w:bCs/>
          <w:sz w:val="24"/>
          <w:szCs w:val="20"/>
        </w:rPr>
      </w:pPr>
      <w:r>
        <w:rPr>
          <w:sz w:val="24"/>
          <w:szCs w:val="24"/>
        </w:rPr>
        <w:t>From the establishment of the Remuneration Tribunal in 1996 through to 2006, the Tribunal was responsible for setting the allowance</w:t>
      </w:r>
      <w:r w:rsidR="004056FF">
        <w:rPr>
          <w:sz w:val="24"/>
          <w:szCs w:val="24"/>
        </w:rPr>
        <w:t xml:space="preserve"> rates</w:t>
      </w:r>
      <w:r>
        <w:rPr>
          <w:sz w:val="24"/>
          <w:szCs w:val="24"/>
        </w:rPr>
        <w:t xml:space="preserve"> for payments in lieu of executive vehicles</w:t>
      </w:r>
      <w:r w:rsidR="00B40D89">
        <w:rPr>
          <w:sz w:val="24"/>
          <w:szCs w:val="24"/>
        </w:rPr>
        <w:t xml:space="preserve"> and car parking space</w:t>
      </w:r>
      <w:r>
        <w:rPr>
          <w:sz w:val="24"/>
          <w:szCs w:val="24"/>
        </w:rPr>
        <w:t>.</w:t>
      </w:r>
      <w:r w:rsidRPr="006953B7">
        <w:rPr>
          <w:sz w:val="24"/>
          <w:szCs w:val="24"/>
        </w:rPr>
        <w:t xml:space="preserve"> From 2006 </w:t>
      </w:r>
      <w:r w:rsidR="00E566A1" w:rsidRPr="006953B7">
        <w:rPr>
          <w:sz w:val="24"/>
          <w:szCs w:val="24"/>
        </w:rPr>
        <w:t>th</w:t>
      </w:r>
      <w:r w:rsidR="00E566A1">
        <w:rPr>
          <w:sz w:val="24"/>
          <w:szCs w:val="24"/>
        </w:rPr>
        <w:t>ese</w:t>
      </w:r>
      <w:r w:rsidR="00E566A1" w:rsidRPr="006953B7">
        <w:rPr>
          <w:sz w:val="24"/>
          <w:szCs w:val="24"/>
        </w:rPr>
        <w:t xml:space="preserve"> </w:t>
      </w:r>
      <w:r w:rsidRPr="006953B7">
        <w:rPr>
          <w:sz w:val="24"/>
          <w:szCs w:val="24"/>
        </w:rPr>
        <w:t xml:space="preserve">allowances </w:t>
      </w:r>
      <w:r w:rsidR="003E3D3C">
        <w:rPr>
          <w:sz w:val="24"/>
          <w:szCs w:val="24"/>
        </w:rPr>
        <w:t xml:space="preserve">have </w:t>
      </w:r>
      <w:r w:rsidRPr="006953B7">
        <w:rPr>
          <w:sz w:val="24"/>
          <w:szCs w:val="24"/>
        </w:rPr>
        <w:t>been provided through the</w:t>
      </w:r>
      <w:r w:rsidR="00772632">
        <w:rPr>
          <w:sz w:val="24"/>
          <w:szCs w:val="24"/>
        </w:rPr>
        <w:br/>
      </w:r>
      <w:r w:rsidRPr="006953B7">
        <w:rPr>
          <w:sz w:val="24"/>
          <w:szCs w:val="24"/>
        </w:rPr>
        <w:t xml:space="preserve">PSM Standards and </w:t>
      </w:r>
      <w:r w:rsidR="00C95E77">
        <w:rPr>
          <w:sz w:val="24"/>
          <w:szCs w:val="24"/>
        </w:rPr>
        <w:t xml:space="preserve">are </w:t>
      </w:r>
      <w:r w:rsidR="0055731A" w:rsidRPr="006953B7">
        <w:rPr>
          <w:sz w:val="24"/>
          <w:szCs w:val="24"/>
        </w:rPr>
        <w:t>no</w:t>
      </w:r>
      <w:r w:rsidRPr="006953B7">
        <w:rPr>
          <w:sz w:val="24"/>
          <w:szCs w:val="24"/>
        </w:rPr>
        <w:t xml:space="preserve"> longer determined by the Tribunal.</w:t>
      </w:r>
    </w:p>
    <w:p w14:paraId="3D2987C2" w14:textId="044B312E" w:rsidR="00314604" w:rsidRPr="00314604" w:rsidRDefault="00314604" w:rsidP="00314604">
      <w:pPr>
        <w:pStyle w:val="Heading3"/>
        <w:rPr>
          <w:rFonts w:asciiTheme="minorHAnsi" w:hAnsiTheme="minorHAnsi"/>
        </w:rPr>
      </w:pPr>
      <w:bookmarkStart w:id="32" w:name="_Toc2327873"/>
      <w:r>
        <w:rPr>
          <w:rFonts w:asciiTheme="minorHAnsi" w:hAnsiTheme="minorHAnsi"/>
        </w:rPr>
        <w:t xml:space="preserve">Allowance in </w:t>
      </w:r>
      <w:r w:rsidR="00B92D42">
        <w:rPr>
          <w:rFonts w:asciiTheme="minorHAnsi" w:hAnsiTheme="minorHAnsi"/>
        </w:rPr>
        <w:t>lieu</w:t>
      </w:r>
      <w:r>
        <w:rPr>
          <w:rFonts w:asciiTheme="minorHAnsi" w:hAnsiTheme="minorHAnsi"/>
        </w:rPr>
        <w:t xml:space="preserve"> of a vehicle</w:t>
      </w:r>
      <w:bookmarkEnd w:id="32"/>
    </w:p>
    <w:p w14:paraId="285A6E32" w14:textId="01786470" w:rsidR="00FE40B5" w:rsidRDefault="00FE40B5" w:rsidP="00D971FC">
      <w:pPr>
        <w:contextualSpacing/>
        <w:rPr>
          <w:sz w:val="24"/>
          <w:szCs w:val="24"/>
        </w:rPr>
      </w:pPr>
      <w:r>
        <w:rPr>
          <w:sz w:val="24"/>
          <w:szCs w:val="24"/>
        </w:rPr>
        <w:t>The Tribunal notes that the Government increased the rates for executive vehicles from 1</w:t>
      </w:r>
      <w:r w:rsidR="00D971FC">
        <w:rPr>
          <w:sz w:val="24"/>
          <w:szCs w:val="24"/>
        </w:rPr>
        <w:t> </w:t>
      </w:r>
      <w:r>
        <w:rPr>
          <w:sz w:val="24"/>
          <w:szCs w:val="24"/>
        </w:rPr>
        <w:t>July 2018, bringing the allowance in lieu of a vehicle for an Executive Band 4 to an amount equivalent to the rate set for MLAs by the Tribunal</w:t>
      </w:r>
      <w:r w:rsidR="006858C6">
        <w:rPr>
          <w:sz w:val="24"/>
          <w:szCs w:val="24"/>
        </w:rPr>
        <w:t>. T</w:t>
      </w:r>
      <w:r>
        <w:rPr>
          <w:sz w:val="24"/>
          <w:szCs w:val="24"/>
        </w:rPr>
        <w:t xml:space="preserve">he rates for Executive Bands 3, 2 and 1 have </w:t>
      </w:r>
      <w:r w:rsidR="006858C6">
        <w:rPr>
          <w:sz w:val="24"/>
          <w:szCs w:val="24"/>
        </w:rPr>
        <w:t xml:space="preserve">also </w:t>
      </w:r>
      <w:r>
        <w:rPr>
          <w:sz w:val="24"/>
          <w:szCs w:val="24"/>
        </w:rPr>
        <w:t>been increased to maintain rates relative to the Band 4.</w:t>
      </w:r>
      <w:r w:rsidR="00772632">
        <w:rPr>
          <w:sz w:val="24"/>
          <w:szCs w:val="24"/>
        </w:rPr>
        <w:t xml:space="preserve"> The revised rates are:</w:t>
      </w:r>
    </w:p>
    <w:p w14:paraId="48A13793" w14:textId="5E1C6AAF" w:rsidR="00772632" w:rsidRDefault="00772632" w:rsidP="00E70612">
      <w:pPr>
        <w:pStyle w:val="ListParagraph"/>
        <w:numPr>
          <w:ilvl w:val="0"/>
          <w:numId w:val="20"/>
        </w:numPr>
        <w:contextualSpacing/>
        <w:rPr>
          <w:sz w:val="24"/>
          <w:szCs w:val="24"/>
        </w:rPr>
      </w:pPr>
      <w:r>
        <w:rPr>
          <w:sz w:val="24"/>
          <w:szCs w:val="24"/>
        </w:rPr>
        <w:t>Band 1: $24,000 per annum;</w:t>
      </w:r>
    </w:p>
    <w:p w14:paraId="7D73CA14" w14:textId="3A754C63" w:rsidR="00772632" w:rsidRDefault="00772632" w:rsidP="00E70612">
      <w:pPr>
        <w:pStyle w:val="ListParagraph"/>
        <w:numPr>
          <w:ilvl w:val="0"/>
          <w:numId w:val="20"/>
        </w:numPr>
        <w:contextualSpacing/>
        <w:rPr>
          <w:sz w:val="24"/>
          <w:szCs w:val="24"/>
        </w:rPr>
      </w:pPr>
      <w:r>
        <w:rPr>
          <w:sz w:val="24"/>
          <w:szCs w:val="24"/>
        </w:rPr>
        <w:t>Band 2: $24,500 per annum;</w:t>
      </w:r>
    </w:p>
    <w:p w14:paraId="03359A83" w14:textId="41975B76" w:rsidR="00772632" w:rsidRDefault="00772632" w:rsidP="00E70612">
      <w:pPr>
        <w:pStyle w:val="ListParagraph"/>
        <w:numPr>
          <w:ilvl w:val="0"/>
          <w:numId w:val="20"/>
        </w:numPr>
        <w:contextualSpacing/>
        <w:rPr>
          <w:sz w:val="24"/>
          <w:szCs w:val="24"/>
        </w:rPr>
      </w:pPr>
      <w:r>
        <w:rPr>
          <w:sz w:val="24"/>
          <w:szCs w:val="24"/>
        </w:rPr>
        <w:t>Band 3: $25,000 per annum;</w:t>
      </w:r>
    </w:p>
    <w:p w14:paraId="41003FAB" w14:textId="669C9DA0" w:rsidR="00772632" w:rsidRPr="00E70612" w:rsidRDefault="00772632" w:rsidP="00E70612">
      <w:pPr>
        <w:pStyle w:val="ListParagraph"/>
        <w:numPr>
          <w:ilvl w:val="0"/>
          <w:numId w:val="20"/>
        </w:numPr>
        <w:contextualSpacing/>
        <w:rPr>
          <w:sz w:val="24"/>
          <w:szCs w:val="24"/>
        </w:rPr>
      </w:pPr>
      <w:r>
        <w:rPr>
          <w:sz w:val="24"/>
          <w:szCs w:val="24"/>
        </w:rPr>
        <w:t>Band 4: $25,500 per annum.</w:t>
      </w:r>
    </w:p>
    <w:p w14:paraId="3D0C3C74" w14:textId="77777777" w:rsidR="00787B51" w:rsidRDefault="00787B51" w:rsidP="00D971FC">
      <w:pPr>
        <w:contextualSpacing/>
        <w:rPr>
          <w:sz w:val="24"/>
          <w:szCs w:val="24"/>
        </w:rPr>
      </w:pPr>
    </w:p>
    <w:p w14:paraId="672A3E18" w14:textId="0F1C3D8D" w:rsidR="00D971FC" w:rsidRDefault="00D60A79" w:rsidP="009E725B">
      <w:pPr>
        <w:rPr>
          <w:sz w:val="24"/>
          <w:szCs w:val="24"/>
        </w:rPr>
      </w:pPr>
      <w:r>
        <w:rPr>
          <w:sz w:val="24"/>
          <w:szCs w:val="24"/>
        </w:rPr>
        <w:t>The allowance in lieu of an executive vehicle has always been</w:t>
      </w:r>
      <w:r w:rsidR="008B104B">
        <w:rPr>
          <w:sz w:val="24"/>
          <w:szCs w:val="24"/>
        </w:rPr>
        <w:t xml:space="preserve"> a </w:t>
      </w:r>
      <w:r>
        <w:rPr>
          <w:sz w:val="24"/>
          <w:szCs w:val="24"/>
        </w:rPr>
        <w:t xml:space="preserve">different </w:t>
      </w:r>
      <w:r w:rsidR="008B104B">
        <w:rPr>
          <w:sz w:val="24"/>
          <w:szCs w:val="24"/>
        </w:rPr>
        <w:t xml:space="preserve">rate </w:t>
      </w:r>
      <w:r>
        <w:rPr>
          <w:sz w:val="24"/>
          <w:szCs w:val="24"/>
        </w:rPr>
        <w:t>depending on each band. It is understood that these arrangements have been in place for historical reasons and this approach has continued since they were introduced.</w:t>
      </w:r>
      <w:r w:rsidR="00F71829">
        <w:rPr>
          <w:sz w:val="24"/>
          <w:szCs w:val="24"/>
        </w:rPr>
        <w:t xml:space="preserve"> </w:t>
      </w:r>
      <w:r w:rsidR="0092671A">
        <w:rPr>
          <w:sz w:val="24"/>
          <w:szCs w:val="24"/>
        </w:rPr>
        <w:t xml:space="preserve">According to the </w:t>
      </w:r>
      <w:r w:rsidR="00200DD0">
        <w:rPr>
          <w:sz w:val="24"/>
          <w:szCs w:val="24"/>
        </w:rPr>
        <w:br/>
      </w:r>
      <w:r w:rsidR="007F160C">
        <w:rPr>
          <w:sz w:val="24"/>
          <w:szCs w:val="24"/>
        </w:rPr>
        <w:t xml:space="preserve">PSM </w:t>
      </w:r>
      <w:r w:rsidR="009804C0">
        <w:rPr>
          <w:sz w:val="24"/>
          <w:szCs w:val="24"/>
        </w:rPr>
        <w:t>Standards</w:t>
      </w:r>
      <w:r w:rsidR="007F160C">
        <w:rPr>
          <w:sz w:val="24"/>
          <w:szCs w:val="24"/>
        </w:rPr>
        <w:t xml:space="preserve"> </w:t>
      </w:r>
      <w:r w:rsidR="0092671A">
        <w:rPr>
          <w:sz w:val="24"/>
          <w:szCs w:val="24"/>
        </w:rPr>
        <w:t>Explanatory Statement</w:t>
      </w:r>
      <w:r w:rsidR="0092671A" w:rsidRPr="00563607">
        <w:rPr>
          <w:rStyle w:val="FootnoteReference"/>
          <w:rFonts w:ascii="Calibri" w:hAnsi="Calibri"/>
          <w:sz w:val="24"/>
          <w:szCs w:val="24"/>
        </w:rPr>
        <w:footnoteReference w:id="21"/>
      </w:r>
      <w:r w:rsidR="0092671A">
        <w:rPr>
          <w:sz w:val="24"/>
          <w:szCs w:val="24"/>
        </w:rPr>
        <w:t>, t</w:t>
      </w:r>
      <w:r w:rsidR="00772632">
        <w:rPr>
          <w:sz w:val="24"/>
          <w:szCs w:val="24"/>
        </w:rPr>
        <w:t>he</w:t>
      </w:r>
      <w:r w:rsidR="006C2668">
        <w:rPr>
          <w:sz w:val="24"/>
          <w:szCs w:val="24"/>
        </w:rPr>
        <w:t xml:space="preserve">re </w:t>
      </w:r>
      <w:r w:rsidR="00863F82">
        <w:rPr>
          <w:sz w:val="24"/>
          <w:szCs w:val="24"/>
        </w:rPr>
        <w:t xml:space="preserve">had </w:t>
      </w:r>
      <w:r w:rsidR="006C2668">
        <w:rPr>
          <w:sz w:val="24"/>
          <w:szCs w:val="24"/>
        </w:rPr>
        <w:t>been no adjustment to the</w:t>
      </w:r>
      <w:r w:rsidR="00772632">
        <w:rPr>
          <w:sz w:val="24"/>
          <w:szCs w:val="24"/>
        </w:rPr>
        <w:t xml:space="preserve"> allowance in lieu of a vehicle since 2014.</w:t>
      </w:r>
      <w:r w:rsidR="004056FF">
        <w:rPr>
          <w:sz w:val="24"/>
          <w:szCs w:val="24"/>
        </w:rPr>
        <w:t xml:space="preserve"> </w:t>
      </w:r>
      <w:r w:rsidR="004056FF" w:rsidRPr="00721055">
        <w:rPr>
          <w:sz w:val="24"/>
          <w:szCs w:val="24"/>
        </w:rPr>
        <w:t xml:space="preserve">During 2017-18 </w:t>
      </w:r>
      <w:r w:rsidR="008B48B9">
        <w:rPr>
          <w:sz w:val="24"/>
          <w:szCs w:val="24"/>
        </w:rPr>
        <w:t>f</w:t>
      </w:r>
      <w:r w:rsidR="004056FF" w:rsidRPr="00721055">
        <w:rPr>
          <w:sz w:val="24"/>
          <w:szCs w:val="24"/>
        </w:rPr>
        <w:t xml:space="preserve">inancial </w:t>
      </w:r>
      <w:r w:rsidR="008B48B9">
        <w:rPr>
          <w:sz w:val="24"/>
          <w:szCs w:val="24"/>
        </w:rPr>
        <w:t>y</w:t>
      </w:r>
      <w:r w:rsidR="004056FF" w:rsidRPr="00721055">
        <w:rPr>
          <w:sz w:val="24"/>
          <w:szCs w:val="24"/>
        </w:rPr>
        <w:t>ear, 88.8 per cent of executives elected to receive an allowance in lieu of a vehicle.</w:t>
      </w:r>
    </w:p>
    <w:p w14:paraId="082898BF" w14:textId="23A3846A" w:rsidR="00772632" w:rsidRPr="000E1210" w:rsidRDefault="00FE40B5" w:rsidP="000E1210">
      <w:pPr>
        <w:rPr>
          <w:color w:val="000000" w:themeColor="text1"/>
          <w:sz w:val="24"/>
          <w:szCs w:val="24"/>
        </w:rPr>
      </w:pPr>
      <w:r w:rsidRPr="000E1210">
        <w:rPr>
          <w:sz w:val="24"/>
          <w:szCs w:val="24"/>
        </w:rPr>
        <w:t>Whilst th</w:t>
      </w:r>
      <w:r w:rsidR="0092671A" w:rsidRPr="000E1210">
        <w:rPr>
          <w:sz w:val="24"/>
          <w:szCs w:val="24"/>
        </w:rPr>
        <w:t>e increase to the rates</w:t>
      </w:r>
      <w:r w:rsidRPr="000E1210">
        <w:rPr>
          <w:sz w:val="24"/>
          <w:szCs w:val="24"/>
        </w:rPr>
        <w:t xml:space="preserve"> is a positive step, </w:t>
      </w:r>
      <w:r w:rsidR="008F6284" w:rsidRPr="000E1210">
        <w:rPr>
          <w:sz w:val="24"/>
          <w:szCs w:val="24"/>
        </w:rPr>
        <w:t xml:space="preserve">the </w:t>
      </w:r>
      <w:r w:rsidR="00630B03" w:rsidRPr="007F684F">
        <w:rPr>
          <w:sz w:val="24"/>
          <w:szCs w:val="24"/>
        </w:rPr>
        <w:t xml:space="preserve">Tribunal has </w:t>
      </w:r>
      <w:r w:rsidR="00630B03">
        <w:rPr>
          <w:sz w:val="24"/>
          <w:szCs w:val="24"/>
        </w:rPr>
        <w:t xml:space="preserve">continued to give consideration to the small number of executives electing to receive a vehicle and the </w:t>
      </w:r>
      <w:r w:rsidR="0079486A">
        <w:rPr>
          <w:sz w:val="24"/>
          <w:szCs w:val="24"/>
        </w:rPr>
        <w:t xml:space="preserve">subsequent </w:t>
      </w:r>
      <w:r w:rsidR="00630B03">
        <w:rPr>
          <w:sz w:val="24"/>
          <w:szCs w:val="24"/>
        </w:rPr>
        <w:t xml:space="preserve">transaction and administrative costs </w:t>
      </w:r>
      <w:r w:rsidR="00635501">
        <w:rPr>
          <w:sz w:val="24"/>
          <w:szCs w:val="24"/>
        </w:rPr>
        <w:t xml:space="preserve">that </w:t>
      </w:r>
      <w:r w:rsidR="00630B03">
        <w:rPr>
          <w:sz w:val="24"/>
          <w:szCs w:val="24"/>
        </w:rPr>
        <w:t>the Territory</w:t>
      </w:r>
      <w:r w:rsidR="0079486A">
        <w:rPr>
          <w:sz w:val="24"/>
          <w:szCs w:val="24"/>
        </w:rPr>
        <w:t xml:space="preserve"> incurs</w:t>
      </w:r>
      <w:r w:rsidR="00630B03">
        <w:rPr>
          <w:sz w:val="24"/>
          <w:szCs w:val="24"/>
        </w:rPr>
        <w:t xml:space="preserve">. </w:t>
      </w:r>
    </w:p>
    <w:p w14:paraId="72EA681D" w14:textId="2F1A789A" w:rsidR="007E3660" w:rsidRPr="00630B03" w:rsidRDefault="007E3660" w:rsidP="000E1210">
      <w:pPr>
        <w:rPr>
          <w:sz w:val="24"/>
          <w:szCs w:val="24"/>
        </w:rPr>
      </w:pPr>
      <w:r w:rsidRPr="000E1210">
        <w:rPr>
          <w:color w:val="000000" w:themeColor="text1"/>
          <w:sz w:val="24"/>
          <w:szCs w:val="24"/>
        </w:rPr>
        <w:t xml:space="preserve">As flagged in its </w:t>
      </w:r>
      <w:r w:rsidR="00646540">
        <w:rPr>
          <w:color w:val="000000" w:themeColor="text1"/>
          <w:sz w:val="24"/>
          <w:szCs w:val="24"/>
        </w:rPr>
        <w:t>D</w:t>
      </w:r>
      <w:r w:rsidR="00646540" w:rsidRPr="000E1210">
        <w:rPr>
          <w:color w:val="000000" w:themeColor="text1"/>
          <w:sz w:val="24"/>
          <w:szCs w:val="24"/>
        </w:rPr>
        <w:t xml:space="preserve">iscussion </w:t>
      </w:r>
      <w:r w:rsidR="00646540">
        <w:rPr>
          <w:color w:val="000000" w:themeColor="text1"/>
          <w:sz w:val="24"/>
          <w:szCs w:val="24"/>
        </w:rPr>
        <w:t>P</w:t>
      </w:r>
      <w:r w:rsidR="00646540" w:rsidRPr="000E1210">
        <w:rPr>
          <w:color w:val="000000" w:themeColor="text1"/>
          <w:sz w:val="24"/>
          <w:szCs w:val="24"/>
        </w:rPr>
        <w:t>aper</w:t>
      </w:r>
      <w:r w:rsidRPr="000E1210">
        <w:rPr>
          <w:color w:val="000000" w:themeColor="text1"/>
          <w:sz w:val="24"/>
          <w:szCs w:val="24"/>
        </w:rPr>
        <w:t>, following a review of entitlements for Members of the Australian Capital Territory Legislative Assembly (MLAs) undertaken in 2014, the Tribunal determined to remove the direct provision of a private plated vehicle, while providing an allowance of $21,500 to enable MLAs to make their own arrangements</w:t>
      </w:r>
      <w:r w:rsidRPr="00630B03">
        <w:rPr>
          <w:sz w:val="24"/>
          <w:szCs w:val="24"/>
        </w:rPr>
        <w:t xml:space="preserve">. This adjustment was made given the significant difference between the actual costs of a motor vehicle supplied by the ACT Government </w:t>
      </w:r>
      <w:r w:rsidR="0007648C" w:rsidRPr="00630B03">
        <w:rPr>
          <w:sz w:val="24"/>
          <w:szCs w:val="24"/>
        </w:rPr>
        <w:t xml:space="preserve">and the value of </w:t>
      </w:r>
      <w:r w:rsidRPr="00630B03">
        <w:rPr>
          <w:sz w:val="24"/>
          <w:szCs w:val="24"/>
        </w:rPr>
        <w:t xml:space="preserve">the cash payment. </w:t>
      </w:r>
    </w:p>
    <w:p w14:paraId="628DD919" w14:textId="3D1C74C2" w:rsidR="007E3660" w:rsidRDefault="007E3660" w:rsidP="000E1210">
      <w:pPr>
        <w:rPr>
          <w:color w:val="000000" w:themeColor="text1"/>
          <w:sz w:val="24"/>
          <w:szCs w:val="24"/>
        </w:rPr>
      </w:pPr>
      <w:r w:rsidRPr="000E1210">
        <w:rPr>
          <w:color w:val="000000" w:themeColor="text1"/>
          <w:sz w:val="24"/>
          <w:szCs w:val="24"/>
        </w:rPr>
        <w:t>In 2015 the motor vehicle allowance for MLAs was increased by a further $4,000 to the total of $25,500. This increase was to reflect the actual costs of leasing and running a car.</w:t>
      </w:r>
    </w:p>
    <w:p w14:paraId="4ED5D59E" w14:textId="77777777" w:rsidR="008F4CF3" w:rsidRDefault="008F4CF3">
      <w:pPr>
        <w:rPr>
          <w:color w:val="000000" w:themeColor="text1"/>
          <w:sz w:val="24"/>
          <w:szCs w:val="24"/>
        </w:rPr>
      </w:pPr>
      <w:r>
        <w:rPr>
          <w:color w:val="000000" w:themeColor="text1"/>
          <w:sz w:val="24"/>
          <w:szCs w:val="24"/>
        </w:rPr>
        <w:br w:type="page"/>
      </w:r>
    </w:p>
    <w:p w14:paraId="392D2821" w14:textId="02AD5656" w:rsidR="00AE4019" w:rsidRDefault="00AE4019" w:rsidP="000E1210">
      <w:pPr>
        <w:rPr>
          <w:color w:val="000000" w:themeColor="text1"/>
          <w:sz w:val="24"/>
          <w:szCs w:val="24"/>
        </w:rPr>
      </w:pPr>
      <w:r>
        <w:rPr>
          <w:color w:val="000000" w:themeColor="text1"/>
          <w:sz w:val="24"/>
          <w:szCs w:val="24"/>
        </w:rPr>
        <w:lastRenderedPageBreak/>
        <w:t xml:space="preserve">In considering the executive vehicle allowance, the Tribunal has considered whether it may be appropriate to establish </w:t>
      </w:r>
      <w:r w:rsidRPr="00AE4019">
        <w:rPr>
          <w:color w:val="000000" w:themeColor="text1"/>
          <w:sz w:val="24"/>
          <w:szCs w:val="24"/>
        </w:rPr>
        <w:t>one rate of allowance for all executives rather than different allowance rates for each classification band.</w:t>
      </w:r>
      <w:r>
        <w:rPr>
          <w:color w:val="000000" w:themeColor="text1"/>
          <w:sz w:val="24"/>
          <w:szCs w:val="24"/>
        </w:rPr>
        <w:t xml:space="preserve"> Some APS departments have a similar arrangement.</w:t>
      </w:r>
    </w:p>
    <w:p w14:paraId="6557733A" w14:textId="77777777" w:rsidR="00506573" w:rsidRDefault="00506573" w:rsidP="00506573">
      <w:pPr>
        <w:spacing w:before="120" w:after="120"/>
        <w:rPr>
          <w:color w:val="000000" w:themeColor="text1"/>
          <w:sz w:val="24"/>
          <w:szCs w:val="24"/>
        </w:rPr>
      </w:pPr>
      <w:r w:rsidRPr="000E1210">
        <w:rPr>
          <w:color w:val="000000" w:themeColor="text1"/>
          <w:sz w:val="24"/>
          <w:szCs w:val="24"/>
        </w:rPr>
        <w:t xml:space="preserve">Based on the research undertaken by Dr Julie West, the allowance in lieu of a vehicle could be between the </w:t>
      </w:r>
      <w:r>
        <w:rPr>
          <w:color w:val="000000" w:themeColor="text1"/>
          <w:sz w:val="24"/>
          <w:szCs w:val="24"/>
        </w:rPr>
        <w:t>median</w:t>
      </w:r>
      <w:r w:rsidRPr="000E1210">
        <w:rPr>
          <w:color w:val="000000" w:themeColor="text1"/>
          <w:sz w:val="24"/>
          <w:szCs w:val="24"/>
        </w:rPr>
        <w:t xml:space="preserve"> and maximum allowance paid in the APS as follows:</w:t>
      </w:r>
    </w:p>
    <w:tbl>
      <w:tblPr>
        <w:tblStyle w:val="TableGrid"/>
        <w:tblW w:w="0" w:type="auto"/>
        <w:jc w:val="center"/>
        <w:tblLook w:val="04A0" w:firstRow="1" w:lastRow="0" w:firstColumn="1" w:lastColumn="0" w:noHBand="0" w:noVBand="1"/>
      </w:tblPr>
      <w:tblGrid>
        <w:gridCol w:w="1532"/>
        <w:gridCol w:w="1701"/>
        <w:gridCol w:w="1985"/>
      </w:tblGrid>
      <w:tr w:rsidR="00506573" w:rsidRPr="008F6284" w14:paraId="743DD080" w14:textId="77777777" w:rsidTr="00931D6A">
        <w:trPr>
          <w:jc w:val="center"/>
        </w:trPr>
        <w:tc>
          <w:tcPr>
            <w:tcW w:w="1532" w:type="dxa"/>
            <w:tcBorders>
              <w:bottom w:val="single" w:sz="4" w:space="0" w:color="auto"/>
            </w:tcBorders>
            <w:shd w:val="clear" w:color="auto" w:fill="BFBFBF" w:themeFill="background1" w:themeFillShade="BF"/>
          </w:tcPr>
          <w:p w14:paraId="1323486A" w14:textId="77777777" w:rsidR="00506573" w:rsidRPr="008F6284" w:rsidRDefault="00506573" w:rsidP="00EC51F5">
            <w:pPr>
              <w:spacing w:before="120" w:after="120"/>
              <w:ind w:left="360"/>
              <w:rPr>
                <w:sz w:val="24"/>
                <w:szCs w:val="24"/>
              </w:rPr>
            </w:pPr>
          </w:p>
        </w:tc>
        <w:tc>
          <w:tcPr>
            <w:tcW w:w="1701" w:type="dxa"/>
            <w:shd w:val="clear" w:color="auto" w:fill="BFBFBF" w:themeFill="background1" w:themeFillShade="BF"/>
          </w:tcPr>
          <w:p w14:paraId="4B9DC70D" w14:textId="77777777" w:rsidR="00506573" w:rsidRPr="008F6284" w:rsidRDefault="00506573" w:rsidP="00EC51F5">
            <w:pPr>
              <w:spacing w:before="120" w:after="120"/>
              <w:ind w:left="360"/>
              <w:rPr>
                <w:b/>
                <w:sz w:val="24"/>
                <w:szCs w:val="24"/>
              </w:rPr>
            </w:pPr>
            <w:r>
              <w:rPr>
                <w:b/>
                <w:sz w:val="24"/>
                <w:szCs w:val="24"/>
              </w:rPr>
              <w:t>Median</w:t>
            </w:r>
          </w:p>
        </w:tc>
        <w:tc>
          <w:tcPr>
            <w:tcW w:w="1985" w:type="dxa"/>
            <w:shd w:val="clear" w:color="auto" w:fill="BFBFBF" w:themeFill="background1" w:themeFillShade="BF"/>
          </w:tcPr>
          <w:p w14:paraId="7EEA0E91" w14:textId="77777777" w:rsidR="00506573" w:rsidRPr="008F6284" w:rsidRDefault="00506573" w:rsidP="00EC51F5">
            <w:pPr>
              <w:spacing w:before="120" w:after="120"/>
              <w:ind w:left="360"/>
              <w:rPr>
                <w:b/>
                <w:sz w:val="24"/>
                <w:szCs w:val="24"/>
              </w:rPr>
            </w:pPr>
            <w:r w:rsidRPr="008F6284">
              <w:rPr>
                <w:b/>
                <w:sz w:val="24"/>
                <w:szCs w:val="24"/>
              </w:rPr>
              <w:t>Maximum</w:t>
            </w:r>
          </w:p>
        </w:tc>
      </w:tr>
      <w:tr w:rsidR="00506573" w:rsidRPr="008F6284" w14:paraId="5E3149D8" w14:textId="77777777" w:rsidTr="00931D6A">
        <w:trPr>
          <w:trHeight w:hRule="exact" w:val="567"/>
          <w:jc w:val="center"/>
        </w:trPr>
        <w:tc>
          <w:tcPr>
            <w:tcW w:w="1532" w:type="dxa"/>
            <w:shd w:val="clear" w:color="auto" w:fill="BFBFBF" w:themeFill="background1" w:themeFillShade="BF"/>
          </w:tcPr>
          <w:p w14:paraId="0274BA36" w14:textId="77777777" w:rsidR="00506573" w:rsidRPr="008F6284" w:rsidRDefault="00506573" w:rsidP="00EC51F5">
            <w:pPr>
              <w:spacing w:before="120" w:after="120"/>
              <w:ind w:left="360"/>
              <w:rPr>
                <w:b/>
                <w:sz w:val="24"/>
                <w:szCs w:val="24"/>
              </w:rPr>
            </w:pPr>
            <w:r w:rsidRPr="008F6284">
              <w:rPr>
                <w:b/>
                <w:sz w:val="24"/>
                <w:szCs w:val="24"/>
              </w:rPr>
              <w:t>Band 1</w:t>
            </w:r>
          </w:p>
        </w:tc>
        <w:tc>
          <w:tcPr>
            <w:tcW w:w="1701" w:type="dxa"/>
          </w:tcPr>
          <w:p w14:paraId="531858E5" w14:textId="77777777" w:rsidR="00506573" w:rsidRPr="008F6284" w:rsidRDefault="00506573" w:rsidP="00EC51F5">
            <w:pPr>
              <w:spacing w:before="120" w:after="120"/>
              <w:ind w:left="360"/>
              <w:rPr>
                <w:sz w:val="24"/>
                <w:szCs w:val="24"/>
              </w:rPr>
            </w:pPr>
            <w:r w:rsidRPr="008F6284">
              <w:rPr>
                <w:sz w:val="24"/>
                <w:szCs w:val="24"/>
              </w:rPr>
              <w:t>$2</w:t>
            </w:r>
            <w:r>
              <w:rPr>
                <w:sz w:val="24"/>
                <w:szCs w:val="24"/>
              </w:rPr>
              <w:t>5</w:t>
            </w:r>
            <w:r w:rsidRPr="008F6284">
              <w:rPr>
                <w:sz w:val="24"/>
                <w:szCs w:val="24"/>
              </w:rPr>
              <w:t>,000</w:t>
            </w:r>
          </w:p>
        </w:tc>
        <w:tc>
          <w:tcPr>
            <w:tcW w:w="1985" w:type="dxa"/>
          </w:tcPr>
          <w:p w14:paraId="68173AA2" w14:textId="77777777" w:rsidR="00506573" w:rsidRPr="008F6284" w:rsidRDefault="00506573" w:rsidP="00EC51F5">
            <w:pPr>
              <w:spacing w:before="120" w:after="120"/>
              <w:ind w:left="360"/>
              <w:rPr>
                <w:sz w:val="24"/>
                <w:szCs w:val="24"/>
              </w:rPr>
            </w:pPr>
            <w:r w:rsidRPr="008F6284">
              <w:rPr>
                <w:sz w:val="24"/>
                <w:szCs w:val="24"/>
              </w:rPr>
              <w:t>$3</w:t>
            </w:r>
            <w:r>
              <w:rPr>
                <w:sz w:val="24"/>
                <w:szCs w:val="24"/>
              </w:rPr>
              <w:t>5</w:t>
            </w:r>
            <w:r w:rsidRPr="008F6284">
              <w:rPr>
                <w:sz w:val="24"/>
                <w:szCs w:val="24"/>
              </w:rPr>
              <w:t>,000</w:t>
            </w:r>
          </w:p>
        </w:tc>
      </w:tr>
      <w:tr w:rsidR="00506573" w:rsidRPr="008F6284" w14:paraId="18A7DD4D" w14:textId="77777777" w:rsidTr="00931D6A">
        <w:trPr>
          <w:jc w:val="center"/>
        </w:trPr>
        <w:tc>
          <w:tcPr>
            <w:tcW w:w="1532" w:type="dxa"/>
            <w:shd w:val="clear" w:color="auto" w:fill="BFBFBF" w:themeFill="background1" w:themeFillShade="BF"/>
          </w:tcPr>
          <w:p w14:paraId="23EABA03" w14:textId="77777777" w:rsidR="00506573" w:rsidRPr="008F6284" w:rsidRDefault="00506573" w:rsidP="00EC51F5">
            <w:pPr>
              <w:spacing w:before="120" w:after="120"/>
              <w:ind w:left="360"/>
              <w:rPr>
                <w:b/>
                <w:sz w:val="24"/>
                <w:szCs w:val="24"/>
              </w:rPr>
            </w:pPr>
            <w:r w:rsidRPr="008F6284">
              <w:rPr>
                <w:b/>
                <w:sz w:val="24"/>
                <w:szCs w:val="24"/>
              </w:rPr>
              <w:t>Band 2</w:t>
            </w:r>
          </w:p>
        </w:tc>
        <w:tc>
          <w:tcPr>
            <w:tcW w:w="1701" w:type="dxa"/>
          </w:tcPr>
          <w:p w14:paraId="7EEED70F" w14:textId="77777777" w:rsidR="00506573" w:rsidRPr="008F6284" w:rsidRDefault="00506573" w:rsidP="00EC51F5">
            <w:pPr>
              <w:spacing w:before="120" w:after="120"/>
              <w:ind w:left="360"/>
              <w:rPr>
                <w:sz w:val="24"/>
                <w:szCs w:val="24"/>
              </w:rPr>
            </w:pPr>
            <w:r w:rsidRPr="008F6284">
              <w:rPr>
                <w:sz w:val="24"/>
                <w:szCs w:val="24"/>
              </w:rPr>
              <w:t>$27,000</w:t>
            </w:r>
          </w:p>
        </w:tc>
        <w:tc>
          <w:tcPr>
            <w:tcW w:w="1985" w:type="dxa"/>
          </w:tcPr>
          <w:p w14:paraId="2BBD4FB7" w14:textId="77777777" w:rsidR="00506573" w:rsidRPr="008F6284" w:rsidRDefault="00506573" w:rsidP="00EC51F5">
            <w:pPr>
              <w:spacing w:before="120" w:after="120"/>
              <w:ind w:left="360"/>
              <w:rPr>
                <w:sz w:val="24"/>
                <w:szCs w:val="24"/>
              </w:rPr>
            </w:pPr>
            <w:r w:rsidRPr="008F6284">
              <w:rPr>
                <w:sz w:val="24"/>
                <w:szCs w:val="24"/>
              </w:rPr>
              <w:t>$3</w:t>
            </w:r>
            <w:r>
              <w:rPr>
                <w:sz w:val="24"/>
                <w:szCs w:val="24"/>
              </w:rPr>
              <w:t>5</w:t>
            </w:r>
            <w:r w:rsidRPr="008F6284">
              <w:rPr>
                <w:sz w:val="24"/>
                <w:szCs w:val="24"/>
              </w:rPr>
              <w:t>,000</w:t>
            </w:r>
          </w:p>
        </w:tc>
      </w:tr>
      <w:tr w:rsidR="00506573" w:rsidRPr="008F6284" w14:paraId="2B0F1483" w14:textId="77777777" w:rsidTr="00931D6A">
        <w:trPr>
          <w:jc w:val="center"/>
        </w:trPr>
        <w:tc>
          <w:tcPr>
            <w:tcW w:w="1532" w:type="dxa"/>
            <w:shd w:val="clear" w:color="auto" w:fill="BFBFBF" w:themeFill="background1" w:themeFillShade="BF"/>
          </w:tcPr>
          <w:p w14:paraId="7AE180D3" w14:textId="77777777" w:rsidR="00506573" w:rsidRPr="008F6284" w:rsidRDefault="00506573" w:rsidP="00EC51F5">
            <w:pPr>
              <w:spacing w:before="120" w:after="120"/>
              <w:ind w:left="360"/>
              <w:rPr>
                <w:b/>
                <w:sz w:val="24"/>
                <w:szCs w:val="24"/>
              </w:rPr>
            </w:pPr>
            <w:r w:rsidRPr="008F6284">
              <w:rPr>
                <w:b/>
                <w:sz w:val="24"/>
                <w:szCs w:val="24"/>
              </w:rPr>
              <w:t>Band 3</w:t>
            </w:r>
          </w:p>
        </w:tc>
        <w:tc>
          <w:tcPr>
            <w:tcW w:w="1701" w:type="dxa"/>
          </w:tcPr>
          <w:p w14:paraId="38182526" w14:textId="77777777" w:rsidR="00506573" w:rsidRPr="008F6284" w:rsidRDefault="00506573" w:rsidP="00EC51F5">
            <w:pPr>
              <w:spacing w:before="120" w:after="120"/>
              <w:ind w:left="360"/>
              <w:rPr>
                <w:sz w:val="24"/>
                <w:szCs w:val="24"/>
              </w:rPr>
            </w:pPr>
            <w:r w:rsidRPr="008F6284">
              <w:rPr>
                <w:sz w:val="24"/>
                <w:szCs w:val="24"/>
              </w:rPr>
              <w:t>$30,000</w:t>
            </w:r>
          </w:p>
        </w:tc>
        <w:tc>
          <w:tcPr>
            <w:tcW w:w="1985" w:type="dxa"/>
          </w:tcPr>
          <w:p w14:paraId="1155FE72" w14:textId="77777777" w:rsidR="00506573" w:rsidRPr="008F6284" w:rsidRDefault="00506573" w:rsidP="00EC51F5">
            <w:pPr>
              <w:spacing w:before="120" w:after="120"/>
              <w:ind w:left="360"/>
              <w:rPr>
                <w:sz w:val="24"/>
                <w:szCs w:val="24"/>
              </w:rPr>
            </w:pPr>
            <w:r w:rsidRPr="008F6284">
              <w:rPr>
                <w:sz w:val="24"/>
                <w:szCs w:val="24"/>
              </w:rPr>
              <w:t>$35,000</w:t>
            </w:r>
          </w:p>
        </w:tc>
      </w:tr>
      <w:tr w:rsidR="00506573" w:rsidRPr="008F6284" w14:paraId="763C4B83" w14:textId="77777777" w:rsidTr="00931D6A">
        <w:trPr>
          <w:jc w:val="center"/>
        </w:trPr>
        <w:tc>
          <w:tcPr>
            <w:tcW w:w="1532" w:type="dxa"/>
            <w:shd w:val="clear" w:color="auto" w:fill="BFBFBF" w:themeFill="background1" w:themeFillShade="BF"/>
          </w:tcPr>
          <w:p w14:paraId="7C92A8CC" w14:textId="77777777" w:rsidR="00506573" w:rsidRPr="008F6284" w:rsidRDefault="00506573" w:rsidP="00EC51F5">
            <w:pPr>
              <w:spacing w:before="120" w:after="120"/>
              <w:ind w:left="360"/>
              <w:rPr>
                <w:b/>
                <w:sz w:val="24"/>
                <w:szCs w:val="24"/>
              </w:rPr>
            </w:pPr>
            <w:r w:rsidRPr="008F6284">
              <w:rPr>
                <w:b/>
                <w:sz w:val="24"/>
                <w:szCs w:val="24"/>
              </w:rPr>
              <w:t>Band 4</w:t>
            </w:r>
          </w:p>
        </w:tc>
        <w:tc>
          <w:tcPr>
            <w:tcW w:w="1701" w:type="dxa"/>
          </w:tcPr>
          <w:p w14:paraId="216297B1" w14:textId="77777777" w:rsidR="00506573" w:rsidRPr="008F6284" w:rsidRDefault="00506573" w:rsidP="00EC51F5">
            <w:pPr>
              <w:spacing w:before="120" w:after="120"/>
              <w:ind w:left="360"/>
              <w:rPr>
                <w:sz w:val="24"/>
                <w:szCs w:val="24"/>
              </w:rPr>
            </w:pPr>
            <w:r w:rsidRPr="008F6284">
              <w:rPr>
                <w:sz w:val="24"/>
                <w:szCs w:val="24"/>
              </w:rPr>
              <w:t>$35,280</w:t>
            </w:r>
          </w:p>
        </w:tc>
        <w:tc>
          <w:tcPr>
            <w:tcW w:w="1985" w:type="dxa"/>
          </w:tcPr>
          <w:p w14:paraId="5E622542" w14:textId="77777777" w:rsidR="00506573" w:rsidRPr="008F6284" w:rsidRDefault="00506573" w:rsidP="00EC51F5">
            <w:pPr>
              <w:spacing w:before="120" w:after="120"/>
              <w:ind w:left="360"/>
              <w:rPr>
                <w:sz w:val="24"/>
                <w:szCs w:val="24"/>
              </w:rPr>
            </w:pPr>
            <w:r w:rsidRPr="008F6284">
              <w:rPr>
                <w:sz w:val="24"/>
                <w:szCs w:val="24"/>
              </w:rPr>
              <w:t>$39,200</w:t>
            </w:r>
          </w:p>
        </w:tc>
      </w:tr>
    </w:tbl>
    <w:p w14:paraId="62F60C4A" w14:textId="7A3E39F1" w:rsidR="00F702E5" w:rsidRPr="000E1210" w:rsidRDefault="00F702E5" w:rsidP="009E725B">
      <w:pPr>
        <w:spacing w:after="120"/>
        <w:rPr>
          <w:color w:val="000000" w:themeColor="text1"/>
          <w:sz w:val="24"/>
          <w:szCs w:val="24"/>
        </w:rPr>
      </w:pPr>
    </w:p>
    <w:tbl>
      <w:tblPr>
        <w:tblStyle w:val="TableGrid"/>
        <w:tblW w:w="0" w:type="auto"/>
        <w:shd w:val="clear" w:color="auto" w:fill="E5DFEC" w:themeFill="accent4" w:themeFillTint="33"/>
        <w:tblLook w:val="04A0" w:firstRow="1" w:lastRow="0" w:firstColumn="1" w:lastColumn="0" w:noHBand="0" w:noVBand="1"/>
      </w:tblPr>
      <w:tblGrid>
        <w:gridCol w:w="9016"/>
      </w:tblGrid>
      <w:tr w:rsidR="00772632" w14:paraId="0003EE61" w14:textId="77777777" w:rsidTr="00721055">
        <w:trPr>
          <w:trHeight w:val="1125"/>
        </w:trPr>
        <w:tc>
          <w:tcPr>
            <w:tcW w:w="9016" w:type="dxa"/>
            <w:shd w:val="clear" w:color="auto" w:fill="E5DFEC" w:themeFill="accent4" w:themeFillTint="33"/>
          </w:tcPr>
          <w:p w14:paraId="26F18551" w14:textId="6CA6F879" w:rsidR="00C27257" w:rsidRDefault="002A297A" w:rsidP="00931D6A">
            <w:pPr>
              <w:spacing w:before="120" w:after="120" w:line="276" w:lineRule="auto"/>
              <w:rPr>
                <w:sz w:val="24"/>
                <w:szCs w:val="24"/>
              </w:rPr>
            </w:pPr>
            <w:r w:rsidRPr="007570FB">
              <w:rPr>
                <w:b/>
                <w:color w:val="000000" w:themeColor="text1"/>
                <w:sz w:val="24"/>
                <w:szCs w:val="24"/>
              </w:rPr>
              <w:t xml:space="preserve">Decision </w:t>
            </w:r>
            <w:r w:rsidR="00963BBB">
              <w:rPr>
                <w:b/>
                <w:color w:val="000000" w:themeColor="text1"/>
                <w:sz w:val="24"/>
                <w:szCs w:val="24"/>
              </w:rPr>
              <w:t>13</w:t>
            </w:r>
            <w:r w:rsidRPr="007570FB">
              <w:rPr>
                <w:b/>
                <w:color w:val="000000" w:themeColor="text1"/>
                <w:sz w:val="24"/>
                <w:szCs w:val="24"/>
              </w:rPr>
              <w:t>:</w:t>
            </w:r>
            <w:r w:rsidRPr="007570FB">
              <w:rPr>
                <w:sz w:val="24"/>
                <w:szCs w:val="24"/>
              </w:rPr>
              <w:t xml:space="preserve"> </w:t>
            </w:r>
            <w:r w:rsidR="005B2ABA">
              <w:rPr>
                <w:sz w:val="24"/>
                <w:szCs w:val="24"/>
              </w:rPr>
              <w:t xml:space="preserve">The Tribunal acknowledges that the </w:t>
            </w:r>
            <w:r w:rsidR="00D44C1B">
              <w:rPr>
                <w:sz w:val="24"/>
                <w:szCs w:val="24"/>
              </w:rPr>
              <w:t xml:space="preserve">ACT </w:t>
            </w:r>
            <w:r w:rsidR="005B2ABA">
              <w:rPr>
                <w:sz w:val="24"/>
                <w:szCs w:val="24"/>
              </w:rPr>
              <w:t>Government has responsibility for vehicle arrangements</w:t>
            </w:r>
            <w:r w:rsidR="00CA71B2">
              <w:rPr>
                <w:sz w:val="24"/>
                <w:szCs w:val="24"/>
              </w:rPr>
              <w:t>,</w:t>
            </w:r>
            <w:r w:rsidR="005B2ABA">
              <w:rPr>
                <w:sz w:val="24"/>
                <w:szCs w:val="24"/>
              </w:rPr>
              <w:t xml:space="preserve"> including the allowance in lieu of an executive vehicle</w:t>
            </w:r>
            <w:r w:rsidR="00CA71B2">
              <w:rPr>
                <w:sz w:val="24"/>
                <w:szCs w:val="24"/>
              </w:rPr>
              <w:t>,</w:t>
            </w:r>
            <w:r w:rsidR="006D637C">
              <w:rPr>
                <w:sz w:val="24"/>
                <w:szCs w:val="24"/>
              </w:rPr>
              <w:t xml:space="preserve"> and </w:t>
            </w:r>
            <w:r w:rsidR="00CA71B2">
              <w:rPr>
                <w:sz w:val="24"/>
                <w:szCs w:val="24"/>
              </w:rPr>
              <w:t xml:space="preserve">that </w:t>
            </w:r>
            <w:r w:rsidR="006D637C">
              <w:rPr>
                <w:sz w:val="24"/>
                <w:szCs w:val="24"/>
              </w:rPr>
              <w:t>this is outside the Tribunal’s jurisdiction</w:t>
            </w:r>
            <w:r w:rsidR="005B2ABA">
              <w:rPr>
                <w:sz w:val="24"/>
                <w:szCs w:val="24"/>
              </w:rPr>
              <w:t>. These arrangements are outlined in the PSM Standards. Notwithstanding this, t</w:t>
            </w:r>
            <w:r w:rsidR="00897EEF" w:rsidRPr="008F6284">
              <w:rPr>
                <w:sz w:val="24"/>
                <w:szCs w:val="24"/>
              </w:rPr>
              <w:t xml:space="preserve">he Tribunal </w:t>
            </w:r>
            <w:r w:rsidR="00897EEF">
              <w:rPr>
                <w:sz w:val="24"/>
                <w:szCs w:val="24"/>
              </w:rPr>
              <w:t>recommends</w:t>
            </w:r>
            <w:r w:rsidR="009F61DB">
              <w:rPr>
                <w:sz w:val="24"/>
                <w:szCs w:val="24"/>
              </w:rPr>
              <w:t xml:space="preserve"> that the ACT Government</w:t>
            </w:r>
            <w:r w:rsidR="00C27257">
              <w:rPr>
                <w:sz w:val="24"/>
                <w:szCs w:val="24"/>
              </w:rPr>
              <w:t>:</w:t>
            </w:r>
          </w:p>
          <w:p w14:paraId="4FBFD6C4" w14:textId="1E1C8083" w:rsidR="00C27257" w:rsidRPr="00721055" w:rsidRDefault="009F61DB" w:rsidP="00931D6A">
            <w:pPr>
              <w:pStyle w:val="ListParagraph"/>
              <w:numPr>
                <w:ilvl w:val="0"/>
                <w:numId w:val="24"/>
              </w:numPr>
              <w:spacing w:before="120" w:after="120"/>
              <w:ind w:left="774" w:hanging="461"/>
              <w:rPr>
                <w:sz w:val="24"/>
                <w:szCs w:val="24"/>
              </w:rPr>
            </w:pPr>
            <w:r w:rsidRPr="009F61DB">
              <w:rPr>
                <w:sz w:val="24"/>
                <w:szCs w:val="24"/>
              </w:rPr>
              <w:t>r</w:t>
            </w:r>
            <w:r w:rsidRPr="00721055">
              <w:rPr>
                <w:sz w:val="24"/>
                <w:szCs w:val="24"/>
              </w:rPr>
              <w:t>eview and adjust rates on an annual basis</w:t>
            </w:r>
            <w:r>
              <w:rPr>
                <w:sz w:val="24"/>
                <w:szCs w:val="24"/>
              </w:rPr>
              <w:t>;</w:t>
            </w:r>
            <w:r w:rsidR="00897EEF" w:rsidRPr="00721055">
              <w:rPr>
                <w:sz w:val="24"/>
                <w:szCs w:val="24"/>
              </w:rPr>
              <w:t xml:space="preserve"> </w:t>
            </w:r>
          </w:p>
          <w:p w14:paraId="70EC73CE" w14:textId="3BC72843" w:rsidR="00B85910" w:rsidRPr="00721055" w:rsidRDefault="00B85910" w:rsidP="00931D6A">
            <w:pPr>
              <w:pStyle w:val="ListParagraph"/>
              <w:numPr>
                <w:ilvl w:val="0"/>
                <w:numId w:val="24"/>
              </w:numPr>
              <w:spacing w:before="120" w:after="120"/>
              <w:ind w:left="774" w:hanging="461"/>
              <w:rPr>
                <w:sz w:val="24"/>
                <w:szCs w:val="24"/>
              </w:rPr>
            </w:pPr>
            <w:r w:rsidRPr="00721055">
              <w:rPr>
                <w:sz w:val="24"/>
                <w:szCs w:val="24"/>
              </w:rPr>
              <w:t>increas</w:t>
            </w:r>
            <w:r w:rsidR="00D60A79" w:rsidRPr="00721055">
              <w:rPr>
                <w:sz w:val="24"/>
                <w:szCs w:val="24"/>
              </w:rPr>
              <w:t>e</w:t>
            </w:r>
            <w:r w:rsidRPr="00721055">
              <w:rPr>
                <w:sz w:val="24"/>
                <w:szCs w:val="24"/>
              </w:rPr>
              <w:t xml:space="preserve"> the rates to ensure competitiveness with the rates offered in the APS</w:t>
            </w:r>
            <w:r w:rsidR="009F61DB">
              <w:rPr>
                <w:sz w:val="24"/>
                <w:szCs w:val="24"/>
              </w:rPr>
              <w:t xml:space="preserve">; </w:t>
            </w:r>
            <w:r w:rsidR="009F61DB" w:rsidRPr="00721055">
              <w:rPr>
                <w:sz w:val="24"/>
                <w:szCs w:val="24"/>
              </w:rPr>
              <w:t xml:space="preserve"> </w:t>
            </w:r>
          </w:p>
          <w:p w14:paraId="1F0E19A2" w14:textId="1D200249" w:rsidR="008F4CF3" w:rsidRDefault="008B104B" w:rsidP="00931D6A">
            <w:pPr>
              <w:pStyle w:val="ListParagraph"/>
              <w:numPr>
                <w:ilvl w:val="0"/>
                <w:numId w:val="24"/>
              </w:numPr>
              <w:spacing w:before="120" w:after="120"/>
              <w:ind w:left="771" w:hanging="459"/>
              <w:rPr>
                <w:sz w:val="24"/>
                <w:szCs w:val="24"/>
              </w:rPr>
            </w:pPr>
            <w:r w:rsidRPr="00721055">
              <w:rPr>
                <w:sz w:val="24"/>
                <w:szCs w:val="24"/>
              </w:rPr>
              <w:t>apply one rate of allowance for all executives rather than different allowance rates for each band</w:t>
            </w:r>
            <w:r w:rsidR="00CA71B2">
              <w:rPr>
                <w:sz w:val="24"/>
                <w:szCs w:val="24"/>
              </w:rPr>
              <w:t xml:space="preserve"> (t</w:t>
            </w:r>
            <w:r w:rsidRPr="00721055">
              <w:rPr>
                <w:sz w:val="24"/>
                <w:szCs w:val="24"/>
              </w:rPr>
              <w:t xml:space="preserve">his approach would be </w:t>
            </w:r>
            <w:r w:rsidR="0040752F" w:rsidRPr="00721055">
              <w:rPr>
                <w:sz w:val="24"/>
                <w:szCs w:val="24"/>
              </w:rPr>
              <w:t>consistent</w:t>
            </w:r>
            <w:r w:rsidRPr="00721055">
              <w:rPr>
                <w:sz w:val="24"/>
                <w:szCs w:val="24"/>
              </w:rPr>
              <w:t xml:space="preserve"> with the arrangements for MLAs</w:t>
            </w:r>
            <w:r w:rsidR="00CA71B2">
              <w:rPr>
                <w:sz w:val="24"/>
                <w:szCs w:val="24"/>
              </w:rPr>
              <w:t>)</w:t>
            </w:r>
            <w:r w:rsidR="008F4CF3">
              <w:rPr>
                <w:sz w:val="24"/>
                <w:szCs w:val="24"/>
              </w:rPr>
              <w:t>; and</w:t>
            </w:r>
          </w:p>
          <w:p w14:paraId="6499EC1D" w14:textId="70047DB0" w:rsidR="00F90774" w:rsidRPr="00721055" w:rsidRDefault="008F4CF3" w:rsidP="00CA71B2">
            <w:pPr>
              <w:pStyle w:val="ListParagraph"/>
              <w:numPr>
                <w:ilvl w:val="0"/>
                <w:numId w:val="24"/>
              </w:numPr>
              <w:spacing w:before="120" w:after="120"/>
              <w:ind w:left="771" w:hanging="459"/>
              <w:rPr>
                <w:sz w:val="24"/>
                <w:szCs w:val="24"/>
              </w:rPr>
            </w:pPr>
            <w:proofErr w:type="gramStart"/>
            <w:r w:rsidRPr="00721055">
              <w:rPr>
                <w:sz w:val="24"/>
                <w:szCs w:val="24"/>
              </w:rPr>
              <w:t>consider</w:t>
            </w:r>
            <w:proofErr w:type="gramEnd"/>
            <w:r w:rsidRPr="00721055">
              <w:rPr>
                <w:sz w:val="24"/>
                <w:szCs w:val="24"/>
              </w:rPr>
              <w:t xml:space="preserve"> amending the PSM Standards to remove the provision of a vehicle and replace</w:t>
            </w:r>
            <w:r w:rsidR="00CA71B2">
              <w:rPr>
                <w:sz w:val="24"/>
                <w:szCs w:val="24"/>
              </w:rPr>
              <w:t xml:space="preserve"> it</w:t>
            </w:r>
            <w:r w:rsidRPr="00721055">
              <w:rPr>
                <w:sz w:val="24"/>
                <w:szCs w:val="24"/>
              </w:rPr>
              <w:t xml:space="preserve"> with </w:t>
            </w:r>
            <w:r w:rsidR="00CA71B2">
              <w:rPr>
                <w:sz w:val="24"/>
                <w:szCs w:val="24"/>
              </w:rPr>
              <w:t>an</w:t>
            </w:r>
            <w:r w:rsidR="00CA71B2" w:rsidRPr="00721055">
              <w:rPr>
                <w:sz w:val="24"/>
                <w:szCs w:val="24"/>
              </w:rPr>
              <w:t xml:space="preserve"> </w:t>
            </w:r>
            <w:r w:rsidRPr="00721055">
              <w:rPr>
                <w:sz w:val="24"/>
                <w:szCs w:val="24"/>
              </w:rPr>
              <w:t>allowance in lieu, similar to the arrangements for MLAs</w:t>
            </w:r>
            <w:r>
              <w:rPr>
                <w:sz w:val="24"/>
                <w:szCs w:val="24"/>
              </w:rPr>
              <w:t>.</w:t>
            </w:r>
          </w:p>
        </w:tc>
      </w:tr>
    </w:tbl>
    <w:p w14:paraId="1828C261" w14:textId="77777777" w:rsidR="008F4CF3" w:rsidRDefault="008F4CF3" w:rsidP="008F4CF3">
      <w:pPr>
        <w:spacing w:after="120"/>
      </w:pPr>
    </w:p>
    <w:p w14:paraId="6FFF1400" w14:textId="5007A608" w:rsidR="00897EEF" w:rsidRPr="00314604" w:rsidRDefault="00897EEF" w:rsidP="00897EEF">
      <w:pPr>
        <w:pStyle w:val="Heading3"/>
        <w:rPr>
          <w:rFonts w:asciiTheme="minorHAnsi" w:hAnsiTheme="minorHAnsi"/>
        </w:rPr>
      </w:pPr>
      <w:bookmarkStart w:id="33" w:name="_Toc2327874"/>
      <w:r>
        <w:rPr>
          <w:rFonts w:asciiTheme="minorHAnsi" w:hAnsiTheme="minorHAnsi"/>
        </w:rPr>
        <w:t>Car parking allowance</w:t>
      </w:r>
      <w:bookmarkEnd w:id="33"/>
    </w:p>
    <w:p w14:paraId="0A89BB59" w14:textId="66F8C722" w:rsidR="00314604" w:rsidRDefault="007E3660" w:rsidP="009E725B">
      <w:pPr>
        <w:rPr>
          <w:sz w:val="24"/>
          <w:szCs w:val="24"/>
        </w:rPr>
      </w:pPr>
      <w:r>
        <w:rPr>
          <w:sz w:val="24"/>
          <w:szCs w:val="24"/>
        </w:rPr>
        <w:t xml:space="preserve">The allowance in lieu of a car park is </w:t>
      </w:r>
      <w:r w:rsidR="00D60A79">
        <w:rPr>
          <w:sz w:val="24"/>
          <w:szCs w:val="24"/>
        </w:rPr>
        <w:t xml:space="preserve">set </w:t>
      </w:r>
      <w:r>
        <w:rPr>
          <w:sz w:val="24"/>
          <w:szCs w:val="24"/>
        </w:rPr>
        <w:t xml:space="preserve">within the PSM Standards. </w:t>
      </w:r>
      <w:r w:rsidR="00314604" w:rsidRPr="00D233C4">
        <w:rPr>
          <w:sz w:val="24"/>
          <w:szCs w:val="24"/>
        </w:rPr>
        <w:t xml:space="preserve">The current </w:t>
      </w:r>
      <w:r w:rsidR="00314604">
        <w:rPr>
          <w:sz w:val="24"/>
          <w:szCs w:val="24"/>
        </w:rPr>
        <w:t xml:space="preserve">car parking allowance </w:t>
      </w:r>
      <w:r w:rsidR="00314604" w:rsidRPr="00D233C4">
        <w:rPr>
          <w:sz w:val="24"/>
          <w:szCs w:val="24"/>
        </w:rPr>
        <w:t>rate of $2,500</w:t>
      </w:r>
      <w:r w:rsidR="004F6A10">
        <w:rPr>
          <w:sz w:val="24"/>
          <w:szCs w:val="24"/>
        </w:rPr>
        <w:t xml:space="preserve"> per annum</w:t>
      </w:r>
      <w:r w:rsidR="00314604" w:rsidRPr="00D233C4">
        <w:rPr>
          <w:sz w:val="24"/>
          <w:szCs w:val="24"/>
        </w:rPr>
        <w:t xml:space="preserve"> was </w:t>
      </w:r>
      <w:r w:rsidR="00314604">
        <w:rPr>
          <w:sz w:val="24"/>
          <w:szCs w:val="24"/>
        </w:rPr>
        <w:t>adjusted</w:t>
      </w:r>
      <w:r w:rsidR="00314604" w:rsidRPr="008A795D">
        <w:rPr>
          <w:color w:val="FF0000"/>
          <w:sz w:val="24"/>
          <w:szCs w:val="24"/>
        </w:rPr>
        <w:t xml:space="preserve"> </w:t>
      </w:r>
      <w:r w:rsidR="00314604" w:rsidRPr="00D233C4">
        <w:rPr>
          <w:sz w:val="24"/>
          <w:szCs w:val="24"/>
        </w:rPr>
        <w:t xml:space="preserve">in 2008 and has not changed since </w:t>
      </w:r>
      <w:r w:rsidR="006F2DDB">
        <w:rPr>
          <w:sz w:val="24"/>
          <w:szCs w:val="24"/>
        </w:rPr>
        <w:t>that</w:t>
      </w:r>
      <w:r w:rsidR="006F2DDB" w:rsidRPr="00D233C4">
        <w:rPr>
          <w:sz w:val="24"/>
          <w:szCs w:val="24"/>
        </w:rPr>
        <w:t xml:space="preserve"> </w:t>
      </w:r>
      <w:r w:rsidR="00314604" w:rsidRPr="00D233C4">
        <w:rPr>
          <w:sz w:val="24"/>
          <w:szCs w:val="24"/>
        </w:rPr>
        <w:t xml:space="preserve">time. This is of concern to the Tribunal, particularly when considering or assessing the total remuneration package available to executives. The Tribunal </w:t>
      </w:r>
      <w:r w:rsidR="00D53E8B">
        <w:rPr>
          <w:sz w:val="24"/>
          <w:szCs w:val="24"/>
        </w:rPr>
        <w:t>recommends</w:t>
      </w:r>
      <w:r w:rsidR="00D53E8B" w:rsidRPr="00D233C4">
        <w:rPr>
          <w:sz w:val="24"/>
          <w:szCs w:val="24"/>
        </w:rPr>
        <w:t xml:space="preserve"> </w:t>
      </w:r>
      <w:r w:rsidR="00841FD7">
        <w:rPr>
          <w:sz w:val="24"/>
          <w:szCs w:val="24"/>
        </w:rPr>
        <w:t xml:space="preserve">to the </w:t>
      </w:r>
      <w:r w:rsidR="00D60A79">
        <w:rPr>
          <w:sz w:val="24"/>
          <w:szCs w:val="24"/>
        </w:rPr>
        <w:br/>
      </w:r>
      <w:r w:rsidR="00841FD7">
        <w:rPr>
          <w:sz w:val="24"/>
          <w:szCs w:val="24"/>
        </w:rPr>
        <w:t xml:space="preserve">ACT Government </w:t>
      </w:r>
      <w:r w:rsidR="00314604" w:rsidRPr="00D233C4">
        <w:rPr>
          <w:sz w:val="24"/>
          <w:szCs w:val="24"/>
        </w:rPr>
        <w:t xml:space="preserve">that </w:t>
      </w:r>
      <w:r w:rsidR="00841FD7">
        <w:rPr>
          <w:sz w:val="24"/>
          <w:szCs w:val="24"/>
        </w:rPr>
        <w:t xml:space="preserve">the rate </w:t>
      </w:r>
      <w:r w:rsidR="00314604" w:rsidRPr="00D233C4">
        <w:rPr>
          <w:sz w:val="24"/>
          <w:szCs w:val="24"/>
        </w:rPr>
        <w:t xml:space="preserve">be adjusted </w:t>
      </w:r>
      <w:r w:rsidR="00F71829">
        <w:rPr>
          <w:sz w:val="24"/>
          <w:szCs w:val="24"/>
        </w:rPr>
        <w:t>taking into account</w:t>
      </w:r>
      <w:r w:rsidR="00314604" w:rsidRPr="00D233C4">
        <w:rPr>
          <w:sz w:val="24"/>
          <w:szCs w:val="24"/>
        </w:rPr>
        <w:t xml:space="preserve"> </w:t>
      </w:r>
      <w:r w:rsidR="00D60A79">
        <w:rPr>
          <w:sz w:val="24"/>
          <w:szCs w:val="24"/>
        </w:rPr>
        <w:t>CPI</w:t>
      </w:r>
      <w:r w:rsidR="00D60A79" w:rsidRPr="00D233C4">
        <w:rPr>
          <w:sz w:val="24"/>
          <w:szCs w:val="24"/>
        </w:rPr>
        <w:t xml:space="preserve"> </w:t>
      </w:r>
      <w:r w:rsidR="00314604" w:rsidRPr="00D233C4">
        <w:rPr>
          <w:sz w:val="24"/>
          <w:szCs w:val="24"/>
        </w:rPr>
        <w:t xml:space="preserve">increases. Based on the remuneration increases paid to executives since this time, the Tribunal estimates an allowance of $3,000 </w:t>
      </w:r>
      <w:r w:rsidR="00F40140">
        <w:rPr>
          <w:sz w:val="24"/>
          <w:szCs w:val="24"/>
        </w:rPr>
        <w:t>–</w:t>
      </w:r>
      <w:r w:rsidR="00314604" w:rsidRPr="00D233C4">
        <w:rPr>
          <w:sz w:val="24"/>
          <w:szCs w:val="24"/>
        </w:rPr>
        <w:t xml:space="preserve"> $4,000 per annum</w:t>
      </w:r>
      <w:r w:rsidR="00F40140">
        <w:rPr>
          <w:sz w:val="24"/>
          <w:szCs w:val="24"/>
        </w:rPr>
        <w:t xml:space="preserve"> </w:t>
      </w:r>
      <w:r w:rsidR="0079486A">
        <w:rPr>
          <w:sz w:val="24"/>
          <w:szCs w:val="24"/>
        </w:rPr>
        <w:t>is</w:t>
      </w:r>
      <w:r w:rsidR="00E1504E">
        <w:rPr>
          <w:sz w:val="24"/>
          <w:szCs w:val="24"/>
        </w:rPr>
        <w:t xml:space="preserve"> appropriate</w:t>
      </w:r>
      <w:r w:rsidR="00314604" w:rsidRPr="00D233C4">
        <w:rPr>
          <w:sz w:val="24"/>
          <w:szCs w:val="24"/>
        </w:rPr>
        <w:t>.</w:t>
      </w:r>
    </w:p>
    <w:p w14:paraId="2AC87738" w14:textId="759C526B" w:rsidR="005373BB" w:rsidRDefault="005373BB" w:rsidP="00314604">
      <w:pPr>
        <w:contextualSpacing/>
        <w:rPr>
          <w:sz w:val="24"/>
          <w:szCs w:val="24"/>
        </w:rPr>
      </w:pPr>
      <w:r>
        <w:rPr>
          <w:sz w:val="24"/>
          <w:szCs w:val="24"/>
        </w:rPr>
        <w:t>The Tribunal notes that in comparison, MLAs are provided a car parking space and no arrangements are in place to provide an allowance in lieu of a car park.</w:t>
      </w:r>
    </w:p>
    <w:p w14:paraId="448FE161" w14:textId="77777777" w:rsidR="00F367EC" w:rsidRDefault="00F367EC" w:rsidP="00314604">
      <w:pPr>
        <w:contextualSpacing/>
        <w:rPr>
          <w:sz w:val="24"/>
          <w:szCs w:val="24"/>
        </w:rPr>
      </w:pPr>
    </w:p>
    <w:tbl>
      <w:tblPr>
        <w:tblStyle w:val="TableGrid"/>
        <w:tblW w:w="0" w:type="auto"/>
        <w:shd w:val="clear" w:color="auto" w:fill="E5DFEC" w:themeFill="accent4" w:themeFillTint="33"/>
        <w:tblLook w:val="04A0" w:firstRow="1" w:lastRow="0" w:firstColumn="1" w:lastColumn="0" w:noHBand="0" w:noVBand="1"/>
      </w:tblPr>
      <w:tblGrid>
        <w:gridCol w:w="9016"/>
      </w:tblGrid>
      <w:tr w:rsidR="007F684F" w14:paraId="59626FE7" w14:textId="77777777" w:rsidTr="007F684F">
        <w:tc>
          <w:tcPr>
            <w:tcW w:w="9016" w:type="dxa"/>
            <w:shd w:val="clear" w:color="auto" w:fill="E5DFEC" w:themeFill="accent4" w:themeFillTint="33"/>
          </w:tcPr>
          <w:p w14:paraId="09172E93" w14:textId="037BD03B" w:rsidR="007F684F" w:rsidRDefault="002A297A" w:rsidP="00931D6A">
            <w:pPr>
              <w:spacing w:before="120" w:after="120" w:line="276" w:lineRule="auto"/>
              <w:rPr>
                <w:color w:val="0070C0"/>
                <w:sz w:val="24"/>
                <w:szCs w:val="24"/>
              </w:rPr>
            </w:pPr>
            <w:r w:rsidRPr="007570FB">
              <w:rPr>
                <w:b/>
                <w:color w:val="000000" w:themeColor="text1"/>
                <w:sz w:val="24"/>
                <w:szCs w:val="24"/>
              </w:rPr>
              <w:t xml:space="preserve">Decision </w:t>
            </w:r>
            <w:r w:rsidR="00963BBB">
              <w:rPr>
                <w:b/>
                <w:color w:val="000000" w:themeColor="text1"/>
                <w:sz w:val="24"/>
                <w:szCs w:val="24"/>
              </w:rPr>
              <w:t>14</w:t>
            </w:r>
            <w:r w:rsidRPr="007570FB">
              <w:rPr>
                <w:b/>
                <w:color w:val="000000" w:themeColor="text1"/>
                <w:sz w:val="24"/>
                <w:szCs w:val="24"/>
              </w:rPr>
              <w:t>:</w:t>
            </w:r>
            <w:r w:rsidRPr="007570FB">
              <w:rPr>
                <w:sz w:val="24"/>
                <w:szCs w:val="24"/>
              </w:rPr>
              <w:t xml:space="preserve"> </w:t>
            </w:r>
            <w:r w:rsidR="00931D6A">
              <w:rPr>
                <w:sz w:val="24"/>
                <w:szCs w:val="24"/>
              </w:rPr>
              <w:t xml:space="preserve">As </w:t>
            </w:r>
            <w:r w:rsidR="00251912">
              <w:rPr>
                <w:sz w:val="24"/>
                <w:szCs w:val="24"/>
              </w:rPr>
              <w:t xml:space="preserve">the </w:t>
            </w:r>
            <w:r w:rsidR="008D718E">
              <w:rPr>
                <w:sz w:val="24"/>
                <w:szCs w:val="24"/>
              </w:rPr>
              <w:t>allowance</w:t>
            </w:r>
            <w:r w:rsidR="00931D6A">
              <w:rPr>
                <w:sz w:val="24"/>
                <w:szCs w:val="24"/>
              </w:rPr>
              <w:t xml:space="preserve"> in lieu of a car park</w:t>
            </w:r>
            <w:r w:rsidR="008D718E">
              <w:rPr>
                <w:sz w:val="24"/>
                <w:szCs w:val="24"/>
              </w:rPr>
              <w:t xml:space="preserve"> is set in the PSM Standards, it is a matter for the Government. However, t</w:t>
            </w:r>
            <w:r w:rsidR="00D60A79">
              <w:rPr>
                <w:sz w:val="24"/>
                <w:szCs w:val="24"/>
              </w:rPr>
              <w:t xml:space="preserve">he Tribunal is of the view that the allowance in lieu of a car park should be established based on the current average cost of a car park and adjusted </w:t>
            </w:r>
            <w:r w:rsidR="00F71829">
              <w:rPr>
                <w:sz w:val="24"/>
                <w:szCs w:val="24"/>
              </w:rPr>
              <w:t>taking into account</w:t>
            </w:r>
            <w:r w:rsidR="00D60A79">
              <w:rPr>
                <w:sz w:val="24"/>
                <w:szCs w:val="24"/>
              </w:rPr>
              <w:t xml:space="preserve"> CPI increases. </w:t>
            </w:r>
          </w:p>
        </w:tc>
      </w:tr>
    </w:tbl>
    <w:p w14:paraId="7C09366A" w14:textId="77777777" w:rsidR="00AE4019" w:rsidRDefault="00AE4019" w:rsidP="00AE4019">
      <w:pPr>
        <w:contextualSpacing/>
        <w:rPr>
          <w:sz w:val="24"/>
          <w:szCs w:val="24"/>
        </w:rPr>
      </w:pPr>
    </w:p>
    <w:tbl>
      <w:tblPr>
        <w:tblStyle w:val="TableGrid"/>
        <w:tblW w:w="0" w:type="auto"/>
        <w:shd w:val="clear" w:color="auto" w:fill="E5DFEC" w:themeFill="accent4" w:themeFillTint="33"/>
        <w:tblLook w:val="04A0" w:firstRow="1" w:lastRow="0" w:firstColumn="1" w:lastColumn="0" w:noHBand="0" w:noVBand="1"/>
      </w:tblPr>
      <w:tblGrid>
        <w:gridCol w:w="9016"/>
      </w:tblGrid>
      <w:tr w:rsidR="00AE4019" w14:paraId="35299BDF" w14:textId="77777777" w:rsidTr="00EA4981">
        <w:tc>
          <w:tcPr>
            <w:tcW w:w="9016" w:type="dxa"/>
            <w:shd w:val="clear" w:color="auto" w:fill="E5DFEC" w:themeFill="accent4" w:themeFillTint="33"/>
          </w:tcPr>
          <w:p w14:paraId="08796BCF" w14:textId="60F154FB" w:rsidR="00AE4019" w:rsidRDefault="002A297A" w:rsidP="00963BBB">
            <w:pPr>
              <w:spacing w:before="120" w:after="120" w:line="276" w:lineRule="auto"/>
              <w:rPr>
                <w:color w:val="0070C0"/>
                <w:sz w:val="24"/>
                <w:szCs w:val="24"/>
              </w:rPr>
            </w:pPr>
            <w:r w:rsidRPr="007570FB">
              <w:rPr>
                <w:b/>
                <w:color w:val="000000" w:themeColor="text1"/>
                <w:sz w:val="24"/>
                <w:szCs w:val="24"/>
              </w:rPr>
              <w:t xml:space="preserve">Decision </w:t>
            </w:r>
            <w:r w:rsidR="00963BBB">
              <w:rPr>
                <w:b/>
                <w:color w:val="000000" w:themeColor="text1"/>
                <w:sz w:val="24"/>
                <w:szCs w:val="24"/>
              </w:rPr>
              <w:t>15</w:t>
            </w:r>
            <w:r w:rsidRPr="007570FB">
              <w:rPr>
                <w:b/>
                <w:color w:val="000000" w:themeColor="text1"/>
                <w:sz w:val="24"/>
                <w:szCs w:val="24"/>
              </w:rPr>
              <w:t>:</w:t>
            </w:r>
            <w:r w:rsidRPr="007570FB">
              <w:rPr>
                <w:sz w:val="24"/>
                <w:szCs w:val="24"/>
              </w:rPr>
              <w:t xml:space="preserve"> </w:t>
            </w:r>
            <w:r w:rsidR="00AE4019" w:rsidRPr="007F684F">
              <w:rPr>
                <w:sz w:val="24"/>
                <w:szCs w:val="24"/>
              </w:rPr>
              <w:t xml:space="preserve">The Tribunal </w:t>
            </w:r>
            <w:r w:rsidR="005B2ABA">
              <w:rPr>
                <w:sz w:val="24"/>
                <w:szCs w:val="24"/>
              </w:rPr>
              <w:t>will</w:t>
            </w:r>
            <w:r w:rsidR="005B2ABA" w:rsidRPr="007F684F">
              <w:rPr>
                <w:sz w:val="24"/>
                <w:szCs w:val="24"/>
              </w:rPr>
              <w:t xml:space="preserve"> </w:t>
            </w:r>
            <w:r w:rsidR="00AE4019">
              <w:rPr>
                <w:sz w:val="24"/>
                <w:szCs w:val="24"/>
              </w:rPr>
              <w:t>includ</w:t>
            </w:r>
            <w:r w:rsidR="005B2ABA">
              <w:rPr>
                <w:sz w:val="24"/>
                <w:szCs w:val="24"/>
              </w:rPr>
              <w:t>e</w:t>
            </w:r>
            <w:r w:rsidR="00AE4019" w:rsidRPr="007F684F">
              <w:rPr>
                <w:sz w:val="24"/>
                <w:szCs w:val="24"/>
              </w:rPr>
              <w:t xml:space="preserve"> a reference in the next determination for ACTPS executives which will refer to the conditions set in the PSM Standards and Enterprise Agreements to assist executives in having a full and complete understanding of their remuneration and entitlements in one central location.  </w:t>
            </w:r>
          </w:p>
        </w:tc>
      </w:tr>
    </w:tbl>
    <w:p w14:paraId="184D9248" w14:textId="44F0692D" w:rsidR="00AE4019" w:rsidRDefault="00AE4019" w:rsidP="00AE4019">
      <w:pPr>
        <w:pStyle w:val="ListParagraph"/>
        <w:ind w:left="1440"/>
        <w:rPr>
          <w:sz w:val="24"/>
          <w:szCs w:val="24"/>
        </w:rPr>
      </w:pPr>
    </w:p>
    <w:p w14:paraId="3F8878E9" w14:textId="599BC314" w:rsidR="008A795D" w:rsidRDefault="008A795D" w:rsidP="008A795D">
      <w:pPr>
        <w:pStyle w:val="Heading2"/>
      </w:pPr>
      <w:bookmarkStart w:id="34" w:name="_Toc2327875"/>
      <w:r>
        <w:t>Fringe Benefit Tax</w:t>
      </w:r>
      <w:bookmarkEnd w:id="34"/>
    </w:p>
    <w:p w14:paraId="1EFF35A1" w14:textId="2C8974C1" w:rsidR="007566E4" w:rsidRPr="007566E4" w:rsidRDefault="007566E4" w:rsidP="00A95913">
      <w:pPr>
        <w:rPr>
          <w:sz w:val="24"/>
          <w:szCs w:val="24"/>
        </w:rPr>
      </w:pPr>
      <w:r w:rsidRPr="007566E4">
        <w:rPr>
          <w:sz w:val="24"/>
          <w:szCs w:val="24"/>
        </w:rPr>
        <w:t>As outlined in the Tribunal’s Discussion Paper, an executive who elects to take a vehicle as part of their employment package, also has the operational costs of maintaining and running the vehicle covered by government. This benefit generates a fringe benefit tax liability for the executive, calculated under the Fringe Benefits Tax Assessment Act 1986.</w:t>
      </w:r>
    </w:p>
    <w:p w14:paraId="3FB92167" w14:textId="15D3B422" w:rsidR="007566E4" w:rsidRPr="007566E4" w:rsidRDefault="007566E4" w:rsidP="00A95913">
      <w:pPr>
        <w:rPr>
          <w:sz w:val="24"/>
          <w:szCs w:val="24"/>
        </w:rPr>
      </w:pPr>
      <w:r w:rsidRPr="007566E4">
        <w:rPr>
          <w:sz w:val="24"/>
          <w:szCs w:val="24"/>
        </w:rPr>
        <w:t>The Tribunal’s executive determination currently provides for an amount of $7</w:t>
      </w:r>
      <w:r w:rsidR="00B47F1E">
        <w:rPr>
          <w:sz w:val="24"/>
          <w:szCs w:val="24"/>
        </w:rPr>
        <w:t>,</w:t>
      </w:r>
      <w:r w:rsidRPr="007566E4">
        <w:rPr>
          <w:sz w:val="24"/>
          <w:szCs w:val="24"/>
        </w:rPr>
        <w:t xml:space="preserve">000, provided by </w:t>
      </w:r>
      <w:r w:rsidR="007F160C">
        <w:rPr>
          <w:sz w:val="24"/>
          <w:szCs w:val="24"/>
        </w:rPr>
        <w:t>G</w:t>
      </w:r>
      <w:r w:rsidR="007F160C" w:rsidRPr="007566E4">
        <w:rPr>
          <w:sz w:val="24"/>
          <w:szCs w:val="24"/>
        </w:rPr>
        <w:t>overnment</w:t>
      </w:r>
      <w:r w:rsidRPr="007566E4">
        <w:rPr>
          <w:sz w:val="24"/>
          <w:szCs w:val="24"/>
        </w:rPr>
        <w:t>, to assist the executive in meeting this liability. If the actual liability is less than $7</w:t>
      </w:r>
      <w:r w:rsidR="00B47F1E">
        <w:rPr>
          <w:sz w:val="24"/>
          <w:szCs w:val="24"/>
        </w:rPr>
        <w:t>,</w:t>
      </w:r>
      <w:r w:rsidRPr="007566E4">
        <w:rPr>
          <w:sz w:val="24"/>
          <w:szCs w:val="24"/>
        </w:rPr>
        <w:t>000 the unused difference is paid directly to the executive. If the liability exceeds $7</w:t>
      </w:r>
      <w:r w:rsidR="00B47F1E">
        <w:rPr>
          <w:sz w:val="24"/>
          <w:szCs w:val="24"/>
        </w:rPr>
        <w:t>,</w:t>
      </w:r>
      <w:r w:rsidRPr="007566E4">
        <w:rPr>
          <w:sz w:val="24"/>
          <w:szCs w:val="24"/>
        </w:rPr>
        <w:t>000 the executive is not required to pay the excess to the employer. During the financial year 2017-18, 68.7 per cent of executives reached the full allocation, which suggests that the FBT payment should be higher.</w:t>
      </w:r>
    </w:p>
    <w:p w14:paraId="3C4343EF" w14:textId="45629D7A" w:rsidR="007566E4" w:rsidRPr="007566E4" w:rsidRDefault="007566E4" w:rsidP="00A95913">
      <w:pPr>
        <w:rPr>
          <w:sz w:val="24"/>
          <w:szCs w:val="24"/>
        </w:rPr>
      </w:pPr>
      <w:r w:rsidRPr="007566E4">
        <w:rPr>
          <w:sz w:val="24"/>
          <w:szCs w:val="24"/>
        </w:rPr>
        <w:t>To maintain a ‘level playing field’ for those executives who elect not to receive an executive vehicle an allowance of $7</w:t>
      </w:r>
      <w:r w:rsidR="00B47F1E">
        <w:rPr>
          <w:sz w:val="24"/>
          <w:szCs w:val="24"/>
        </w:rPr>
        <w:t>,</w:t>
      </w:r>
      <w:r w:rsidRPr="007566E4">
        <w:rPr>
          <w:sz w:val="24"/>
          <w:szCs w:val="24"/>
        </w:rPr>
        <w:t xml:space="preserve">000 is currently paid to them. </w:t>
      </w:r>
    </w:p>
    <w:p w14:paraId="4E07B112" w14:textId="619CC45B" w:rsidR="007E3660" w:rsidRPr="00A95913" w:rsidRDefault="007566E4">
      <w:pPr>
        <w:rPr>
          <w:sz w:val="24"/>
          <w:szCs w:val="24"/>
        </w:rPr>
      </w:pPr>
      <w:r w:rsidRPr="007566E4">
        <w:rPr>
          <w:sz w:val="24"/>
          <w:szCs w:val="24"/>
        </w:rPr>
        <w:t>The amount of $7</w:t>
      </w:r>
      <w:r w:rsidR="00B47F1E">
        <w:rPr>
          <w:sz w:val="24"/>
          <w:szCs w:val="24"/>
        </w:rPr>
        <w:t>,</w:t>
      </w:r>
      <w:r w:rsidRPr="007566E4">
        <w:rPr>
          <w:sz w:val="24"/>
          <w:szCs w:val="24"/>
        </w:rPr>
        <w:t>000 has been in place since 2005 and has not been adjusted. Executives can elect to receive the FBT payment on a fortnightly basis or at the end of the financial year once a reconciliation has taken place. The Tribunal understands that the reconciliation process is time consuming, costly to manage and is administratively burdensome for the Territory. There would be merit in standardising the FBT payment so that it is standard practice for it to be paid on a fortnightly basis, for those executives receiving the allowance in lieu of the vehicle.</w:t>
      </w:r>
    </w:p>
    <w:tbl>
      <w:tblPr>
        <w:tblStyle w:val="TableGrid"/>
        <w:tblW w:w="0" w:type="auto"/>
        <w:shd w:val="clear" w:color="auto" w:fill="E5DFEC" w:themeFill="accent4" w:themeFillTint="33"/>
        <w:tblLook w:val="04A0" w:firstRow="1" w:lastRow="0" w:firstColumn="1" w:lastColumn="0" w:noHBand="0" w:noVBand="1"/>
      </w:tblPr>
      <w:tblGrid>
        <w:gridCol w:w="9016"/>
      </w:tblGrid>
      <w:tr w:rsidR="00502AD9" w14:paraId="6990F5C9" w14:textId="77777777" w:rsidTr="00DA4094">
        <w:tc>
          <w:tcPr>
            <w:tcW w:w="9016" w:type="dxa"/>
            <w:shd w:val="clear" w:color="auto" w:fill="E5DFEC" w:themeFill="accent4" w:themeFillTint="33"/>
          </w:tcPr>
          <w:p w14:paraId="7EBE6761" w14:textId="70019609" w:rsidR="00502AD9" w:rsidRPr="00FF72A1" w:rsidRDefault="002A297A" w:rsidP="009E725B">
            <w:pPr>
              <w:spacing w:before="120" w:after="120" w:line="276" w:lineRule="auto"/>
              <w:rPr>
                <w:rFonts w:ascii="Calibri" w:hAnsi="Calibri" w:cs="Times New Roman"/>
                <w:sz w:val="24"/>
                <w:szCs w:val="24"/>
                <w:lang w:eastAsia="en-AU"/>
              </w:rPr>
            </w:pPr>
            <w:r w:rsidRPr="007570FB">
              <w:rPr>
                <w:b/>
                <w:color w:val="000000" w:themeColor="text1"/>
                <w:sz w:val="24"/>
                <w:szCs w:val="24"/>
              </w:rPr>
              <w:t xml:space="preserve">Decision </w:t>
            </w:r>
            <w:r w:rsidR="00963BBB">
              <w:rPr>
                <w:b/>
                <w:color w:val="000000" w:themeColor="text1"/>
                <w:sz w:val="24"/>
                <w:szCs w:val="24"/>
              </w:rPr>
              <w:t>16</w:t>
            </w:r>
            <w:r w:rsidRPr="007570FB">
              <w:rPr>
                <w:b/>
                <w:color w:val="000000" w:themeColor="text1"/>
                <w:sz w:val="24"/>
                <w:szCs w:val="24"/>
              </w:rPr>
              <w:t>:</w:t>
            </w:r>
            <w:r w:rsidRPr="009E725B">
              <w:rPr>
                <w:b/>
                <w:color w:val="000000" w:themeColor="text1"/>
                <w:sz w:val="24"/>
                <w:szCs w:val="24"/>
              </w:rPr>
              <w:t xml:space="preserve"> </w:t>
            </w:r>
            <w:r w:rsidR="00502AD9" w:rsidRPr="009E725B">
              <w:rPr>
                <w:color w:val="000000" w:themeColor="text1"/>
                <w:sz w:val="24"/>
                <w:szCs w:val="24"/>
              </w:rPr>
              <w:t xml:space="preserve">The Tribunal has decided to increase </w:t>
            </w:r>
            <w:r w:rsidR="008B48B9" w:rsidRPr="009E725B">
              <w:rPr>
                <w:color w:val="000000" w:themeColor="text1"/>
                <w:sz w:val="24"/>
                <w:szCs w:val="24"/>
              </w:rPr>
              <w:t xml:space="preserve">the </w:t>
            </w:r>
            <w:r w:rsidR="00502AD9" w:rsidRPr="009E725B">
              <w:rPr>
                <w:color w:val="000000" w:themeColor="text1"/>
                <w:sz w:val="24"/>
                <w:szCs w:val="24"/>
              </w:rPr>
              <w:t xml:space="preserve">FBT </w:t>
            </w:r>
            <w:r w:rsidR="005373BB" w:rsidRPr="009E725B">
              <w:rPr>
                <w:color w:val="000000" w:themeColor="text1"/>
                <w:sz w:val="24"/>
                <w:szCs w:val="24"/>
              </w:rPr>
              <w:t>payment</w:t>
            </w:r>
            <w:r w:rsidR="008D718E" w:rsidRPr="009E725B">
              <w:rPr>
                <w:color w:val="000000" w:themeColor="text1"/>
                <w:sz w:val="24"/>
                <w:szCs w:val="24"/>
              </w:rPr>
              <w:t xml:space="preserve">. The payment will </w:t>
            </w:r>
            <w:r w:rsidR="007E3660" w:rsidRPr="009E725B">
              <w:rPr>
                <w:color w:val="000000" w:themeColor="text1"/>
                <w:sz w:val="24"/>
                <w:szCs w:val="24"/>
              </w:rPr>
              <w:t xml:space="preserve">be </w:t>
            </w:r>
            <w:r w:rsidR="008D718E" w:rsidRPr="009E725B">
              <w:rPr>
                <w:color w:val="000000" w:themeColor="text1"/>
                <w:sz w:val="24"/>
                <w:szCs w:val="24"/>
              </w:rPr>
              <w:t xml:space="preserve">made </w:t>
            </w:r>
            <w:r w:rsidR="007E3660" w:rsidRPr="009E725B">
              <w:rPr>
                <w:color w:val="000000" w:themeColor="text1"/>
                <w:sz w:val="24"/>
                <w:szCs w:val="24"/>
              </w:rPr>
              <w:t>on a fortnightly basis</w:t>
            </w:r>
            <w:r w:rsidR="005373BB" w:rsidRPr="009E725B">
              <w:rPr>
                <w:color w:val="000000" w:themeColor="text1"/>
                <w:sz w:val="24"/>
                <w:szCs w:val="24"/>
              </w:rPr>
              <w:t xml:space="preserve"> for executives that receive the allowance in lieu of a vehicle</w:t>
            </w:r>
            <w:r w:rsidR="00502AD9" w:rsidRPr="009E725B">
              <w:rPr>
                <w:color w:val="000000" w:themeColor="text1"/>
                <w:sz w:val="24"/>
                <w:szCs w:val="24"/>
              </w:rPr>
              <w:t>.</w:t>
            </w:r>
            <w:r w:rsidR="00FF72A1" w:rsidRPr="009E725B">
              <w:rPr>
                <w:color w:val="000000" w:themeColor="text1"/>
                <w:sz w:val="24"/>
                <w:szCs w:val="24"/>
              </w:rPr>
              <w:t xml:space="preserve"> </w:t>
            </w:r>
            <w:r w:rsidR="0091752D" w:rsidRPr="009E725B">
              <w:rPr>
                <w:color w:val="000000" w:themeColor="text1"/>
                <w:sz w:val="24"/>
                <w:szCs w:val="24"/>
              </w:rPr>
              <w:t xml:space="preserve">The Tribunal will monitor this </w:t>
            </w:r>
            <w:r w:rsidR="005373BB" w:rsidRPr="009E725B">
              <w:rPr>
                <w:color w:val="000000" w:themeColor="text1"/>
                <w:sz w:val="24"/>
                <w:szCs w:val="24"/>
              </w:rPr>
              <w:t xml:space="preserve">rate </w:t>
            </w:r>
            <w:r w:rsidR="0091752D" w:rsidRPr="009E725B">
              <w:rPr>
                <w:color w:val="000000" w:themeColor="text1"/>
                <w:sz w:val="24"/>
                <w:szCs w:val="24"/>
              </w:rPr>
              <w:t>on a</w:t>
            </w:r>
            <w:r w:rsidR="00DD08C1" w:rsidRPr="009E725B">
              <w:rPr>
                <w:color w:val="000000" w:themeColor="text1"/>
                <w:sz w:val="24"/>
                <w:szCs w:val="24"/>
              </w:rPr>
              <w:t xml:space="preserve">n annual </w:t>
            </w:r>
            <w:r w:rsidR="0091752D" w:rsidRPr="009E725B">
              <w:rPr>
                <w:color w:val="000000" w:themeColor="text1"/>
                <w:sz w:val="24"/>
                <w:szCs w:val="24"/>
              </w:rPr>
              <w:t>basis.</w:t>
            </w:r>
            <w:r w:rsidR="00FF72A1" w:rsidRPr="009E725B">
              <w:rPr>
                <w:b/>
                <w:color w:val="000000" w:themeColor="text1"/>
                <w:sz w:val="24"/>
                <w:szCs w:val="24"/>
              </w:rPr>
              <w:t xml:space="preserve"> </w:t>
            </w:r>
          </w:p>
        </w:tc>
      </w:tr>
    </w:tbl>
    <w:p w14:paraId="66011524" w14:textId="17D69CD5" w:rsidR="009E725B" w:rsidRDefault="009E725B" w:rsidP="00503932">
      <w:pPr>
        <w:rPr>
          <w:rFonts w:ascii="Calibri" w:hAnsi="Calibri" w:cs="Times New Roman"/>
          <w:b/>
          <w:sz w:val="24"/>
          <w:szCs w:val="24"/>
          <w:lang w:eastAsia="en-AU"/>
        </w:rPr>
      </w:pPr>
    </w:p>
    <w:p w14:paraId="15587BDF" w14:textId="7B6912A2" w:rsidR="00CA4ABD" w:rsidRDefault="00A363C9" w:rsidP="009E725B">
      <w:pPr>
        <w:pStyle w:val="Heading2"/>
      </w:pPr>
      <w:bookmarkStart w:id="35" w:name="_Toc490469508"/>
      <w:bookmarkStart w:id="36" w:name="_Toc2327876"/>
      <w:r w:rsidRPr="001667C4">
        <w:lastRenderedPageBreak/>
        <w:t>Salary Packaging</w:t>
      </w:r>
      <w:bookmarkEnd w:id="35"/>
      <w:bookmarkEnd w:id="36"/>
    </w:p>
    <w:p w14:paraId="44F151DA" w14:textId="5F23CBBA" w:rsidR="00F4247F" w:rsidRDefault="00F4247F" w:rsidP="00F4247F">
      <w:pPr>
        <w:rPr>
          <w:sz w:val="24"/>
          <w:szCs w:val="24"/>
        </w:rPr>
      </w:pPr>
      <w:r w:rsidRPr="007A2963">
        <w:rPr>
          <w:sz w:val="24"/>
          <w:szCs w:val="24"/>
        </w:rPr>
        <w:t>Salary packaging is a tax-effective way for employees to receive their salary as a combination of income and benefits. The income tax payable on the employee’s pre-tax salary is replaced by a combination of income ta</w:t>
      </w:r>
      <w:r>
        <w:rPr>
          <w:sz w:val="24"/>
          <w:szCs w:val="24"/>
        </w:rPr>
        <w:t>x and FBT</w:t>
      </w:r>
      <w:r w:rsidRPr="007A2963">
        <w:rPr>
          <w:sz w:val="24"/>
          <w:szCs w:val="24"/>
        </w:rPr>
        <w:t>. The level of FBT depends on the type and value of the benefit items packaged. Benefits are paid from the employee’s pre-tax salary.</w:t>
      </w:r>
    </w:p>
    <w:p w14:paraId="41F78423" w14:textId="4FB0CBE3" w:rsidR="00221C27" w:rsidRPr="00B77866" w:rsidRDefault="00221C27" w:rsidP="00221C27">
      <w:pPr>
        <w:rPr>
          <w:color w:val="0070C0"/>
          <w:sz w:val="24"/>
          <w:szCs w:val="24"/>
        </w:rPr>
      </w:pPr>
      <w:r w:rsidRPr="00261B85">
        <w:rPr>
          <w:sz w:val="24"/>
          <w:szCs w:val="24"/>
        </w:rPr>
        <w:t xml:space="preserve">All jurisdictions have some form of salary packaging arrangements for their executives. </w:t>
      </w:r>
      <w:r w:rsidR="00261B85" w:rsidRPr="00D82830">
        <w:rPr>
          <w:sz w:val="24"/>
          <w:szCs w:val="24"/>
        </w:rPr>
        <w:t xml:space="preserve">Victoria executives </w:t>
      </w:r>
      <w:r w:rsidR="00542B26" w:rsidRPr="00D82830">
        <w:rPr>
          <w:sz w:val="24"/>
          <w:szCs w:val="24"/>
        </w:rPr>
        <w:t>may agree to forgo part of their salary</w:t>
      </w:r>
      <w:r w:rsidR="00261B85" w:rsidRPr="00D82830">
        <w:rPr>
          <w:sz w:val="24"/>
          <w:szCs w:val="24"/>
        </w:rPr>
        <w:t xml:space="preserve"> for non-salary benefits such as a motor vehicle obtained through the Executive Vehicle Scheme or through a Novated Leasing Arrangement, </w:t>
      </w:r>
      <w:r w:rsidR="007F160C">
        <w:rPr>
          <w:sz w:val="24"/>
          <w:szCs w:val="24"/>
        </w:rPr>
        <w:t>the Victorian Public Service</w:t>
      </w:r>
      <w:r w:rsidR="007F160C" w:rsidRPr="00D82830">
        <w:rPr>
          <w:sz w:val="24"/>
          <w:szCs w:val="24"/>
        </w:rPr>
        <w:t xml:space="preserve"> </w:t>
      </w:r>
      <w:r w:rsidR="00261B85" w:rsidRPr="00D82830">
        <w:rPr>
          <w:sz w:val="24"/>
          <w:szCs w:val="24"/>
        </w:rPr>
        <w:t>health insurance scheme and superannuation</w:t>
      </w:r>
      <w:r w:rsidR="00261B85" w:rsidRPr="00D82830">
        <w:rPr>
          <w:rStyle w:val="FootnoteReference"/>
          <w:sz w:val="24"/>
          <w:szCs w:val="24"/>
        </w:rPr>
        <w:footnoteReference w:id="22"/>
      </w:r>
      <w:r w:rsidR="00261B85" w:rsidRPr="00D82830">
        <w:rPr>
          <w:sz w:val="24"/>
          <w:szCs w:val="24"/>
        </w:rPr>
        <w:t xml:space="preserve">. </w:t>
      </w:r>
      <w:r w:rsidR="002D0AB2" w:rsidRPr="00D82830">
        <w:rPr>
          <w:sz w:val="24"/>
          <w:szCs w:val="24"/>
        </w:rPr>
        <w:t xml:space="preserve">Northern Territory have </w:t>
      </w:r>
      <w:r w:rsidR="00251912">
        <w:rPr>
          <w:sz w:val="24"/>
          <w:szCs w:val="24"/>
        </w:rPr>
        <w:t xml:space="preserve">a </w:t>
      </w:r>
      <w:r w:rsidR="002D0AB2" w:rsidRPr="00D82830">
        <w:rPr>
          <w:sz w:val="24"/>
          <w:szCs w:val="24"/>
        </w:rPr>
        <w:t xml:space="preserve">provision for their executives to </w:t>
      </w:r>
      <w:r w:rsidR="00EB4C07" w:rsidRPr="00D82830">
        <w:rPr>
          <w:sz w:val="24"/>
          <w:szCs w:val="24"/>
        </w:rPr>
        <w:t xml:space="preserve">request for their employer to make additional contributions from their total remuneration package to a superannuation </w:t>
      </w:r>
      <w:r w:rsidR="0055731A" w:rsidRPr="00D82830">
        <w:rPr>
          <w:sz w:val="24"/>
          <w:szCs w:val="24"/>
        </w:rPr>
        <w:t>scheme by</w:t>
      </w:r>
      <w:r w:rsidR="00EB4C07" w:rsidRPr="00D82830">
        <w:rPr>
          <w:sz w:val="24"/>
          <w:szCs w:val="24"/>
        </w:rPr>
        <w:t xml:space="preserve"> way of a salary sacrifice arrangement</w:t>
      </w:r>
      <w:r w:rsidR="00EB4C07" w:rsidRPr="00D82830">
        <w:rPr>
          <w:rStyle w:val="FootnoteReference"/>
          <w:sz w:val="24"/>
          <w:szCs w:val="24"/>
        </w:rPr>
        <w:footnoteReference w:id="23"/>
      </w:r>
      <w:r w:rsidR="00EB4C07" w:rsidRPr="00D82830">
        <w:rPr>
          <w:sz w:val="24"/>
          <w:szCs w:val="24"/>
        </w:rPr>
        <w:t xml:space="preserve">. They may also </w:t>
      </w:r>
      <w:r w:rsidR="00D82830" w:rsidRPr="00D82830">
        <w:rPr>
          <w:sz w:val="24"/>
          <w:szCs w:val="24"/>
        </w:rPr>
        <w:t xml:space="preserve">package </w:t>
      </w:r>
      <w:r w:rsidR="002D0AB2" w:rsidRPr="00D82830">
        <w:rPr>
          <w:sz w:val="24"/>
          <w:szCs w:val="24"/>
        </w:rPr>
        <w:t>‘</w:t>
      </w:r>
      <w:r w:rsidR="0055731A" w:rsidRPr="00D82830">
        <w:rPr>
          <w:sz w:val="24"/>
          <w:szCs w:val="24"/>
        </w:rPr>
        <w:t>employment</w:t>
      </w:r>
      <w:r w:rsidR="002D0AB2" w:rsidRPr="00D82830">
        <w:rPr>
          <w:sz w:val="24"/>
          <w:szCs w:val="24"/>
        </w:rPr>
        <w:t xml:space="preserve"> benefit’ approved by the Commissioner </w:t>
      </w:r>
      <w:r w:rsidR="0006482C">
        <w:rPr>
          <w:sz w:val="24"/>
          <w:szCs w:val="24"/>
        </w:rPr>
        <w:t>for</w:t>
      </w:r>
      <w:r w:rsidR="002D0AB2" w:rsidRPr="00D82830">
        <w:rPr>
          <w:sz w:val="24"/>
          <w:szCs w:val="24"/>
        </w:rPr>
        <w:t xml:space="preserve"> Public Employment</w:t>
      </w:r>
      <w:r w:rsidR="00D82830" w:rsidRPr="00D82830">
        <w:rPr>
          <w:rStyle w:val="FootnoteReference"/>
          <w:sz w:val="24"/>
          <w:szCs w:val="24"/>
        </w:rPr>
        <w:footnoteReference w:id="24"/>
      </w:r>
      <w:r w:rsidR="00D82830" w:rsidRPr="00D82830">
        <w:rPr>
          <w:sz w:val="24"/>
          <w:szCs w:val="24"/>
        </w:rPr>
        <w:t>.</w:t>
      </w:r>
    </w:p>
    <w:p w14:paraId="28FF4444" w14:textId="31FA489D" w:rsidR="00221C27" w:rsidRPr="000C6409" w:rsidRDefault="008079F7" w:rsidP="00F4247F">
      <w:pPr>
        <w:rPr>
          <w:sz w:val="24"/>
          <w:szCs w:val="24"/>
        </w:rPr>
      </w:pPr>
      <w:r w:rsidRPr="000C6409">
        <w:rPr>
          <w:sz w:val="24"/>
          <w:szCs w:val="24"/>
        </w:rPr>
        <w:t>In the ACT</w:t>
      </w:r>
      <w:r w:rsidR="00261B85" w:rsidRPr="000C6409">
        <w:rPr>
          <w:sz w:val="24"/>
          <w:szCs w:val="24"/>
        </w:rPr>
        <w:t>,</w:t>
      </w:r>
      <w:r w:rsidRPr="000C6409">
        <w:rPr>
          <w:sz w:val="24"/>
          <w:szCs w:val="24"/>
        </w:rPr>
        <w:t xml:space="preserve"> </w:t>
      </w:r>
      <w:r w:rsidR="0055731A" w:rsidRPr="000C6409">
        <w:rPr>
          <w:sz w:val="24"/>
          <w:szCs w:val="24"/>
        </w:rPr>
        <w:t>executives</w:t>
      </w:r>
      <w:r w:rsidR="00261B85" w:rsidRPr="000C6409">
        <w:rPr>
          <w:sz w:val="24"/>
          <w:szCs w:val="24"/>
        </w:rPr>
        <w:t xml:space="preserve"> may </w:t>
      </w:r>
      <w:r w:rsidR="001B76D1" w:rsidRPr="000C6409">
        <w:rPr>
          <w:sz w:val="24"/>
          <w:szCs w:val="24"/>
        </w:rPr>
        <w:t xml:space="preserve">sacrifice </w:t>
      </w:r>
      <w:r w:rsidR="000C6409" w:rsidRPr="000C6409">
        <w:rPr>
          <w:sz w:val="24"/>
          <w:szCs w:val="24"/>
        </w:rPr>
        <w:t>all or p</w:t>
      </w:r>
      <w:r w:rsidR="008E2895" w:rsidRPr="000C6409">
        <w:rPr>
          <w:sz w:val="24"/>
          <w:szCs w:val="24"/>
        </w:rPr>
        <w:t xml:space="preserve">art </w:t>
      </w:r>
      <w:r w:rsidR="00261B85" w:rsidRPr="000C6409">
        <w:rPr>
          <w:sz w:val="24"/>
          <w:szCs w:val="24"/>
        </w:rPr>
        <w:t xml:space="preserve">of their salary in return for the employer providing benefits of a similar value. </w:t>
      </w:r>
      <w:r w:rsidRPr="000C6409">
        <w:rPr>
          <w:sz w:val="24"/>
          <w:szCs w:val="24"/>
        </w:rPr>
        <w:t xml:space="preserve"> </w:t>
      </w:r>
    </w:p>
    <w:p w14:paraId="78DDE4E2" w14:textId="2B24C026" w:rsidR="00F4247F" w:rsidRPr="00542B26" w:rsidRDefault="00F94914" w:rsidP="00715B64">
      <w:pPr>
        <w:rPr>
          <w:sz w:val="24"/>
          <w:szCs w:val="24"/>
        </w:rPr>
      </w:pPr>
      <w:r w:rsidRPr="00542B26">
        <w:rPr>
          <w:sz w:val="24"/>
          <w:szCs w:val="24"/>
        </w:rPr>
        <w:t xml:space="preserve">The Tribunal’s determination provides that salary packaging arrangements must be consistent with taxation laws, guidelines </w:t>
      </w:r>
      <w:r w:rsidR="0031366B" w:rsidRPr="00542B26">
        <w:rPr>
          <w:sz w:val="24"/>
          <w:szCs w:val="24"/>
        </w:rPr>
        <w:t>issued</w:t>
      </w:r>
      <w:r w:rsidRPr="00542B26">
        <w:rPr>
          <w:sz w:val="24"/>
          <w:szCs w:val="24"/>
        </w:rPr>
        <w:t xml:space="preserve"> by the ATO, and any salary packaging policy </w:t>
      </w:r>
      <w:r w:rsidRPr="00D82830">
        <w:rPr>
          <w:sz w:val="24"/>
          <w:szCs w:val="24"/>
        </w:rPr>
        <w:t>and/or procedures issued for the ACT</w:t>
      </w:r>
      <w:r w:rsidR="00F76F14">
        <w:rPr>
          <w:sz w:val="24"/>
          <w:szCs w:val="24"/>
        </w:rPr>
        <w:t>PS</w:t>
      </w:r>
      <w:r w:rsidRPr="00D82830">
        <w:rPr>
          <w:sz w:val="24"/>
          <w:szCs w:val="24"/>
        </w:rPr>
        <w:t xml:space="preserve">. </w:t>
      </w:r>
      <w:r w:rsidR="00542B26" w:rsidRPr="00D82830">
        <w:rPr>
          <w:sz w:val="24"/>
          <w:szCs w:val="24"/>
        </w:rPr>
        <w:t xml:space="preserve">The </w:t>
      </w:r>
      <w:r w:rsidR="00F76F14">
        <w:rPr>
          <w:sz w:val="24"/>
          <w:szCs w:val="24"/>
        </w:rPr>
        <w:t>PSM</w:t>
      </w:r>
      <w:r w:rsidR="00542B26" w:rsidRPr="00D82830">
        <w:rPr>
          <w:sz w:val="24"/>
          <w:szCs w:val="24"/>
        </w:rPr>
        <w:t xml:space="preserve"> Standards </w:t>
      </w:r>
      <w:r w:rsidR="00D82830" w:rsidRPr="00D82830">
        <w:rPr>
          <w:sz w:val="24"/>
          <w:szCs w:val="24"/>
        </w:rPr>
        <w:t xml:space="preserve">state </w:t>
      </w:r>
      <w:r w:rsidR="00542B26" w:rsidRPr="00D82830">
        <w:rPr>
          <w:sz w:val="24"/>
          <w:szCs w:val="24"/>
        </w:rPr>
        <w:t>that salary sacrifice arrangements for SES member</w:t>
      </w:r>
      <w:r w:rsidR="00D82830">
        <w:rPr>
          <w:sz w:val="24"/>
          <w:szCs w:val="24"/>
        </w:rPr>
        <w:t>s</w:t>
      </w:r>
      <w:r w:rsidR="00542B26" w:rsidRPr="00D82830">
        <w:rPr>
          <w:sz w:val="24"/>
          <w:szCs w:val="24"/>
        </w:rPr>
        <w:t xml:space="preserve"> are the </w:t>
      </w:r>
      <w:r w:rsidR="00F53BB6" w:rsidRPr="00D82830">
        <w:rPr>
          <w:sz w:val="24"/>
          <w:szCs w:val="24"/>
        </w:rPr>
        <w:t xml:space="preserve">same </w:t>
      </w:r>
      <w:r w:rsidR="0055731A" w:rsidRPr="00D82830">
        <w:rPr>
          <w:sz w:val="24"/>
          <w:szCs w:val="24"/>
        </w:rPr>
        <w:t>arrangements</w:t>
      </w:r>
      <w:r w:rsidR="00F53BB6" w:rsidRPr="00D82830">
        <w:rPr>
          <w:sz w:val="24"/>
          <w:szCs w:val="24"/>
        </w:rPr>
        <w:t xml:space="preserve"> as non-</w:t>
      </w:r>
      <w:r w:rsidR="0055731A" w:rsidRPr="00D82830">
        <w:rPr>
          <w:sz w:val="24"/>
          <w:szCs w:val="24"/>
        </w:rPr>
        <w:t>executives for</w:t>
      </w:r>
      <w:r w:rsidR="00F53BB6" w:rsidRPr="00D82830">
        <w:rPr>
          <w:sz w:val="24"/>
          <w:szCs w:val="24"/>
        </w:rPr>
        <w:t xml:space="preserve"> </w:t>
      </w:r>
      <w:r w:rsidR="00542B26" w:rsidRPr="00D82830">
        <w:rPr>
          <w:sz w:val="24"/>
          <w:szCs w:val="24"/>
        </w:rPr>
        <w:t xml:space="preserve">arrangements mentioned in </w:t>
      </w:r>
      <w:r w:rsidR="00D82830" w:rsidRPr="00D82830">
        <w:rPr>
          <w:sz w:val="24"/>
          <w:szCs w:val="24"/>
        </w:rPr>
        <w:t xml:space="preserve">clause D1 of the </w:t>
      </w:r>
      <w:r w:rsidR="00542B26" w:rsidRPr="00D82830">
        <w:rPr>
          <w:sz w:val="24"/>
          <w:szCs w:val="24"/>
        </w:rPr>
        <w:t>ACT Public Service Enterprise Agreement 2013-2017</w:t>
      </w:r>
      <w:r w:rsidR="00D82830" w:rsidRPr="00D82830">
        <w:rPr>
          <w:rStyle w:val="FootnoteReference"/>
          <w:sz w:val="24"/>
          <w:szCs w:val="24"/>
        </w:rPr>
        <w:footnoteReference w:id="25"/>
      </w:r>
      <w:r w:rsidR="00542B26" w:rsidRPr="00D82830">
        <w:rPr>
          <w:sz w:val="24"/>
          <w:szCs w:val="24"/>
        </w:rPr>
        <w:t xml:space="preserve">.  </w:t>
      </w:r>
      <w:r w:rsidRPr="00D82830">
        <w:rPr>
          <w:sz w:val="24"/>
          <w:szCs w:val="24"/>
        </w:rPr>
        <w:t xml:space="preserve"> </w:t>
      </w:r>
    </w:p>
    <w:tbl>
      <w:tblPr>
        <w:tblStyle w:val="TableGrid"/>
        <w:tblW w:w="0" w:type="auto"/>
        <w:shd w:val="clear" w:color="auto" w:fill="E5DFEC" w:themeFill="accent4" w:themeFillTint="33"/>
        <w:tblLook w:val="04A0" w:firstRow="1" w:lastRow="0" w:firstColumn="1" w:lastColumn="0" w:noHBand="0" w:noVBand="1"/>
      </w:tblPr>
      <w:tblGrid>
        <w:gridCol w:w="9016"/>
      </w:tblGrid>
      <w:tr w:rsidR="00B40D89" w14:paraId="10723D7A" w14:textId="77777777" w:rsidTr="00B40D89">
        <w:tc>
          <w:tcPr>
            <w:tcW w:w="9016" w:type="dxa"/>
            <w:shd w:val="clear" w:color="auto" w:fill="E5DFEC" w:themeFill="accent4" w:themeFillTint="33"/>
          </w:tcPr>
          <w:p w14:paraId="30498B50" w14:textId="6E19E46B" w:rsidR="00B40D89" w:rsidRDefault="002A297A" w:rsidP="000E7C93">
            <w:pPr>
              <w:spacing w:before="120" w:after="120" w:line="276" w:lineRule="auto"/>
              <w:rPr>
                <w:sz w:val="24"/>
                <w:szCs w:val="24"/>
              </w:rPr>
            </w:pPr>
            <w:r w:rsidRPr="007570FB">
              <w:rPr>
                <w:b/>
                <w:color w:val="000000" w:themeColor="text1"/>
                <w:sz w:val="24"/>
                <w:szCs w:val="24"/>
              </w:rPr>
              <w:t xml:space="preserve">Decision </w:t>
            </w:r>
            <w:r w:rsidR="00963BBB">
              <w:rPr>
                <w:b/>
                <w:color w:val="000000" w:themeColor="text1"/>
                <w:sz w:val="24"/>
                <w:szCs w:val="24"/>
              </w:rPr>
              <w:t>17</w:t>
            </w:r>
            <w:r w:rsidRPr="007570FB">
              <w:rPr>
                <w:b/>
                <w:color w:val="000000" w:themeColor="text1"/>
                <w:sz w:val="24"/>
                <w:szCs w:val="24"/>
              </w:rPr>
              <w:t>:</w:t>
            </w:r>
            <w:r w:rsidRPr="007570FB">
              <w:rPr>
                <w:sz w:val="24"/>
                <w:szCs w:val="24"/>
              </w:rPr>
              <w:t xml:space="preserve"> </w:t>
            </w:r>
            <w:r w:rsidR="00B40D89" w:rsidRPr="00EB4C07">
              <w:rPr>
                <w:sz w:val="24"/>
                <w:szCs w:val="24"/>
              </w:rPr>
              <w:t xml:space="preserve">The Tribunal </w:t>
            </w:r>
            <w:r w:rsidR="000E7C93">
              <w:rPr>
                <w:sz w:val="24"/>
                <w:szCs w:val="24"/>
              </w:rPr>
              <w:t>does</w:t>
            </w:r>
            <w:r w:rsidR="000E7C93" w:rsidRPr="00EB4C07">
              <w:rPr>
                <w:sz w:val="24"/>
                <w:szCs w:val="24"/>
              </w:rPr>
              <w:t xml:space="preserve"> </w:t>
            </w:r>
            <w:r w:rsidR="00B40D89" w:rsidRPr="00EB4C07">
              <w:rPr>
                <w:sz w:val="24"/>
                <w:szCs w:val="24"/>
              </w:rPr>
              <w:t xml:space="preserve">not </w:t>
            </w:r>
            <w:r w:rsidR="000C6409">
              <w:rPr>
                <w:sz w:val="24"/>
                <w:szCs w:val="24"/>
              </w:rPr>
              <w:t xml:space="preserve">recommend </w:t>
            </w:r>
            <w:r w:rsidR="00B40D89" w:rsidRPr="00EB4C07">
              <w:rPr>
                <w:sz w:val="24"/>
                <w:szCs w:val="24"/>
              </w:rPr>
              <w:t xml:space="preserve">any changes to salary packaging arrangements as a result of this review. </w:t>
            </w:r>
            <w:r w:rsidR="0091752D">
              <w:rPr>
                <w:sz w:val="24"/>
                <w:szCs w:val="24"/>
              </w:rPr>
              <w:t>H</w:t>
            </w:r>
            <w:r w:rsidR="00B40D89" w:rsidRPr="00EB4C07">
              <w:rPr>
                <w:sz w:val="24"/>
                <w:szCs w:val="24"/>
              </w:rPr>
              <w:t xml:space="preserve">owever, </w:t>
            </w:r>
            <w:r w:rsidR="0091752D">
              <w:rPr>
                <w:sz w:val="24"/>
                <w:szCs w:val="24"/>
              </w:rPr>
              <w:t xml:space="preserve">given </w:t>
            </w:r>
            <w:r w:rsidR="00B40D89" w:rsidRPr="00EB4C07">
              <w:rPr>
                <w:sz w:val="24"/>
                <w:szCs w:val="24"/>
              </w:rPr>
              <w:t>that the ACTPS Salary Packaging Policy has been in place since 2015</w:t>
            </w:r>
            <w:r w:rsidR="0091752D">
              <w:rPr>
                <w:sz w:val="24"/>
                <w:szCs w:val="24"/>
              </w:rPr>
              <w:t>,</w:t>
            </w:r>
            <w:r w:rsidR="00B40D89" w:rsidRPr="00EB4C07">
              <w:rPr>
                <w:sz w:val="24"/>
                <w:szCs w:val="24"/>
              </w:rPr>
              <w:t xml:space="preserve"> </w:t>
            </w:r>
            <w:r w:rsidR="0091752D">
              <w:rPr>
                <w:sz w:val="24"/>
                <w:szCs w:val="24"/>
              </w:rPr>
              <w:t>t</w:t>
            </w:r>
            <w:r w:rsidR="00B40D89" w:rsidRPr="00EB4C07">
              <w:rPr>
                <w:sz w:val="24"/>
                <w:szCs w:val="24"/>
              </w:rPr>
              <w:t xml:space="preserve">he Tribunal </w:t>
            </w:r>
            <w:r w:rsidR="004A2C59">
              <w:rPr>
                <w:sz w:val="24"/>
                <w:szCs w:val="24"/>
              </w:rPr>
              <w:t xml:space="preserve">is of the view that it is timely to undertake a review and </w:t>
            </w:r>
            <w:r w:rsidR="00B40D89" w:rsidRPr="00EB4C07">
              <w:rPr>
                <w:sz w:val="24"/>
                <w:szCs w:val="24"/>
              </w:rPr>
              <w:t xml:space="preserve">recommends that the review should be conducted in conjunction with a review of the Shared Services Salary Packaging Manual to ensure consistency </w:t>
            </w:r>
            <w:r w:rsidR="00AD64CD">
              <w:rPr>
                <w:sz w:val="24"/>
                <w:szCs w:val="24"/>
              </w:rPr>
              <w:t xml:space="preserve">in these policy requirements </w:t>
            </w:r>
            <w:r w:rsidR="00B40D89" w:rsidRPr="00EB4C07">
              <w:rPr>
                <w:sz w:val="24"/>
                <w:szCs w:val="24"/>
              </w:rPr>
              <w:t>is maintained across the ACTPS.</w:t>
            </w:r>
          </w:p>
        </w:tc>
      </w:tr>
    </w:tbl>
    <w:p w14:paraId="769FBA18" w14:textId="77777777" w:rsidR="00D15349" w:rsidRDefault="00D15349" w:rsidP="00715B64">
      <w:pPr>
        <w:pStyle w:val="Heading2"/>
      </w:pPr>
      <w:bookmarkStart w:id="37" w:name="_Toc490469509"/>
    </w:p>
    <w:p w14:paraId="3B3220B0" w14:textId="77777777" w:rsidR="00D15349" w:rsidRDefault="00D15349">
      <w:pPr>
        <w:rPr>
          <w:rFonts w:asciiTheme="majorHAnsi" w:eastAsiaTheme="majorEastAsia" w:hAnsiTheme="majorHAnsi" w:cstheme="majorBidi"/>
          <w:b/>
          <w:bCs/>
          <w:color w:val="4F81BD" w:themeColor="accent1"/>
          <w:sz w:val="26"/>
          <w:szCs w:val="26"/>
        </w:rPr>
      </w:pPr>
      <w:r>
        <w:br w:type="page"/>
      </w:r>
    </w:p>
    <w:p w14:paraId="17E3746E" w14:textId="68B32227" w:rsidR="00CA4ABD" w:rsidRDefault="005F60FA" w:rsidP="00715B64">
      <w:pPr>
        <w:pStyle w:val="Heading2"/>
      </w:pPr>
      <w:bookmarkStart w:id="38" w:name="_Toc2327877"/>
      <w:r w:rsidRPr="005F60FA">
        <w:lastRenderedPageBreak/>
        <w:t>Relocation Allowance</w:t>
      </w:r>
      <w:bookmarkEnd w:id="37"/>
      <w:bookmarkEnd w:id="38"/>
    </w:p>
    <w:p w14:paraId="64ED69AB" w14:textId="725CDD4C" w:rsidR="00322A73" w:rsidRPr="00F11C9C" w:rsidRDefault="00322A73" w:rsidP="00322A73">
      <w:pPr>
        <w:spacing w:before="120"/>
        <w:rPr>
          <w:sz w:val="24"/>
          <w:szCs w:val="24"/>
        </w:rPr>
      </w:pPr>
      <w:r w:rsidRPr="00F66FE9">
        <w:rPr>
          <w:sz w:val="24"/>
          <w:szCs w:val="24"/>
        </w:rPr>
        <w:t>Relocation allowance is provided to assist</w:t>
      </w:r>
      <w:r>
        <w:rPr>
          <w:sz w:val="24"/>
          <w:szCs w:val="24"/>
        </w:rPr>
        <w:t xml:space="preserve"> an </w:t>
      </w:r>
      <w:r w:rsidR="008A69C2">
        <w:rPr>
          <w:sz w:val="24"/>
          <w:szCs w:val="24"/>
        </w:rPr>
        <w:t xml:space="preserve">executive </w:t>
      </w:r>
      <w:r>
        <w:rPr>
          <w:sz w:val="24"/>
          <w:szCs w:val="24"/>
        </w:rPr>
        <w:t>with relocation</w:t>
      </w:r>
      <w:r w:rsidRPr="00A363C9">
        <w:rPr>
          <w:sz w:val="24"/>
          <w:szCs w:val="24"/>
        </w:rPr>
        <w:t xml:space="preserve"> </w:t>
      </w:r>
      <w:r>
        <w:rPr>
          <w:sz w:val="24"/>
          <w:szCs w:val="24"/>
        </w:rPr>
        <w:t>and the</w:t>
      </w:r>
      <w:r w:rsidRPr="00821415">
        <w:rPr>
          <w:sz w:val="24"/>
          <w:szCs w:val="24"/>
        </w:rPr>
        <w:t xml:space="preserve"> cost of moving their residence to the ACT or surrounding area</w:t>
      </w:r>
      <w:r w:rsidR="008A69C2">
        <w:rPr>
          <w:sz w:val="24"/>
          <w:szCs w:val="24"/>
        </w:rPr>
        <w:t xml:space="preserve"> to take up a position with the ACTPS</w:t>
      </w:r>
      <w:r>
        <w:rPr>
          <w:sz w:val="24"/>
          <w:szCs w:val="24"/>
        </w:rPr>
        <w:t xml:space="preserve">. </w:t>
      </w:r>
      <w:r w:rsidR="00FF2D9C">
        <w:rPr>
          <w:sz w:val="24"/>
          <w:szCs w:val="24"/>
        </w:rPr>
        <w:t xml:space="preserve">It </w:t>
      </w:r>
      <w:r w:rsidR="00FF2D9C" w:rsidRPr="00F66FE9">
        <w:rPr>
          <w:sz w:val="24"/>
          <w:szCs w:val="24"/>
        </w:rPr>
        <w:t>does not apply to any expenses incurred at the conclusion of employment</w:t>
      </w:r>
      <w:r w:rsidR="00FF2D9C">
        <w:rPr>
          <w:sz w:val="24"/>
          <w:szCs w:val="24"/>
        </w:rPr>
        <w:t xml:space="preserve">. </w:t>
      </w:r>
      <w:r>
        <w:rPr>
          <w:sz w:val="24"/>
          <w:szCs w:val="24"/>
        </w:rPr>
        <w:t>The Tribunal’s determination provide</w:t>
      </w:r>
      <w:r w:rsidR="005A1202">
        <w:rPr>
          <w:sz w:val="24"/>
          <w:szCs w:val="24"/>
        </w:rPr>
        <w:t>s</w:t>
      </w:r>
      <w:r>
        <w:rPr>
          <w:sz w:val="24"/>
          <w:szCs w:val="24"/>
        </w:rPr>
        <w:t xml:space="preserve"> a prescriptive</w:t>
      </w:r>
      <w:r w:rsidR="00FF2D9C">
        <w:rPr>
          <w:sz w:val="24"/>
          <w:szCs w:val="24"/>
        </w:rPr>
        <w:t xml:space="preserve"> list </w:t>
      </w:r>
      <w:r w:rsidR="00FF2D9C" w:rsidRPr="000C6409">
        <w:rPr>
          <w:sz w:val="24"/>
          <w:szCs w:val="24"/>
        </w:rPr>
        <w:t xml:space="preserve">of costs that </w:t>
      </w:r>
      <w:r w:rsidR="00FF2D9C">
        <w:rPr>
          <w:sz w:val="24"/>
          <w:szCs w:val="24"/>
        </w:rPr>
        <w:t>may be reimbursed to executives</w:t>
      </w:r>
      <w:r w:rsidR="00FF2D9C" w:rsidRPr="00F11C9C">
        <w:rPr>
          <w:sz w:val="24"/>
          <w:szCs w:val="24"/>
        </w:rPr>
        <w:t xml:space="preserve">. </w:t>
      </w:r>
      <w:r w:rsidRPr="00F11C9C">
        <w:rPr>
          <w:sz w:val="24"/>
          <w:szCs w:val="24"/>
        </w:rPr>
        <w:t xml:space="preserve">The maximum relocation allowance </w:t>
      </w:r>
      <w:r w:rsidR="00FF2D9C" w:rsidRPr="00F11C9C">
        <w:rPr>
          <w:sz w:val="24"/>
          <w:szCs w:val="24"/>
        </w:rPr>
        <w:t xml:space="preserve">amount they may be reimbursed </w:t>
      </w:r>
      <w:r w:rsidRPr="00F11C9C">
        <w:rPr>
          <w:sz w:val="24"/>
          <w:szCs w:val="24"/>
        </w:rPr>
        <w:t xml:space="preserve">is </w:t>
      </w:r>
      <w:r w:rsidR="00F11C9C" w:rsidRPr="00F11C9C">
        <w:rPr>
          <w:sz w:val="24"/>
          <w:szCs w:val="24"/>
        </w:rPr>
        <w:t xml:space="preserve">currently </w:t>
      </w:r>
      <w:r w:rsidR="00FF2D9C" w:rsidRPr="00F11C9C">
        <w:rPr>
          <w:sz w:val="24"/>
          <w:szCs w:val="24"/>
        </w:rPr>
        <w:t xml:space="preserve">set at </w:t>
      </w:r>
      <w:r w:rsidRPr="00F11C9C">
        <w:rPr>
          <w:sz w:val="24"/>
          <w:szCs w:val="24"/>
        </w:rPr>
        <w:t>$51,533</w:t>
      </w:r>
      <w:r w:rsidR="00FF2D9C" w:rsidRPr="00F11C9C">
        <w:rPr>
          <w:sz w:val="24"/>
          <w:szCs w:val="24"/>
        </w:rPr>
        <w:t>. This rate was established in 2012 and has not been adjusted since.</w:t>
      </w:r>
    </w:p>
    <w:p w14:paraId="37975049" w14:textId="767CAD23" w:rsidR="005D3D62" w:rsidRPr="008A69C2" w:rsidRDefault="00BD707E" w:rsidP="00A95913">
      <w:pPr>
        <w:spacing w:before="120"/>
        <w:rPr>
          <w:sz w:val="24"/>
          <w:szCs w:val="24"/>
        </w:rPr>
      </w:pPr>
      <w:r w:rsidRPr="00CB6DED">
        <w:rPr>
          <w:sz w:val="24"/>
          <w:szCs w:val="24"/>
        </w:rPr>
        <w:t>Reimburs</w:t>
      </w:r>
      <w:r w:rsidR="00CB6DED">
        <w:rPr>
          <w:sz w:val="24"/>
          <w:szCs w:val="24"/>
        </w:rPr>
        <w:t xml:space="preserve">ement of </w:t>
      </w:r>
      <w:r w:rsidR="00B32A39" w:rsidRPr="00CB6DED">
        <w:rPr>
          <w:sz w:val="24"/>
          <w:szCs w:val="24"/>
        </w:rPr>
        <w:t>r</w:t>
      </w:r>
      <w:r w:rsidRPr="00CB6DED">
        <w:rPr>
          <w:sz w:val="24"/>
          <w:szCs w:val="24"/>
        </w:rPr>
        <w:t xml:space="preserve">elocation expenses </w:t>
      </w:r>
      <w:r w:rsidR="00B32A39" w:rsidRPr="00CB6DED">
        <w:rPr>
          <w:sz w:val="24"/>
          <w:szCs w:val="24"/>
        </w:rPr>
        <w:t xml:space="preserve">is </w:t>
      </w:r>
      <w:r w:rsidRPr="00CB6DED">
        <w:rPr>
          <w:sz w:val="24"/>
          <w:szCs w:val="24"/>
        </w:rPr>
        <w:t>common across the other jurisdiction</w:t>
      </w:r>
      <w:r w:rsidR="004A2C59">
        <w:rPr>
          <w:sz w:val="24"/>
          <w:szCs w:val="24"/>
        </w:rPr>
        <w:t>s</w:t>
      </w:r>
      <w:r w:rsidRPr="00CB6DED">
        <w:rPr>
          <w:sz w:val="24"/>
          <w:szCs w:val="24"/>
        </w:rPr>
        <w:t xml:space="preserve">. </w:t>
      </w:r>
      <w:r w:rsidR="005D3D62" w:rsidRPr="008A69C2">
        <w:rPr>
          <w:sz w:val="24"/>
          <w:szCs w:val="24"/>
        </w:rPr>
        <w:t>Commonwealth Department Secretaries who move to Canberra to take up their positions are eligible for removal, relocation and family reunion assistance. This includes ‘transportation of the Secretary and the Secretary’s partner and dependants from the home locality to the new locality, and their return to the home locality when the Secretary ceases to hold office as Secretary for whatever reason and the insured removal of the furniture, household effects and domestic animals of the Secretary and the Secretary’s partner and dependants from the home locality to the new locality, and their return to the home locality when the Secretary ceases to hold office as Secretary’</w:t>
      </w:r>
      <w:r w:rsidR="004C41DF" w:rsidRPr="008A69C2">
        <w:rPr>
          <w:rStyle w:val="FootnoteReference"/>
          <w:sz w:val="24"/>
          <w:szCs w:val="24"/>
        </w:rPr>
        <w:footnoteReference w:id="26"/>
      </w:r>
      <w:r w:rsidR="005D3D62" w:rsidRPr="008A69C2">
        <w:rPr>
          <w:sz w:val="24"/>
          <w:szCs w:val="24"/>
        </w:rPr>
        <w:t>.</w:t>
      </w:r>
    </w:p>
    <w:p w14:paraId="73C22544" w14:textId="23F978FF" w:rsidR="005D3D62" w:rsidRPr="00CB6DED" w:rsidRDefault="004C41DF" w:rsidP="005D3D62">
      <w:pPr>
        <w:rPr>
          <w:sz w:val="24"/>
          <w:szCs w:val="24"/>
        </w:rPr>
      </w:pPr>
      <w:r w:rsidRPr="00CB6DED">
        <w:rPr>
          <w:sz w:val="24"/>
          <w:szCs w:val="24"/>
        </w:rPr>
        <w:t xml:space="preserve">Commonwealth Secretaries are also entitled to </w:t>
      </w:r>
      <w:r w:rsidR="005D3D62" w:rsidRPr="00CB6DED">
        <w:rPr>
          <w:sz w:val="24"/>
          <w:szCs w:val="24"/>
        </w:rPr>
        <w:t>settling in and settling out allowances</w:t>
      </w:r>
      <w:r w:rsidRPr="00CB6DED">
        <w:rPr>
          <w:sz w:val="24"/>
          <w:szCs w:val="24"/>
        </w:rPr>
        <w:t>,</w:t>
      </w:r>
      <w:r w:rsidR="005D3D62" w:rsidRPr="00CB6DED">
        <w:rPr>
          <w:sz w:val="24"/>
          <w:szCs w:val="24"/>
        </w:rPr>
        <w:t xml:space="preserve"> reunion travel</w:t>
      </w:r>
      <w:r w:rsidRPr="00CB6DED">
        <w:rPr>
          <w:sz w:val="24"/>
          <w:szCs w:val="24"/>
        </w:rPr>
        <w:t>, and accommodation support up to the amount of $34,500 if they continue to maintain a residence at their home locality</w:t>
      </w:r>
      <w:r w:rsidR="005D3D62" w:rsidRPr="00CB6DED">
        <w:rPr>
          <w:rStyle w:val="FootnoteReference"/>
          <w:sz w:val="24"/>
          <w:szCs w:val="24"/>
        </w:rPr>
        <w:footnoteReference w:id="27"/>
      </w:r>
      <w:r w:rsidR="005D3D62" w:rsidRPr="00CB6DED">
        <w:rPr>
          <w:sz w:val="24"/>
          <w:szCs w:val="24"/>
        </w:rPr>
        <w:t>.</w:t>
      </w:r>
      <w:r w:rsidRPr="00CB6DED">
        <w:rPr>
          <w:sz w:val="24"/>
          <w:szCs w:val="24"/>
        </w:rPr>
        <w:t xml:space="preserve">  </w:t>
      </w:r>
      <w:r w:rsidR="005D3D62" w:rsidRPr="00CB6DED">
        <w:rPr>
          <w:sz w:val="24"/>
          <w:szCs w:val="24"/>
        </w:rPr>
        <w:t xml:space="preserve">For other </w:t>
      </w:r>
      <w:r w:rsidR="004F6A10">
        <w:rPr>
          <w:sz w:val="24"/>
          <w:szCs w:val="24"/>
        </w:rPr>
        <w:t xml:space="preserve">Commonwealth </w:t>
      </w:r>
      <w:r w:rsidR="005D3D62" w:rsidRPr="00CB6DED">
        <w:rPr>
          <w:sz w:val="24"/>
          <w:szCs w:val="24"/>
        </w:rPr>
        <w:t>senior executive officer</w:t>
      </w:r>
      <w:r w:rsidR="004F6A10">
        <w:rPr>
          <w:sz w:val="24"/>
          <w:szCs w:val="24"/>
        </w:rPr>
        <w:t>s</w:t>
      </w:r>
      <w:r w:rsidR="005D3D62" w:rsidRPr="00CB6DED">
        <w:rPr>
          <w:sz w:val="24"/>
          <w:szCs w:val="24"/>
        </w:rPr>
        <w:t xml:space="preserve">, it is the employing Department that decides any relocation benefits.  </w:t>
      </w:r>
    </w:p>
    <w:p w14:paraId="5EB292AB" w14:textId="047D604A" w:rsidR="00701280" w:rsidRDefault="00BD707E" w:rsidP="00E70612">
      <w:pPr>
        <w:rPr>
          <w:rFonts w:ascii="Calibri" w:hAnsi="Calibri" w:cs="Calibri"/>
          <w:sz w:val="24"/>
          <w:szCs w:val="24"/>
          <w:lang w:val="en-AU"/>
        </w:rPr>
      </w:pPr>
      <w:r w:rsidRPr="001C19E7">
        <w:rPr>
          <w:rFonts w:ascii="Calibri" w:hAnsi="Calibri" w:cs="Calibri"/>
          <w:sz w:val="24"/>
          <w:szCs w:val="24"/>
          <w:lang w:val="en-AU"/>
        </w:rPr>
        <w:t>In the ACTPS, n</w:t>
      </w:r>
      <w:r w:rsidR="00BE7685" w:rsidRPr="001C19E7">
        <w:rPr>
          <w:rFonts w:ascii="Calibri" w:hAnsi="Calibri" w:cs="Calibri"/>
          <w:sz w:val="24"/>
          <w:szCs w:val="24"/>
          <w:lang w:val="en-AU"/>
        </w:rPr>
        <w:t>on-executive employees</w:t>
      </w:r>
      <w:r w:rsidRPr="001C19E7">
        <w:rPr>
          <w:rFonts w:ascii="Calibri" w:hAnsi="Calibri" w:cs="Calibri"/>
          <w:sz w:val="24"/>
          <w:szCs w:val="24"/>
          <w:lang w:val="en-AU"/>
        </w:rPr>
        <w:t xml:space="preserve"> </w:t>
      </w:r>
      <w:r w:rsidR="00BE7685" w:rsidRPr="001C19E7">
        <w:rPr>
          <w:rFonts w:ascii="Calibri" w:hAnsi="Calibri" w:cs="Calibri"/>
          <w:sz w:val="24"/>
          <w:szCs w:val="24"/>
          <w:lang w:val="en-AU"/>
        </w:rPr>
        <w:t xml:space="preserve">may be eligible for reimbursement of </w:t>
      </w:r>
      <w:r w:rsidR="00B32A39" w:rsidRPr="001C19E7">
        <w:rPr>
          <w:rFonts w:ascii="Calibri" w:hAnsi="Calibri" w:cs="Calibri"/>
          <w:sz w:val="24"/>
          <w:szCs w:val="24"/>
          <w:lang w:val="en-AU"/>
        </w:rPr>
        <w:t xml:space="preserve">reasonable </w:t>
      </w:r>
      <w:r w:rsidR="00BE7685" w:rsidRPr="00E70612">
        <w:rPr>
          <w:sz w:val="24"/>
          <w:szCs w:val="24"/>
        </w:rPr>
        <w:t>relocation</w:t>
      </w:r>
      <w:r w:rsidR="00BE7685" w:rsidRPr="001C19E7">
        <w:rPr>
          <w:rFonts w:ascii="Calibri" w:hAnsi="Calibri" w:cs="Calibri"/>
          <w:sz w:val="24"/>
          <w:szCs w:val="24"/>
          <w:lang w:val="en-AU"/>
        </w:rPr>
        <w:t xml:space="preserve"> expenses. Their reimbursement</w:t>
      </w:r>
      <w:r w:rsidRPr="001C19E7">
        <w:rPr>
          <w:rFonts w:ascii="Calibri" w:hAnsi="Calibri" w:cs="Calibri"/>
          <w:sz w:val="24"/>
          <w:szCs w:val="24"/>
          <w:lang w:val="en-AU"/>
        </w:rPr>
        <w:t xml:space="preserve"> cost</w:t>
      </w:r>
      <w:r w:rsidR="00BE7685" w:rsidRPr="001C19E7">
        <w:rPr>
          <w:rFonts w:ascii="Calibri" w:hAnsi="Calibri" w:cs="Calibri"/>
          <w:sz w:val="24"/>
          <w:szCs w:val="24"/>
          <w:lang w:val="en-AU"/>
        </w:rPr>
        <w:t xml:space="preserve">s are capped at $12,000 for </w:t>
      </w:r>
      <w:r w:rsidRPr="001C19E7">
        <w:rPr>
          <w:rFonts w:ascii="Calibri" w:hAnsi="Calibri" w:cs="Calibri"/>
          <w:sz w:val="24"/>
          <w:szCs w:val="24"/>
          <w:lang w:val="en-AU"/>
        </w:rPr>
        <w:t xml:space="preserve">an </w:t>
      </w:r>
      <w:r w:rsidR="00BE7685" w:rsidRPr="001C19E7">
        <w:rPr>
          <w:rFonts w:ascii="Calibri" w:hAnsi="Calibri" w:cs="Calibri"/>
          <w:sz w:val="24"/>
          <w:szCs w:val="24"/>
          <w:lang w:val="en-AU"/>
        </w:rPr>
        <w:t xml:space="preserve">employee with no dependants. </w:t>
      </w:r>
      <w:r w:rsidR="00807D74">
        <w:rPr>
          <w:rFonts w:ascii="Calibri" w:hAnsi="Calibri" w:cs="Calibri"/>
          <w:sz w:val="24"/>
          <w:szCs w:val="24"/>
          <w:lang w:val="en-AU"/>
        </w:rPr>
        <w:t>If the employee has dependants, an amount for each de</w:t>
      </w:r>
      <w:r w:rsidR="00701280">
        <w:rPr>
          <w:rFonts w:ascii="Calibri" w:hAnsi="Calibri" w:cs="Calibri"/>
          <w:sz w:val="24"/>
          <w:szCs w:val="24"/>
          <w:lang w:val="en-AU"/>
        </w:rPr>
        <w:t>p</w:t>
      </w:r>
      <w:r w:rsidR="00807D74">
        <w:rPr>
          <w:rFonts w:ascii="Calibri" w:hAnsi="Calibri" w:cs="Calibri"/>
          <w:sz w:val="24"/>
          <w:szCs w:val="24"/>
          <w:lang w:val="en-AU"/>
        </w:rPr>
        <w:t xml:space="preserve">endant is added to the </w:t>
      </w:r>
      <w:r w:rsidR="00701280">
        <w:rPr>
          <w:rFonts w:ascii="Calibri" w:hAnsi="Calibri" w:cs="Calibri"/>
          <w:sz w:val="24"/>
          <w:szCs w:val="24"/>
          <w:lang w:val="en-AU"/>
        </w:rPr>
        <w:t xml:space="preserve">employee’s </w:t>
      </w:r>
      <w:r w:rsidR="00807D74">
        <w:rPr>
          <w:rFonts w:ascii="Calibri" w:hAnsi="Calibri" w:cs="Calibri"/>
          <w:sz w:val="24"/>
          <w:szCs w:val="24"/>
          <w:lang w:val="en-AU"/>
        </w:rPr>
        <w:t>cap</w:t>
      </w:r>
      <w:r w:rsidR="00BE7685" w:rsidRPr="001C19E7">
        <w:rPr>
          <w:rFonts w:ascii="Calibri" w:hAnsi="Calibri" w:cs="Calibri"/>
          <w:sz w:val="24"/>
          <w:szCs w:val="24"/>
          <w:lang w:val="en-AU"/>
        </w:rPr>
        <w:t xml:space="preserve"> (between $1,750 </w:t>
      </w:r>
      <w:r w:rsidR="00387F42">
        <w:rPr>
          <w:rFonts w:ascii="Calibri" w:hAnsi="Calibri" w:cs="Calibri"/>
          <w:sz w:val="24"/>
          <w:szCs w:val="24"/>
          <w:lang w:val="en-AU"/>
        </w:rPr>
        <w:t>and</w:t>
      </w:r>
      <w:r w:rsidR="00387F42" w:rsidRPr="001C19E7">
        <w:rPr>
          <w:rFonts w:ascii="Calibri" w:hAnsi="Calibri" w:cs="Calibri"/>
          <w:sz w:val="24"/>
          <w:szCs w:val="24"/>
          <w:lang w:val="en-AU"/>
        </w:rPr>
        <w:t xml:space="preserve"> </w:t>
      </w:r>
      <w:r w:rsidR="00BE7685" w:rsidRPr="001C19E7">
        <w:rPr>
          <w:rFonts w:ascii="Calibri" w:hAnsi="Calibri" w:cs="Calibri"/>
          <w:sz w:val="24"/>
          <w:szCs w:val="24"/>
          <w:lang w:val="en-AU"/>
        </w:rPr>
        <w:t>$2,000</w:t>
      </w:r>
      <w:r w:rsidRPr="001C19E7">
        <w:rPr>
          <w:rFonts w:ascii="Calibri" w:hAnsi="Calibri" w:cs="Calibri"/>
          <w:sz w:val="24"/>
          <w:szCs w:val="24"/>
          <w:lang w:val="en-AU"/>
        </w:rPr>
        <w:t xml:space="preserve"> per dependant</w:t>
      </w:r>
      <w:r w:rsidR="00BE7685" w:rsidRPr="001C19E7">
        <w:rPr>
          <w:rFonts w:ascii="Calibri" w:hAnsi="Calibri" w:cs="Calibri"/>
          <w:sz w:val="24"/>
          <w:szCs w:val="24"/>
          <w:lang w:val="en-AU"/>
        </w:rPr>
        <w:t xml:space="preserve">). </w:t>
      </w:r>
    </w:p>
    <w:p w14:paraId="630D62F8" w14:textId="139A9E63" w:rsidR="0079486A" w:rsidRDefault="0079486A" w:rsidP="00E70612">
      <w:pPr>
        <w:rPr>
          <w:rFonts w:ascii="Calibri" w:hAnsi="Calibri" w:cs="Calibri"/>
          <w:sz w:val="24"/>
          <w:szCs w:val="24"/>
          <w:lang w:val="en-AU"/>
        </w:rPr>
      </w:pPr>
      <w:r w:rsidRPr="00CB6DED">
        <w:rPr>
          <w:sz w:val="24"/>
          <w:szCs w:val="24"/>
        </w:rPr>
        <w:t>In NSW</w:t>
      </w:r>
      <w:r>
        <w:rPr>
          <w:sz w:val="24"/>
          <w:szCs w:val="24"/>
        </w:rPr>
        <w:t>,</w:t>
      </w:r>
      <w:r w:rsidRPr="00CB6DED">
        <w:rPr>
          <w:sz w:val="24"/>
          <w:szCs w:val="24"/>
        </w:rPr>
        <w:t xml:space="preserve"> relocation expenses are only available where the executive is considered to be an ‘outstanding’ candidate and it would be unreasonable to require the executive to relocate with</w:t>
      </w:r>
      <w:r>
        <w:rPr>
          <w:sz w:val="24"/>
          <w:szCs w:val="24"/>
        </w:rPr>
        <w:t>out</w:t>
      </w:r>
      <w:r w:rsidRPr="00CB6DED">
        <w:rPr>
          <w:sz w:val="24"/>
          <w:szCs w:val="24"/>
        </w:rPr>
        <w:t xml:space="preserve"> the support</w:t>
      </w:r>
      <w:r>
        <w:rPr>
          <w:rStyle w:val="FootnoteReference"/>
          <w:sz w:val="24"/>
          <w:szCs w:val="24"/>
        </w:rPr>
        <w:footnoteReference w:id="28"/>
      </w:r>
      <w:r w:rsidRPr="00CB6DED">
        <w:rPr>
          <w:sz w:val="24"/>
          <w:szCs w:val="24"/>
        </w:rPr>
        <w:t xml:space="preserve">. </w:t>
      </w:r>
      <w:r w:rsidRPr="00CB6DED">
        <w:rPr>
          <w:sz w:val="24"/>
          <w:szCs w:val="24"/>
          <w:lang w:val="en"/>
        </w:rPr>
        <w:t xml:space="preserve">The NSW Government Sector Executive Relocation Expenses Framework provides </w:t>
      </w:r>
      <w:r>
        <w:rPr>
          <w:sz w:val="24"/>
          <w:szCs w:val="24"/>
          <w:lang w:val="en"/>
        </w:rPr>
        <w:t xml:space="preserve">for </w:t>
      </w:r>
      <w:r w:rsidRPr="00CB6DED">
        <w:rPr>
          <w:sz w:val="24"/>
          <w:szCs w:val="24"/>
        </w:rPr>
        <w:t>reimbursement of ‘reasonable actual relocation expenses’ and ‘contribution to reasonable eligible expenses’ up to tier caps</w:t>
      </w:r>
      <w:r>
        <w:rPr>
          <w:rStyle w:val="FootnoteReference"/>
          <w:sz w:val="24"/>
          <w:szCs w:val="24"/>
        </w:rPr>
        <w:footnoteReference w:id="29"/>
      </w:r>
      <w:r w:rsidRPr="00CB6DED">
        <w:rPr>
          <w:sz w:val="24"/>
          <w:szCs w:val="24"/>
        </w:rPr>
        <w:t>, which are adjusted in line with CPI movements</w:t>
      </w:r>
      <w:r>
        <w:rPr>
          <w:rStyle w:val="FootnoteReference"/>
          <w:sz w:val="24"/>
          <w:szCs w:val="24"/>
        </w:rPr>
        <w:footnoteReference w:id="30"/>
      </w:r>
      <w:r w:rsidRPr="00CB6DED">
        <w:rPr>
          <w:sz w:val="24"/>
          <w:szCs w:val="24"/>
        </w:rPr>
        <w:t>.</w:t>
      </w:r>
    </w:p>
    <w:p w14:paraId="3F2EC5BF" w14:textId="6FA29355" w:rsidR="00BE7685" w:rsidRPr="001C19E7" w:rsidRDefault="00BE7685" w:rsidP="00375198">
      <w:pPr>
        <w:spacing w:before="120"/>
        <w:rPr>
          <w:rFonts w:ascii="Calibri" w:hAnsi="Calibri" w:cs="Calibri"/>
          <w:sz w:val="24"/>
          <w:szCs w:val="24"/>
          <w:lang w:val="en-AU"/>
        </w:rPr>
      </w:pPr>
      <w:r w:rsidRPr="001C19E7">
        <w:rPr>
          <w:rFonts w:ascii="Calibri" w:hAnsi="Calibri" w:cs="Calibri"/>
          <w:sz w:val="24"/>
          <w:szCs w:val="24"/>
          <w:lang w:val="en-AU"/>
        </w:rPr>
        <w:lastRenderedPageBreak/>
        <w:t xml:space="preserve">There </w:t>
      </w:r>
      <w:r w:rsidR="00BE0EE6">
        <w:rPr>
          <w:rFonts w:ascii="Calibri" w:hAnsi="Calibri" w:cs="Calibri"/>
          <w:sz w:val="24"/>
          <w:szCs w:val="24"/>
          <w:lang w:val="en-AU"/>
        </w:rPr>
        <w:t>are</w:t>
      </w:r>
      <w:r w:rsidR="00BE0EE6" w:rsidRPr="001C19E7">
        <w:rPr>
          <w:rFonts w:ascii="Calibri" w:hAnsi="Calibri" w:cs="Calibri"/>
          <w:sz w:val="24"/>
          <w:szCs w:val="24"/>
          <w:lang w:val="en-AU"/>
        </w:rPr>
        <w:t xml:space="preserve"> </w:t>
      </w:r>
      <w:r w:rsidRPr="001C19E7">
        <w:rPr>
          <w:rFonts w:ascii="Calibri" w:hAnsi="Calibri" w:cs="Calibri"/>
          <w:sz w:val="24"/>
          <w:szCs w:val="24"/>
          <w:lang w:val="en-AU"/>
        </w:rPr>
        <w:t>no set criteria of cost</w:t>
      </w:r>
      <w:r w:rsidR="00B32A39" w:rsidRPr="001C19E7">
        <w:rPr>
          <w:rFonts w:ascii="Calibri" w:hAnsi="Calibri" w:cs="Calibri"/>
          <w:sz w:val="24"/>
          <w:szCs w:val="24"/>
          <w:lang w:val="en-AU"/>
        </w:rPr>
        <w:t>s</w:t>
      </w:r>
      <w:r w:rsidRPr="001C19E7">
        <w:rPr>
          <w:rFonts w:ascii="Calibri" w:hAnsi="Calibri" w:cs="Calibri"/>
          <w:sz w:val="24"/>
          <w:szCs w:val="24"/>
          <w:lang w:val="en-AU"/>
        </w:rPr>
        <w:t xml:space="preserve"> that may be reimbursed</w:t>
      </w:r>
      <w:r w:rsidR="0091752D">
        <w:rPr>
          <w:rFonts w:ascii="Calibri" w:hAnsi="Calibri" w:cs="Calibri"/>
          <w:sz w:val="24"/>
          <w:szCs w:val="24"/>
          <w:lang w:val="en-AU"/>
        </w:rPr>
        <w:t xml:space="preserve"> and</w:t>
      </w:r>
      <w:r w:rsidRPr="001C19E7">
        <w:rPr>
          <w:rFonts w:ascii="Calibri" w:hAnsi="Calibri" w:cs="Calibri"/>
          <w:sz w:val="24"/>
          <w:szCs w:val="24"/>
          <w:lang w:val="en-AU"/>
        </w:rPr>
        <w:t xml:space="preserve"> the Head of Se</w:t>
      </w:r>
      <w:r w:rsidR="00B32A39" w:rsidRPr="001C19E7">
        <w:rPr>
          <w:rFonts w:ascii="Calibri" w:hAnsi="Calibri" w:cs="Calibri"/>
          <w:sz w:val="24"/>
          <w:szCs w:val="24"/>
          <w:lang w:val="en-AU"/>
        </w:rPr>
        <w:t>r</w:t>
      </w:r>
      <w:r w:rsidRPr="001C19E7">
        <w:rPr>
          <w:rFonts w:ascii="Calibri" w:hAnsi="Calibri" w:cs="Calibri"/>
          <w:sz w:val="24"/>
          <w:szCs w:val="24"/>
          <w:lang w:val="en-AU"/>
        </w:rPr>
        <w:t xml:space="preserve">vice has discretion to decide what </w:t>
      </w:r>
      <w:proofErr w:type="gramStart"/>
      <w:r w:rsidRPr="001C19E7">
        <w:rPr>
          <w:rFonts w:ascii="Calibri" w:hAnsi="Calibri" w:cs="Calibri"/>
          <w:sz w:val="24"/>
          <w:szCs w:val="24"/>
          <w:lang w:val="en-AU"/>
        </w:rPr>
        <w:t xml:space="preserve">is </w:t>
      </w:r>
      <w:r w:rsidR="001C19E7" w:rsidRPr="001C19E7">
        <w:rPr>
          <w:rFonts w:ascii="Calibri" w:hAnsi="Calibri" w:cs="Calibri"/>
          <w:sz w:val="24"/>
          <w:szCs w:val="24"/>
          <w:lang w:val="en-AU"/>
        </w:rPr>
        <w:t xml:space="preserve">a </w:t>
      </w:r>
      <w:r w:rsidR="00B32A39" w:rsidRPr="001C19E7">
        <w:rPr>
          <w:rFonts w:ascii="Calibri" w:hAnsi="Calibri" w:cs="Calibri"/>
          <w:sz w:val="24"/>
          <w:szCs w:val="24"/>
          <w:lang w:val="en-AU"/>
        </w:rPr>
        <w:t>‘</w:t>
      </w:r>
      <w:r w:rsidRPr="001C19E7">
        <w:rPr>
          <w:rFonts w:ascii="Calibri" w:hAnsi="Calibri" w:cs="Calibri"/>
          <w:sz w:val="24"/>
          <w:szCs w:val="24"/>
          <w:lang w:val="en-AU"/>
        </w:rPr>
        <w:t>reasonable</w:t>
      </w:r>
      <w:r w:rsidR="00B32A39" w:rsidRPr="001C19E7">
        <w:rPr>
          <w:rFonts w:ascii="Calibri" w:hAnsi="Calibri" w:cs="Calibri"/>
          <w:sz w:val="24"/>
          <w:szCs w:val="24"/>
          <w:lang w:val="en-AU"/>
        </w:rPr>
        <w:t>’ relocation expense</w:t>
      </w:r>
      <w:proofErr w:type="gramEnd"/>
      <w:r w:rsidRPr="001C19E7">
        <w:rPr>
          <w:rFonts w:ascii="Calibri" w:hAnsi="Calibri" w:cs="Calibri"/>
          <w:sz w:val="24"/>
          <w:szCs w:val="24"/>
          <w:lang w:val="en-AU"/>
        </w:rPr>
        <w:t xml:space="preserve">. </w:t>
      </w:r>
      <w:r w:rsidR="00BD707E" w:rsidRPr="001C19E7">
        <w:rPr>
          <w:rFonts w:ascii="Calibri" w:hAnsi="Calibri" w:cs="Calibri"/>
          <w:sz w:val="24"/>
          <w:szCs w:val="24"/>
          <w:lang w:val="en-AU"/>
        </w:rPr>
        <w:t>I</w:t>
      </w:r>
      <w:r w:rsidRPr="001C19E7">
        <w:rPr>
          <w:rFonts w:ascii="Calibri" w:hAnsi="Calibri" w:cs="Calibri"/>
          <w:sz w:val="24"/>
          <w:szCs w:val="24"/>
          <w:lang w:val="en-AU"/>
        </w:rPr>
        <w:t>f the employee terminates their employment with an ACTPS business unit within twenty four months of the date of appointment and does not commence employment with another ACTPS business unit within one month, the employee may be required to repay the reimbursed amount in full or part</w:t>
      </w:r>
      <w:r w:rsidRPr="001C19E7">
        <w:rPr>
          <w:rStyle w:val="FootnoteReference"/>
          <w:rFonts w:ascii="Calibri" w:hAnsi="Calibri" w:cs="Calibri"/>
          <w:sz w:val="24"/>
          <w:szCs w:val="24"/>
          <w:lang w:val="en-AU"/>
        </w:rPr>
        <w:footnoteReference w:id="31"/>
      </w:r>
      <w:r w:rsidRPr="001C19E7">
        <w:rPr>
          <w:rFonts w:ascii="Calibri" w:hAnsi="Calibri" w:cs="Calibri"/>
          <w:sz w:val="24"/>
          <w:szCs w:val="24"/>
          <w:lang w:val="en-AU"/>
        </w:rPr>
        <w:t xml:space="preserve">. </w:t>
      </w:r>
    </w:p>
    <w:p w14:paraId="2A89FC02" w14:textId="16862934" w:rsidR="00BE7685" w:rsidRDefault="00BE7685" w:rsidP="00375198">
      <w:pPr>
        <w:spacing w:before="120"/>
        <w:rPr>
          <w:sz w:val="24"/>
          <w:szCs w:val="24"/>
        </w:rPr>
      </w:pPr>
      <w:r>
        <w:rPr>
          <w:sz w:val="24"/>
          <w:szCs w:val="24"/>
        </w:rPr>
        <w:t xml:space="preserve">The Tribunal noted in its </w:t>
      </w:r>
      <w:r w:rsidR="00646540">
        <w:rPr>
          <w:sz w:val="24"/>
          <w:szCs w:val="24"/>
        </w:rPr>
        <w:t xml:space="preserve">Discussion Paper </w:t>
      </w:r>
      <w:r>
        <w:rPr>
          <w:sz w:val="24"/>
          <w:szCs w:val="24"/>
        </w:rPr>
        <w:t>that there are currently no arrangements in place for executives to repay the relocation allowance in situation where an executive ceases employment with the ACTPS within a certain timeframe.</w:t>
      </w:r>
      <w:r w:rsidR="00403ACA">
        <w:rPr>
          <w:sz w:val="24"/>
          <w:szCs w:val="24"/>
        </w:rPr>
        <w:t xml:space="preserve"> </w:t>
      </w:r>
      <w:r w:rsidR="00C034D3">
        <w:rPr>
          <w:sz w:val="24"/>
          <w:szCs w:val="24"/>
        </w:rPr>
        <w:t xml:space="preserve">It is the Tribunal’s view that </w:t>
      </w:r>
      <w:r w:rsidR="00B92D42">
        <w:rPr>
          <w:sz w:val="24"/>
          <w:szCs w:val="24"/>
        </w:rPr>
        <w:t xml:space="preserve">the same arrangements </w:t>
      </w:r>
      <w:r w:rsidR="00F71829">
        <w:rPr>
          <w:sz w:val="24"/>
          <w:szCs w:val="24"/>
        </w:rPr>
        <w:t xml:space="preserve">that apply to non-executive employees </w:t>
      </w:r>
      <w:r w:rsidR="00B92D42">
        <w:rPr>
          <w:sz w:val="24"/>
          <w:szCs w:val="24"/>
        </w:rPr>
        <w:t xml:space="preserve">should apply to SES and </w:t>
      </w:r>
      <w:r w:rsidR="00C034D3">
        <w:rPr>
          <w:sz w:val="24"/>
          <w:szCs w:val="24"/>
        </w:rPr>
        <w:t xml:space="preserve">this </w:t>
      </w:r>
      <w:r w:rsidR="00B92D42">
        <w:rPr>
          <w:sz w:val="24"/>
          <w:szCs w:val="24"/>
        </w:rPr>
        <w:t xml:space="preserve">should be a requirement </w:t>
      </w:r>
      <w:r w:rsidR="00403ACA">
        <w:rPr>
          <w:sz w:val="24"/>
          <w:szCs w:val="24"/>
        </w:rPr>
        <w:t xml:space="preserve">in their Determination. </w:t>
      </w:r>
    </w:p>
    <w:p w14:paraId="21D6C2B8" w14:textId="280B0D34" w:rsidR="00FF2D9C" w:rsidRDefault="004C41DF" w:rsidP="00FF2D9C">
      <w:pPr>
        <w:spacing w:before="120"/>
        <w:rPr>
          <w:sz w:val="24"/>
          <w:szCs w:val="24"/>
        </w:rPr>
      </w:pPr>
      <w:r>
        <w:rPr>
          <w:sz w:val="24"/>
          <w:szCs w:val="24"/>
        </w:rPr>
        <w:t xml:space="preserve">In the </w:t>
      </w:r>
      <w:r w:rsidR="00646540">
        <w:rPr>
          <w:sz w:val="24"/>
          <w:szCs w:val="24"/>
        </w:rPr>
        <w:t>Discussion Paper</w:t>
      </w:r>
      <w:r>
        <w:rPr>
          <w:sz w:val="24"/>
          <w:szCs w:val="24"/>
        </w:rPr>
        <w:t xml:space="preserve">, the Tribunal set out </w:t>
      </w:r>
      <w:r w:rsidR="000C6409">
        <w:rPr>
          <w:sz w:val="24"/>
          <w:szCs w:val="24"/>
        </w:rPr>
        <w:t xml:space="preserve">its </w:t>
      </w:r>
      <w:r>
        <w:rPr>
          <w:sz w:val="24"/>
          <w:szCs w:val="24"/>
        </w:rPr>
        <w:t xml:space="preserve">views </w:t>
      </w:r>
      <w:r w:rsidR="00FF2D9C">
        <w:rPr>
          <w:sz w:val="24"/>
          <w:szCs w:val="24"/>
        </w:rPr>
        <w:t xml:space="preserve">about continuing with </w:t>
      </w:r>
      <w:r w:rsidR="00B92D42">
        <w:rPr>
          <w:sz w:val="24"/>
          <w:szCs w:val="24"/>
        </w:rPr>
        <w:t xml:space="preserve">the </w:t>
      </w:r>
      <w:r w:rsidR="00FF2D9C">
        <w:rPr>
          <w:sz w:val="24"/>
          <w:szCs w:val="24"/>
        </w:rPr>
        <w:t xml:space="preserve">payment of stamp duty and legal and professional fees associated with buying and selling a residence at the former location and the ACT. </w:t>
      </w:r>
      <w:r w:rsidR="00B32A39">
        <w:rPr>
          <w:sz w:val="24"/>
          <w:szCs w:val="24"/>
        </w:rPr>
        <w:t xml:space="preserve">The </w:t>
      </w:r>
      <w:r w:rsidR="00A46808">
        <w:rPr>
          <w:sz w:val="24"/>
          <w:szCs w:val="24"/>
        </w:rPr>
        <w:t xml:space="preserve">Discussion Paper </w:t>
      </w:r>
      <w:r w:rsidR="00B32A39">
        <w:rPr>
          <w:sz w:val="24"/>
          <w:szCs w:val="24"/>
        </w:rPr>
        <w:t>canvassed the</w:t>
      </w:r>
      <w:r w:rsidR="00C303BB" w:rsidRPr="00311DF2">
        <w:rPr>
          <w:sz w:val="24"/>
          <w:szCs w:val="24"/>
        </w:rPr>
        <w:t xml:space="preserve"> </w:t>
      </w:r>
      <w:r w:rsidR="00C303BB">
        <w:rPr>
          <w:sz w:val="24"/>
          <w:szCs w:val="24"/>
        </w:rPr>
        <w:t>Commonwealth</w:t>
      </w:r>
      <w:r w:rsidR="00C303BB" w:rsidRPr="00311DF2">
        <w:rPr>
          <w:sz w:val="24"/>
          <w:szCs w:val="24"/>
        </w:rPr>
        <w:t xml:space="preserve"> Remuneration Tribunal </w:t>
      </w:r>
      <w:r w:rsidR="00B32A39">
        <w:rPr>
          <w:sz w:val="24"/>
          <w:szCs w:val="24"/>
        </w:rPr>
        <w:t xml:space="preserve">recent </w:t>
      </w:r>
      <w:r w:rsidR="00C303BB">
        <w:rPr>
          <w:sz w:val="24"/>
          <w:szCs w:val="24"/>
        </w:rPr>
        <w:t xml:space="preserve">amendments </w:t>
      </w:r>
      <w:r w:rsidR="00B32A39">
        <w:rPr>
          <w:sz w:val="24"/>
          <w:szCs w:val="24"/>
        </w:rPr>
        <w:t xml:space="preserve">to </w:t>
      </w:r>
      <w:r w:rsidR="00C303BB">
        <w:rPr>
          <w:sz w:val="24"/>
          <w:szCs w:val="24"/>
        </w:rPr>
        <w:t xml:space="preserve">their </w:t>
      </w:r>
      <w:r w:rsidR="00B32A39">
        <w:rPr>
          <w:sz w:val="24"/>
          <w:szCs w:val="24"/>
        </w:rPr>
        <w:t>relocation allowance</w:t>
      </w:r>
      <w:r w:rsidR="00C303BB">
        <w:rPr>
          <w:sz w:val="24"/>
          <w:szCs w:val="24"/>
        </w:rPr>
        <w:t xml:space="preserve"> for </w:t>
      </w:r>
      <w:r w:rsidR="00B32A39">
        <w:rPr>
          <w:sz w:val="24"/>
          <w:szCs w:val="24"/>
        </w:rPr>
        <w:t xml:space="preserve">Commonwealth Department </w:t>
      </w:r>
      <w:r w:rsidR="00B92D42">
        <w:rPr>
          <w:sz w:val="24"/>
          <w:szCs w:val="24"/>
        </w:rPr>
        <w:t>Secretaries</w:t>
      </w:r>
      <w:r w:rsidR="00C303BB">
        <w:rPr>
          <w:sz w:val="24"/>
          <w:szCs w:val="24"/>
        </w:rPr>
        <w:t xml:space="preserve">. It also discussed the </w:t>
      </w:r>
      <w:r w:rsidR="00C303BB" w:rsidRPr="0013614F">
        <w:rPr>
          <w:sz w:val="24"/>
          <w:szCs w:val="24"/>
        </w:rPr>
        <w:t xml:space="preserve">ACT’s tax reform </w:t>
      </w:r>
      <w:r w:rsidR="00C303BB">
        <w:rPr>
          <w:sz w:val="24"/>
          <w:szCs w:val="24"/>
        </w:rPr>
        <w:t xml:space="preserve">in relation to the </w:t>
      </w:r>
      <w:r w:rsidR="00C303BB" w:rsidRPr="0013614F">
        <w:rPr>
          <w:sz w:val="24"/>
          <w:szCs w:val="24"/>
        </w:rPr>
        <w:t>reduction of stamp duty levels to one of the lowest across Australia</w:t>
      </w:r>
      <w:r w:rsidR="00C303BB">
        <w:rPr>
          <w:sz w:val="24"/>
          <w:szCs w:val="24"/>
        </w:rPr>
        <w:t xml:space="preserve">. </w:t>
      </w:r>
      <w:r>
        <w:rPr>
          <w:sz w:val="24"/>
          <w:szCs w:val="24"/>
        </w:rPr>
        <w:t>The Tribunal</w:t>
      </w:r>
      <w:r w:rsidR="00403ACA">
        <w:rPr>
          <w:sz w:val="24"/>
          <w:szCs w:val="24"/>
        </w:rPr>
        <w:t xml:space="preserve"> has </w:t>
      </w:r>
      <w:r w:rsidR="004A2C59">
        <w:rPr>
          <w:sz w:val="24"/>
          <w:szCs w:val="24"/>
        </w:rPr>
        <w:t xml:space="preserve">decided to continue allowing stamp duty and legal and professional fees to be claimed as part of the relocation allowance. </w:t>
      </w:r>
    </w:p>
    <w:p w14:paraId="315640BA" w14:textId="3867C025" w:rsidR="0040752F" w:rsidRDefault="00B92D42" w:rsidP="001D5608">
      <w:pPr>
        <w:spacing w:before="120"/>
        <w:rPr>
          <w:sz w:val="24"/>
          <w:szCs w:val="24"/>
        </w:rPr>
      </w:pPr>
      <w:r>
        <w:rPr>
          <w:sz w:val="24"/>
          <w:szCs w:val="24"/>
        </w:rPr>
        <w:t xml:space="preserve">In discussions with </w:t>
      </w:r>
      <w:r w:rsidR="004A2C59">
        <w:rPr>
          <w:sz w:val="24"/>
          <w:szCs w:val="24"/>
        </w:rPr>
        <w:t xml:space="preserve">the </w:t>
      </w:r>
      <w:r>
        <w:rPr>
          <w:sz w:val="24"/>
          <w:szCs w:val="24"/>
        </w:rPr>
        <w:t>SES, t</w:t>
      </w:r>
      <w:r w:rsidR="003F3613" w:rsidRPr="003F3613">
        <w:rPr>
          <w:sz w:val="24"/>
          <w:szCs w:val="24"/>
        </w:rPr>
        <w:t>he Tribunal note</w:t>
      </w:r>
      <w:r w:rsidR="00C034D3">
        <w:rPr>
          <w:sz w:val="24"/>
          <w:szCs w:val="24"/>
        </w:rPr>
        <w:t>s</w:t>
      </w:r>
      <w:r w:rsidR="003F3613" w:rsidRPr="003F3613">
        <w:rPr>
          <w:sz w:val="24"/>
          <w:szCs w:val="24"/>
        </w:rPr>
        <w:t xml:space="preserve"> the views of </w:t>
      </w:r>
      <w:r w:rsidR="004A2C59">
        <w:rPr>
          <w:sz w:val="24"/>
          <w:szCs w:val="24"/>
        </w:rPr>
        <w:t>some</w:t>
      </w:r>
      <w:r w:rsidR="00AD64CD">
        <w:rPr>
          <w:sz w:val="24"/>
          <w:szCs w:val="24"/>
        </w:rPr>
        <w:t xml:space="preserve"> </w:t>
      </w:r>
      <w:r w:rsidR="003F3613" w:rsidRPr="003F3613">
        <w:rPr>
          <w:sz w:val="24"/>
          <w:szCs w:val="24"/>
        </w:rPr>
        <w:t xml:space="preserve">SES members that </w:t>
      </w:r>
      <w:r w:rsidR="00AD64CD">
        <w:rPr>
          <w:sz w:val="24"/>
          <w:szCs w:val="24"/>
        </w:rPr>
        <w:t>the</w:t>
      </w:r>
      <w:r w:rsidR="003F3613" w:rsidRPr="003F3613">
        <w:rPr>
          <w:sz w:val="24"/>
          <w:szCs w:val="24"/>
        </w:rPr>
        <w:t xml:space="preserve"> relocation allowance should only be payable to executives who select Canberra as their place of residence, not the b</w:t>
      </w:r>
      <w:r w:rsidR="004A2C59">
        <w:rPr>
          <w:sz w:val="24"/>
          <w:szCs w:val="24"/>
        </w:rPr>
        <w:t>r</w:t>
      </w:r>
      <w:r w:rsidR="003F3613" w:rsidRPr="003F3613">
        <w:rPr>
          <w:sz w:val="24"/>
          <w:szCs w:val="24"/>
        </w:rPr>
        <w:t xml:space="preserve">oader ACT and surrounding regions. </w:t>
      </w:r>
      <w:r w:rsidR="004A2C59">
        <w:rPr>
          <w:sz w:val="24"/>
          <w:szCs w:val="24"/>
        </w:rPr>
        <w:t>There is a view that this</w:t>
      </w:r>
      <w:r w:rsidR="004A2C59" w:rsidRPr="003F3613">
        <w:rPr>
          <w:sz w:val="24"/>
          <w:szCs w:val="24"/>
        </w:rPr>
        <w:t xml:space="preserve"> </w:t>
      </w:r>
      <w:r w:rsidR="0091752D">
        <w:rPr>
          <w:sz w:val="24"/>
          <w:szCs w:val="24"/>
        </w:rPr>
        <w:t>approach</w:t>
      </w:r>
      <w:r w:rsidR="0091752D" w:rsidRPr="003F3613">
        <w:rPr>
          <w:sz w:val="24"/>
          <w:szCs w:val="24"/>
        </w:rPr>
        <w:t xml:space="preserve"> </w:t>
      </w:r>
      <w:r w:rsidR="003F3613" w:rsidRPr="003F3613">
        <w:rPr>
          <w:sz w:val="24"/>
          <w:szCs w:val="24"/>
        </w:rPr>
        <w:t xml:space="preserve">would promote executives living in Canberra and assist the local economy. </w:t>
      </w:r>
      <w:r w:rsidR="004A2C59">
        <w:rPr>
          <w:sz w:val="24"/>
          <w:szCs w:val="24"/>
        </w:rPr>
        <w:t>However the Tribunal is of the view that this would be inconsistent with the Government’s regional strategy.</w:t>
      </w:r>
    </w:p>
    <w:tbl>
      <w:tblPr>
        <w:tblStyle w:val="TableGrid"/>
        <w:tblW w:w="0" w:type="auto"/>
        <w:shd w:val="clear" w:color="auto" w:fill="E5DFEC" w:themeFill="accent4" w:themeFillTint="33"/>
        <w:tblLook w:val="04A0" w:firstRow="1" w:lastRow="0" w:firstColumn="1" w:lastColumn="0" w:noHBand="0" w:noVBand="1"/>
      </w:tblPr>
      <w:tblGrid>
        <w:gridCol w:w="9016"/>
      </w:tblGrid>
      <w:tr w:rsidR="00B92D42" w14:paraId="50AA4227" w14:textId="77777777" w:rsidTr="00B92D42">
        <w:tc>
          <w:tcPr>
            <w:tcW w:w="9016" w:type="dxa"/>
            <w:shd w:val="clear" w:color="auto" w:fill="E5DFEC" w:themeFill="accent4" w:themeFillTint="33"/>
          </w:tcPr>
          <w:p w14:paraId="617B8235" w14:textId="1FAF51AF" w:rsidR="00B92D42" w:rsidRDefault="002A297A" w:rsidP="00B92D42">
            <w:pPr>
              <w:spacing w:before="120"/>
              <w:rPr>
                <w:sz w:val="24"/>
                <w:szCs w:val="24"/>
              </w:rPr>
            </w:pPr>
            <w:r w:rsidRPr="007570FB">
              <w:rPr>
                <w:b/>
                <w:color w:val="000000" w:themeColor="text1"/>
                <w:sz w:val="24"/>
                <w:szCs w:val="24"/>
              </w:rPr>
              <w:t xml:space="preserve">Decision </w:t>
            </w:r>
            <w:r w:rsidR="00963BBB">
              <w:rPr>
                <w:b/>
                <w:color w:val="000000" w:themeColor="text1"/>
                <w:sz w:val="24"/>
                <w:szCs w:val="24"/>
              </w:rPr>
              <w:t>18</w:t>
            </w:r>
            <w:r w:rsidRPr="007570FB">
              <w:rPr>
                <w:b/>
                <w:color w:val="000000" w:themeColor="text1"/>
                <w:sz w:val="24"/>
                <w:szCs w:val="24"/>
              </w:rPr>
              <w:t>:</w:t>
            </w:r>
            <w:r w:rsidRPr="007570FB">
              <w:rPr>
                <w:sz w:val="24"/>
                <w:szCs w:val="24"/>
              </w:rPr>
              <w:t xml:space="preserve"> </w:t>
            </w:r>
            <w:r w:rsidR="00B92D42">
              <w:rPr>
                <w:sz w:val="24"/>
                <w:szCs w:val="24"/>
              </w:rPr>
              <w:t xml:space="preserve">The Tribunal will </w:t>
            </w:r>
            <w:r w:rsidR="00AD64CD">
              <w:rPr>
                <w:sz w:val="24"/>
                <w:szCs w:val="24"/>
              </w:rPr>
              <w:t xml:space="preserve">monitor </w:t>
            </w:r>
            <w:r w:rsidR="005B2ABA">
              <w:rPr>
                <w:sz w:val="24"/>
                <w:szCs w:val="24"/>
              </w:rPr>
              <w:t xml:space="preserve">and </w:t>
            </w:r>
            <w:r w:rsidR="004A2C59">
              <w:rPr>
                <w:sz w:val="24"/>
                <w:szCs w:val="24"/>
              </w:rPr>
              <w:t>review the</w:t>
            </w:r>
            <w:r w:rsidR="00B92D42">
              <w:rPr>
                <w:sz w:val="24"/>
                <w:szCs w:val="24"/>
              </w:rPr>
              <w:t xml:space="preserve"> relocation allowance</w:t>
            </w:r>
            <w:r w:rsidR="000C6409">
              <w:rPr>
                <w:sz w:val="24"/>
                <w:szCs w:val="24"/>
              </w:rPr>
              <w:t xml:space="preserve"> </w:t>
            </w:r>
            <w:r w:rsidR="00B92D42">
              <w:rPr>
                <w:sz w:val="24"/>
                <w:szCs w:val="24"/>
              </w:rPr>
              <w:t>each year</w:t>
            </w:r>
            <w:r w:rsidR="00B92D42" w:rsidRPr="00E56858">
              <w:rPr>
                <w:sz w:val="24"/>
                <w:szCs w:val="24"/>
              </w:rPr>
              <w:t xml:space="preserve">. </w:t>
            </w:r>
          </w:p>
          <w:p w14:paraId="332C9704" w14:textId="4C8A9643" w:rsidR="00B92D42" w:rsidRDefault="00B92D42" w:rsidP="00D44C1B">
            <w:pPr>
              <w:spacing w:before="120" w:line="276" w:lineRule="auto"/>
              <w:rPr>
                <w:sz w:val="24"/>
                <w:szCs w:val="24"/>
              </w:rPr>
            </w:pPr>
            <w:r>
              <w:rPr>
                <w:sz w:val="24"/>
                <w:szCs w:val="24"/>
              </w:rPr>
              <w:t xml:space="preserve">The Tribunal will include a repayment provision in its Determination </w:t>
            </w:r>
            <w:r w:rsidR="0091752D">
              <w:rPr>
                <w:sz w:val="24"/>
                <w:szCs w:val="24"/>
              </w:rPr>
              <w:t>if an executiv</w:t>
            </w:r>
            <w:r w:rsidR="00123A4C">
              <w:rPr>
                <w:sz w:val="24"/>
                <w:szCs w:val="24"/>
              </w:rPr>
              <w:t>e</w:t>
            </w:r>
            <w:r w:rsidR="0091752D">
              <w:rPr>
                <w:sz w:val="24"/>
                <w:szCs w:val="24"/>
              </w:rPr>
              <w:t xml:space="preserve"> leaves the ACTPS. </w:t>
            </w:r>
            <w:r w:rsidR="004A2C59">
              <w:rPr>
                <w:sz w:val="24"/>
                <w:szCs w:val="24"/>
              </w:rPr>
              <w:t>Under the new arrangements, executives that leave the ACTPS within the first six month</w:t>
            </w:r>
            <w:r w:rsidR="00931D6A">
              <w:rPr>
                <w:sz w:val="24"/>
                <w:szCs w:val="24"/>
              </w:rPr>
              <w:t>s</w:t>
            </w:r>
            <w:r w:rsidR="004A2C59">
              <w:rPr>
                <w:sz w:val="24"/>
                <w:szCs w:val="24"/>
              </w:rPr>
              <w:t xml:space="preserve"> will be required to pay back 100 per cent of the relocation allowance. Executives that leave the ACTPS within 12 months will be required to pay back 50 per cent of the relocation allowance. </w:t>
            </w:r>
            <w:r w:rsidR="0091752D">
              <w:rPr>
                <w:sz w:val="24"/>
                <w:szCs w:val="24"/>
              </w:rPr>
              <w:t xml:space="preserve">This would be </w:t>
            </w:r>
            <w:r>
              <w:rPr>
                <w:sz w:val="24"/>
                <w:szCs w:val="24"/>
              </w:rPr>
              <w:t xml:space="preserve">consistent with the repayment of </w:t>
            </w:r>
            <w:r w:rsidRPr="001C19E7">
              <w:rPr>
                <w:rFonts w:ascii="Calibri" w:hAnsi="Calibri" w:cs="Calibri"/>
                <w:sz w:val="24"/>
                <w:szCs w:val="24"/>
                <w:lang w:val="en-AU"/>
              </w:rPr>
              <w:t>reimbursement of reasonable relocation expenses</w:t>
            </w:r>
            <w:r>
              <w:rPr>
                <w:sz w:val="24"/>
                <w:szCs w:val="24"/>
              </w:rPr>
              <w:t xml:space="preserve"> </w:t>
            </w:r>
            <w:r w:rsidR="00931D6A">
              <w:rPr>
                <w:sz w:val="24"/>
                <w:szCs w:val="24"/>
              </w:rPr>
              <w:t xml:space="preserve">provision that applies to </w:t>
            </w:r>
            <w:r>
              <w:rPr>
                <w:sz w:val="24"/>
                <w:szCs w:val="24"/>
              </w:rPr>
              <w:t xml:space="preserve">non-executive employees in the </w:t>
            </w:r>
            <w:r w:rsidRPr="006A4280">
              <w:rPr>
                <w:sz w:val="24"/>
                <w:szCs w:val="24"/>
              </w:rPr>
              <w:t xml:space="preserve">ACT Public Service Administrative and Related Classifications Enterprise Agreement </w:t>
            </w:r>
            <w:r w:rsidR="005641D3">
              <w:rPr>
                <w:sz w:val="24"/>
                <w:szCs w:val="24"/>
              </w:rPr>
              <w:t>2018</w:t>
            </w:r>
            <w:r w:rsidRPr="006A4280">
              <w:rPr>
                <w:sz w:val="24"/>
                <w:szCs w:val="24"/>
              </w:rPr>
              <w:t>-</w:t>
            </w:r>
            <w:r w:rsidR="004F6A10">
              <w:rPr>
                <w:sz w:val="24"/>
                <w:szCs w:val="24"/>
              </w:rPr>
              <w:t>2021</w:t>
            </w:r>
            <w:r>
              <w:rPr>
                <w:sz w:val="24"/>
                <w:szCs w:val="24"/>
              </w:rPr>
              <w:t>.</w:t>
            </w:r>
            <w:r w:rsidRPr="006A4280">
              <w:rPr>
                <w:sz w:val="24"/>
                <w:szCs w:val="24"/>
              </w:rPr>
              <w:t xml:space="preserve"> </w:t>
            </w:r>
            <w:r>
              <w:rPr>
                <w:sz w:val="24"/>
                <w:szCs w:val="24"/>
              </w:rPr>
              <w:t xml:space="preserve"> </w:t>
            </w:r>
          </w:p>
        </w:tc>
      </w:tr>
    </w:tbl>
    <w:p w14:paraId="27F70617" w14:textId="531E9964" w:rsidR="00CA4ABD" w:rsidRDefault="005F60FA" w:rsidP="00EC272D">
      <w:pPr>
        <w:pStyle w:val="Heading2"/>
      </w:pPr>
      <w:bookmarkStart w:id="39" w:name="_Toc490469511"/>
      <w:bookmarkStart w:id="40" w:name="_Toc2327878"/>
      <w:r w:rsidRPr="005F60FA">
        <w:lastRenderedPageBreak/>
        <w:t>Leave entitlements</w:t>
      </w:r>
      <w:bookmarkEnd w:id="39"/>
      <w:bookmarkEnd w:id="40"/>
    </w:p>
    <w:p w14:paraId="138AD50B" w14:textId="78F1D210" w:rsidR="00576F6F" w:rsidRDefault="001C27A8" w:rsidP="00576F6F">
      <w:pPr>
        <w:spacing w:before="120"/>
        <w:rPr>
          <w:sz w:val="24"/>
          <w:szCs w:val="24"/>
        </w:rPr>
      </w:pPr>
      <w:r>
        <w:rPr>
          <w:sz w:val="24"/>
          <w:szCs w:val="24"/>
        </w:rPr>
        <w:t xml:space="preserve">The leave entitlements for ACTPS executives are </w:t>
      </w:r>
      <w:r w:rsidR="00576F6F">
        <w:rPr>
          <w:sz w:val="24"/>
          <w:szCs w:val="24"/>
        </w:rPr>
        <w:t xml:space="preserve">provided under the PSM Standards. The provision under the </w:t>
      </w:r>
      <w:r w:rsidR="00251912">
        <w:rPr>
          <w:sz w:val="24"/>
          <w:szCs w:val="24"/>
        </w:rPr>
        <w:t xml:space="preserve">PSM </w:t>
      </w:r>
      <w:r w:rsidR="00576F6F">
        <w:rPr>
          <w:sz w:val="24"/>
          <w:szCs w:val="24"/>
        </w:rPr>
        <w:t>Standards provide</w:t>
      </w:r>
      <w:r w:rsidR="000A3602">
        <w:rPr>
          <w:sz w:val="24"/>
          <w:szCs w:val="24"/>
        </w:rPr>
        <w:t>s</w:t>
      </w:r>
      <w:r w:rsidR="00576F6F">
        <w:rPr>
          <w:sz w:val="24"/>
          <w:szCs w:val="24"/>
        </w:rPr>
        <w:t xml:space="preserve"> that t</w:t>
      </w:r>
      <w:r w:rsidR="00576F6F" w:rsidRPr="00576F6F">
        <w:rPr>
          <w:sz w:val="24"/>
          <w:szCs w:val="24"/>
        </w:rPr>
        <w:t>he leave entitlements</w:t>
      </w:r>
      <w:r w:rsidR="00576F6F">
        <w:rPr>
          <w:sz w:val="24"/>
          <w:szCs w:val="24"/>
        </w:rPr>
        <w:t xml:space="preserve"> for </w:t>
      </w:r>
      <w:r w:rsidR="00387F42">
        <w:rPr>
          <w:sz w:val="24"/>
          <w:szCs w:val="24"/>
        </w:rPr>
        <w:t>executives</w:t>
      </w:r>
      <w:r w:rsidR="00576F6F">
        <w:rPr>
          <w:sz w:val="24"/>
          <w:szCs w:val="24"/>
        </w:rPr>
        <w:t xml:space="preserve"> are </w:t>
      </w:r>
      <w:r w:rsidR="000A3602">
        <w:rPr>
          <w:sz w:val="24"/>
          <w:szCs w:val="24"/>
        </w:rPr>
        <w:t>those mentioned in the current</w:t>
      </w:r>
      <w:r w:rsidR="00576F6F" w:rsidRPr="00576F6F">
        <w:rPr>
          <w:sz w:val="24"/>
          <w:szCs w:val="24"/>
        </w:rPr>
        <w:t xml:space="preserve"> ACT Public Service Administrative</w:t>
      </w:r>
      <w:r w:rsidR="00576F6F">
        <w:rPr>
          <w:sz w:val="24"/>
          <w:szCs w:val="24"/>
        </w:rPr>
        <w:t xml:space="preserve"> </w:t>
      </w:r>
      <w:r w:rsidR="00576F6F" w:rsidRPr="00576F6F">
        <w:rPr>
          <w:sz w:val="24"/>
          <w:szCs w:val="24"/>
        </w:rPr>
        <w:t>and Related Classifications Enterprise Agreement.</w:t>
      </w:r>
    </w:p>
    <w:p w14:paraId="0AC13D58" w14:textId="4D32AD05" w:rsidR="001C27A8" w:rsidRDefault="000A3602" w:rsidP="001C27A8">
      <w:pPr>
        <w:spacing w:before="120"/>
        <w:rPr>
          <w:sz w:val="24"/>
          <w:szCs w:val="24"/>
        </w:rPr>
      </w:pPr>
      <w:r>
        <w:rPr>
          <w:sz w:val="24"/>
          <w:szCs w:val="24"/>
        </w:rPr>
        <w:t xml:space="preserve">Currently, </w:t>
      </w:r>
      <w:r w:rsidR="00F76F14">
        <w:rPr>
          <w:sz w:val="24"/>
          <w:szCs w:val="24"/>
        </w:rPr>
        <w:t>SES</w:t>
      </w:r>
      <w:r>
        <w:rPr>
          <w:sz w:val="24"/>
          <w:szCs w:val="24"/>
        </w:rPr>
        <w:t xml:space="preserve"> are entitled to</w:t>
      </w:r>
      <w:r w:rsidR="001C27A8" w:rsidRPr="005042EA">
        <w:rPr>
          <w:sz w:val="24"/>
          <w:szCs w:val="24"/>
        </w:rPr>
        <w:t xml:space="preserve"> </w:t>
      </w:r>
      <w:r w:rsidR="00251912">
        <w:rPr>
          <w:sz w:val="24"/>
          <w:szCs w:val="24"/>
        </w:rPr>
        <w:t xml:space="preserve">20 </w:t>
      </w:r>
      <w:r w:rsidR="009C29C4">
        <w:rPr>
          <w:sz w:val="24"/>
          <w:szCs w:val="24"/>
        </w:rPr>
        <w:t>days of</w:t>
      </w:r>
      <w:r w:rsidR="001C27A8" w:rsidRPr="001B348F">
        <w:rPr>
          <w:color w:val="FF0000"/>
          <w:sz w:val="24"/>
          <w:szCs w:val="24"/>
        </w:rPr>
        <w:t xml:space="preserve"> </w:t>
      </w:r>
      <w:r w:rsidR="001C27A8" w:rsidRPr="005042EA">
        <w:rPr>
          <w:sz w:val="24"/>
          <w:szCs w:val="24"/>
        </w:rPr>
        <w:t xml:space="preserve">annual leave and </w:t>
      </w:r>
      <w:r w:rsidR="00251912">
        <w:rPr>
          <w:sz w:val="24"/>
          <w:szCs w:val="24"/>
        </w:rPr>
        <w:t>18</w:t>
      </w:r>
      <w:r w:rsidR="00251912" w:rsidRPr="009C29C4">
        <w:rPr>
          <w:sz w:val="24"/>
          <w:szCs w:val="24"/>
        </w:rPr>
        <w:t xml:space="preserve"> </w:t>
      </w:r>
      <w:r w:rsidR="001C27A8" w:rsidRPr="009C29C4">
        <w:rPr>
          <w:sz w:val="24"/>
          <w:szCs w:val="24"/>
        </w:rPr>
        <w:t xml:space="preserve">days </w:t>
      </w:r>
      <w:r w:rsidR="001C27A8" w:rsidRPr="005042EA">
        <w:rPr>
          <w:sz w:val="24"/>
          <w:szCs w:val="24"/>
        </w:rPr>
        <w:t>of personal leave during each year of service</w:t>
      </w:r>
      <w:r w:rsidR="00E87184">
        <w:rPr>
          <w:sz w:val="24"/>
          <w:szCs w:val="24"/>
        </w:rPr>
        <w:t xml:space="preserve">, which appears to be consistent with </w:t>
      </w:r>
      <w:r>
        <w:rPr>
          <w:sz w:val="24"/>
          <w:szCs w:val="24"/>
        </w:rPr>
        <w:t xml:space="preserve">executive leave entitlements in </w:t>
      </w:r>
      <w:r w:rsidR="00E87184">
        <w:rPr>
          <w:sz w:val="24"/>
          <w:szCs w:val="24"/>
        </w:rPr>
        <w:t>other jurisdictions</w:t>
      </w:r>
      <w:r w:rsidR="001C27A8" w:rsidRPr="005042EA">
        <w:rPr>
          <w:sz w:val="24"/>
          <w:szCs w:val="24"/>
        </w:rPr>
        <w:t xml:space="preserve">. </w:t>
      </w:r>
      <w:r w:rsidRPr="005042EA">
        <w:rPr>
          <w:sz w:val="24"/>
          <w:szCs w:val="24"/>
        </w:rPr>
        <w:t xml:space="preserve">Executives are also entitled to </w:t>
      </w:r>
      <w:r>
        <w:rPr>
          <w:sz w:val="24"/>
          <w:szCs w:val="24"/>
        </w:rPr>
        <w:t>other leave types such as long service leave, compassionate leave and grandparental leave.</w:t>
      </w:r>
      <w:r w:rsidRPr="005042EA">
        <w:rPr>
          <w:sz w:val="24"/>
          <w:szCs w:val="24"/>
        </w:rPr>
        <w:t xml:space="preserve"> </w:t>
      </w:r>
    </w:p>
    <w:p w14:paraId="1F2EF0A4" w14:textId="1936AF62" w:rsidR="00A8610B" w:rsidRPr="00BC30E9" w:rsidRDefault="00A8610B" w:rsidP="001C27A8">
      <w:pPr>
        <w:spacing w:before="120"/>
        <w:rPr>
          <w:sz w:val="24"/>
          <w:szCs w:val="24"/>
        </w:rPr>
      </w:pPr>
      <w:r w:rsidRPr="00BC30E9">
        <w:rPr>
          <w:sz w:val="24"/>
          <w:szCs w:val="24"/>
        </w:rPr>
        <w:t xml:space="preserve">The ACTPS offers </w:t>
      </w:r>
      <w:r w:rsidR="00F46041" w:rsidRPr="00BC30E9">
        <w:rPr>
          <w:sz w:val="24"/>
          <w:szCs w:val="24"/>
        </w:rPr>
        <w:t xml:space="preserve">its executives </w:t>
      </w:r>
      <w:r w:rsidRPr="00BC30E9">
        <w:rPr>
          <w:sz w:val="24"/>
          <w:szCs w:val="24"/>
        </w:rPr>
        <w:t>52 weeks of maternity leave</w:t>
      </w:r>
      <w:r w:rsidR="0031366B" w:rsidRPr="00BC30E9">
        <w:rPr>
          <w:sz w:val="24"/>
          <w:szCs w:val="24"/>
        </w:rPr>
        <w:t xml:space="preserve">, which is consistent with all other jurisdictions. The ACTPS has a higher </w:t>
      </w:r>
      <w:r w:rsidR="002A76CF" w:rsidRPr="00BC30E9">
        <w:rPr>
          <w:sz w:val="24"/>
          <w:szCs w:val="24"/>
        </w:rPr>
        <w:t>paid maternity leave</w:t>
      </w:r>
      <w:r w:rsidR="007F684F" w:rsidRPr="00BC30E9">
        <w:rPr>
          <w:sz w:val="24"/>
          <w:szCs w:val="24"/>
        </w:rPr>
        <w:t xml:space="preserve"> entitlement than most other jurisdictions</w:t>
      </w:r>
      <w:r w:rsidR="00BC30E9" w:rsidRPr="00BC30E9">
        <w:rPr>
          <w:sz w:val="24"/>
          <w:szCs w:val="24"/>
        </w:rPr>
        <w:t xml:space="preserve">. The paid leave provision provide for </w:t>
      </w:r>
      <w:r w:rsidRPr="00BC30E9">
        <w:rPr>
          <w:sz w:val="24"/>
          <w:szCs w:val="24"/>
        </w:rPr>
        <w:t>18 weeks paid leave</w:t>
      </w:r>
      <w:r w:rsidR="00BC30E9" w:rsidRPr="00BC30E9">
        <w:rPr>
          <w:sz w:val="24"/>
          <w:szCs w:val="24"/>
        </w:rPr>
        <w:t xml:space="preserve">, </w:t>
      </w:r>
      <w:r w:rsidRPr="00BC30E9">
        <w:rPr>
          <w:sz w:val="24"/>
          <w:szCs w:val="24"/>
        </w:rPr>
        <w:t xml:space="preserve">which can be </w:t>
      </w:r>
      <w:r w:rsidR="0031366B" w:rsidRPr="00BC30E9">
        <w:rPr>
          <w:sz w:val="24"/>
          <w:szCs w:val="24"/>
        </w:rPr>
        <w:t>accessed</w:t>
      </w:r>
      <w:r w:rsidRPr="00BC30E9">
        <w:rPr>
          <w:sz w:val="24"/>
          <w:szCs w:val="24"/>
        </w:rPr>
        <w:t xml:space="preserve"> as half pay over 36 weeks</w:t>
      </w:r>
      <w:r w:rsidR="009C29C4" w:rsidRPr="00BC30E9">
        <w:rPr>
          <w:sz w:val="24"/>
          <w:szCs w:val="24"/>
        </w:rPr>
        <w:t>.</w:t>
      </w:r>
      <w:r w:rsidRPr="00BC30E9">
        <w:rPr>
          <w:sz w:val="24"/>
          <w:szCs w:val="24"/>
        </w:rPr>
        <w:t xml:space="preserve"> </w:t>
      </w:r>
    </w:p>
    <w:p w14:paraId="1BC698DB" w14:textId="77777777" w:rsidR="009C29C4" w:rsidRPr="00285536" w:rsidRDefault="009C29C4" w:rsidP="009C29C4">
      <w:pPr>
        <w:contextualSpacing/>
        <w:rPr>
          <w:color w:val="0070C0"/>
          <w:sz w:val="24"/>
          <w:szCs w:val="24"/>
        </w:rPr>
      </w:pPr>
    </w:p>
    <w:tbl>
      <w:tblPr>
        <w:tblStyle w:val="TableGrid"/>
        <w:tblW w:w="0" w:type="auto"/>
        <w:shd w:val="clear" w:color="auto" w:fill="E5DFEC" w:themeFill="accent4" w:themeFillTint="33"/>
        <w:tblLook w:val="04A0" w:firstRow="1" w:lastRow="0" w:firstColumn="1" w:lastColumn="0" w:noHBand="0" w:noVBand="1"/>
      </w:tblPr>
      <w:tblGrid>
        <w:gridCol w:w="9016"/>
      </w:tblGrid>
      <w:tr w:rsidR="007F684F" w14:paraId="603D5F9A" w14:textId="77777777" w:rsidTr="007F684F">
        <w:tc>
          <w:tcPr>
            <w:tcW w:w="9016" w:type="dxa"/>
            <w:shd w:val="clear" w:color="auto" w:fill="E5DFEC" w:themeFill="accent4" w:themeFillTint="33"/>
          </w:tcPr>
          <w:p w14:paraId="0A14EFBA" w14:textId="1F5AF911" w:rsidR="007F684F" w:rsidRDefault="002A297A" w:rsidP="002C65C1">
            <w:pPr>
              <w:spacing w:before="120" w:after="120" w:line="276" w:lineRule="auto"/>
              <w:rPr>
                <w:sz w:val="24"/>
                <w:szCs w:val="24"/>
              </w:rPr>
            </w:pPr>
            <w:r w:rsidRPr="007570FB">
              <w:rPr>
                <w:b/>
                <w:color w:val="000000" w:themeColor="text1"/>
                <w:sz w:val="24"/>
                <w:szCs w:val="24"/>
              </w:rPr>
              <w:t xml:space="preserve">Decision </w:t>
            </w:r>
            <w:r w:rsidR="00963BBB">
              <w:rPr>
                <w:b/>
                <w:color w:val="000000" w:themeColor="text1"/>
                <w:sz w:val="24"/>
                <w:szCs w:val="24"/>
              </w:rPr>
              <w:t>19</w:t>
            </w:r>
            <w:r w:rsidRPr="007570FB">
              <w:rPr>
                <w:b/>
                <w:color w:val="000000" w:themeColor="text1"/>
                <w:sz w:val="24"/>
                <w:szCs w:val="24"/>
              </w:rPr>
              <w:t>:</w:t>
            </w:r>
            <w:r w:rsidRPr="008F4CF3">
              <w:rPr>
                <w:b/>
                <w:color w:val="000000" w:themeColor="text1"/>
                <w:sz w:val="24"/>
                <w:szCs w:val="24"/>
              </w:rPr>
              <w:t xml:space="preserve"> </w:t>
            </w:r>
            <w:r w:rsidR="007F684F" w:rsidRPr="008F4CF3">
              <w:rPr>
                <w:color w:val="000000" w:themeColor="text1"/>
                <w:sz w:val="24"/>
                <w:szCs w:val="24"/>
              </w:rPr>
              <w:t xml:space="preserve">The Tribunal notes that the </w:t>
            </w:r>
            <w:r w:rsidR="0091752D" w:rsidRPr="008F4CF3">
              <w:rPr>
                <w:color w:val="000000" w:themeColor="text1"/>
                <w:sz w:val="24"/>
                <w:szCs w:val="24"/>
              </w:rPr>
              <w:t xml:space="preserve">executive </w:t>
            </w:r>
            <w:r w:rsidR="007F684F" w:rsidRPr="008F4CF3">
              <w:rPr>
                <w:color w:val="000000" w:themeColor="text1"/>
                <w:sz w:val="24"/>
                <w:szCs w:val="24"/>
              </w:rPr>
              <w:t>leave entitlements are consistent with other jurisdictions, and in some cases (such as personal leave and paid maternity leave)</w:t>
            </w:r>
            <w:r w:rsidR="00DD08C1" w:rsidRPr="008F4CF3">
              <w:rPr>
                <w:color w:val="000000" w:themeColor="text1"/>
                <w:sz w:val="24"/>
                <w:szCs w:val="24"/>
              </w:rPr>
              <w:t xml:space="preserve"> are more beneficial</w:t>
            </w:r>
            <w:r w:rsidR="007F684F" w:rsidRPr="008F4CF3">
              <w:rPr>
                <w:color w:val="000000" w:themeColor="text1"/>
                <w:sz w:val="24"/>
                <w:szCs w:val="24"/>
              </w:rPr>
              <w:t xml:space="preserve">. The Tribunal’s Determination is currently silent on leave entitlements. The Tribunal </w:t>
            </w:r>
            <w:r w:rsidR="00031CA5">
              <w:rPr>
                <w:color w:val="000000" w:themeColor="text1"/>
                <w:sz w:val="24"/>
                <w:szCs w:val="24"/>
              </w:rPr>
              <w:t>is of the view</w:t>
            </w:r>
            <w:r w:rsidR="00031CA5" w:rsidRPr="008F4CF3">
              <w:rPr>
                <w:color w:val="000000" w:themeColor="text1"/>
                <w:sz w:val="24"/>
                <w:szCs w:val="24"/>
              </w:rPr>
              <w:t xml:space="preserve"> </w:t>
            </w:r>
            <w:r w:rsidR="000E7C93">
              <w:rPr>
                <w:color w:val="000000" w:themeColor="text1"/>
                <w:sz w:val="24"/>
                <w:szCs w:val="24"/>
              </w:rPr>
              <w:t xml:space="preserve">that </w:t>
            </w:r>
            <w:r w:rsidR="007F684F" w:rsidRPr="008F4CF3">
              <w:rPr>
                <w:color w:val="000000" w:themeColor="text1"/>
                <w:sz w:val="24"/>
                <w:szCs w:val="24"/>
              </w:rPr>
              <w:t xml:space="preserve">the inclusion of a clause </w:t>
            </w:r>
            <w:r w:rsidR="00DD08C1" w:rsidRPr="008F4CF3">
              <w:rPr>
                <w:color w:val="000000" w:themeColor="text1"/>
                <w:sz w:val="24"/>
                <w:szCs w:val="24"/>
              </w:rPr>
              <w:t xml:space="preserve">about </w:t>
            </w:r>
            <w:r w:rsidR="007F684F" w:rsidRPr="008F4CF3">
              <w:rPr>
                <w:color w:val="000000" w:themeColor="text1"/>
                <w:sz w:val="24"/>
                <w:szCs w:val="24"/>
              </w:rPr>
              <w:t>leave entitlements within the section on employer</w:t>
            </w:r>
            <w:r w:rsidR="00F64DD5">
              <w:rPr>
                <w:color w:val="000000" w:themeColor="text1"/>
                <w:sz w:val="24"/>
                <w:szCs w:val="24"/>
              </w:rPr>
              <w:t>-</w:t>
            </w:r>
            <w:r w:rsidR="007F684F" w:rsidRPr="008F4CF3">
              <w:rPr>
                <w:color w:val="000000" w:themeColor="text1"/>
                <w:sz w:val="24"/>
                <w:szCs w:val="24"/>
              </w:rPr>
              <w:t xml:space="preserve">provided benefits will </w:t>
            </w:r>
            <w:r w:rsidR="00EE1433" w:rsidRPr="008F4CF3">
              <w:rPr>
                <w:color w:val="000000" w:themeColor="text1"/>
                <w:sz w:val="24"/>
                <w:szCs w:val="24"/>
              </w:rPr>
              <w:t>clarify the entitlements in one central location</w:t>
            </w:r>
            <w:r w:rsidR="007F684F" w:rsidRPr="008F4CF3">
              <w:rPr>
                <w:color w:val="000000" w:themeColor="text1"/>
                <w:sz w:val="24"/>
                <w:szCs w:val="24"/>
              </w:rPr>
              <w:t>.</w:t>
            </w:r>
          </w:p>
        </w:tc>
      </w:tr>
    </w:tbl>
    <w:p w14:paraId="60A7AE72" w14:textId="77777777" w:rsidR="00701280" w:rsidRDefault="00701280" w:rsidP="00701280">
      <w:bookmarkStart w:id="41" w:name="_Toc490469512"/>
    </w:p>
    <w:p w14:paraId="4723D813" w14:textId="77777777" w:rsidR="00CA4ABD" w:rsidRDefault="005F60FA" w:rsidP="00EC272D">
      <w:pPr>
        <w:pStyle w:val="Heading2"/>
      </w:pPr>
      <w:bookmarkStart w:id="42" w:name="_Toc2327879"/>
      <w:r w:rsidRPr="005F60FA">
        <w:t>Other entitlements</w:t>
      </w:r>
      <w:bookmarkEnd w:id="41"/>
      <w:bookmarkEnd w:id="42"/>
    </w:p>
    <w:p w14:paraId="0D02D9B4" w14:textId="001D36AE" w:rsidR="009C29C4" w:rsidRPr="00227656" w:rsidRDefault="009C29C4" w:rsidP="009C29C4">
      <w:pPr>
        <w:spacing w:before="120"/>
        <w:rPr>
          <w:sz w:val="24"/>
          <w:szCs w:val="24"/>
        </w:rPr>
      </w:pPr>
      <w:r w:rsidRPr="00227656">
        <w:rPr>
          <w:sz w:val="24"/>
          <w:szCs w:val="24"/>
        </w:rPr>
        <w:t xml:space="preserve">In addition to the total remuneration package, </w:t>
      </w:r>
      <w:r w:rsidR="004A2C59">
        <w:rPr>
          <w:sz w:val="24"/>
          <w:szCs w:val="24"/>
        </w:rPr>
        <w:t xml:space="preserve">the Tribunal is aware of </w:t>
      </w:r>
      <w:r w:rsidRPr="00227656">
        <w:rPr>
          <w:sz w:val="24"/>
          <w:szCs w:val="24"/>
        </w:rPr>
        <w:t xml:space="preserve">additional arrangements </w:t>
      </w:r>
      <w:r w:rsidR="004A2C59">
        <w:rPr>
          <w:sz w:val="24"/>
          <w:szCs w:val="24"/>
        </w:rPr>
        <w:t xml:space="preserve">that </w:t>
      </w:r>
      <w:r>
        <w:rPr>
          <w:sz w:val="24"/>
          <w:szCs w:val="24"/>
        </w:rPr>
        <w:t xml:space="preserve">apply to executives </w:t>
      </w:r>
      <w:r w:rsidR="004A2C59">
        <w:rPr>
          <w:sz w:val="24"/>
          <w:szCs w:val="24"/>
        </w:rPr>
        <w:t xml:space="preserve">in the ACTPS and in other </w:t>
      </w:r>
      <w:r w:rsidR="0040752F">
        <w:rPr>
          <w:sz w:val="24"/>
          <w:szCs w:val="24"/>
        </w:rPr>
        <w:t>jurisdictions</w:t>
      </w:r>
      <w:r w:rsidR="004A2C59">
        <w:rPr>
          <w:sz w:val="24"/>
          <w:szCs w:val="24"/>
        </w:rPr>
        <w:t xml:space="preserve">, </w:t>
      </w:r>
      <w:r>
        <w:rPr>
          <w:sz w:val="24"/>
          <w:szCs w:val="24"/>
        </w:rPr>
        <w:t>as part of their employment</w:t>
      </w:r>
      <w:r w:rsidRPr="00227656">
        <w:rPr>
          <w:sz w:val="24"/>
          <w:szCs w:val="24"/>
        </w:rPr>
        <w:t xml:space="preserve">. </w:t>
      </w:r>
      <w:r w:rsidR="004A2C59">
        <w:rPr>
          <w:sz w:val="24"/>
          <w:szCs w:val="24"/>
        </w:rPr>
        <w:t>The Tribunal is of the view that directorate discretion should be used when considering what type of other entitlements should be available to individual executives.</w:t>
      </w:r>
    </w:p>
    <w:tbl>
      <w:tblPr>
        <w:tblStyle w:val="TableGrid"/>
        <w:tblW w:w="0" w:type="auto"/>
        <w:shd w:val="clear" w:color="auto" w:fill="E5DFEC" w:themeFill="accent4" w:themeFillTint="33"/>
        <w:tblLook w:val="04A0" w:firstRow="1" w:lastRow="0" w:firstColumn="1" w:lastColumn="0" w:noHBand="0" w:noVBand="1"/>
      </w:tblPr>
      <w:tblGrid>
        <w:gridCol w:w="9016"/>
      </w:tblGrid>
      <w:tr w:rsidR="002A297A" w:rsidRPr="00701280" w14:paraId="017A0532" w14:textId="77777777" w:rsidTr="00EA4981">
        <w:tc>
          <w:tcPr>
            <w:tcW w:w="9016" w:type="dxa"/>
            <w:shd w:val="clear" w:color="auto" w:fill="E5DFEC" w:themeFill="accent4" w:themeFillTint="33"/>
          </w:tcPr>
          <w:p w14:paraId="41269DA1" w14:textId="390BCB24" w:rsidR="002A297A" w:rsidRPr="00701280" w:rsidRDefault="002A297A" w:rsidP="00D44C1B">
            <w:pPr>
              <w:spacing w:before="120" w:after="120" w:line="276" w:lineRule="auto"/>
              <w:rPr>
                <w:b/>
                <w:color w:val="000000" w:themeColor="text1"/>
                <w:sz w:val="24"/>
                <w:szCs w:val="24"/>
              </w:rPr>
            </w:pPr>
            <w:bookmarkStart w:id="43" w:name="_Toc490469513"/>
            <w:r w:rsidRPr="007570FB">
              <w:rPr>
                <w:b/>
                <w:color w:val="000000" w:themeColor="text1"/>
                <w:sz w:val="24"/>
                <w:szCs w:val="24"/>
              </w:rPr>
              <w:t xml:space="preserve">Decision </w:t>
            </w:r>
            <w:r w:rsidR="00963BBB">
              <w:rPr>
                <w:b/>
                <w:color w:val="000000" w:themeColor="text1"/>
                <w:sz w:val="24"/>
                <w:szCs w:val="24"/>
              </w:rPr>
              <w:t>20</w:t>
            </w:r>
            <w:r w:rsidRPr="007570FB">
              <w:rPr>
                <w:b/>
                <w:color w:val="000000" w:themeColor="text1"/>
                <w:sz w:val="24"/>
                <w:szCs w:val="24"/>
              </w:rPr>
              <w:t>:</w:t>
            </w:r>
            <w:r w:rsidRPr="00701280">
              <w:rPr>
                <w:b/>
                <w:color w:val="000000" w:themeColor="text1"/>
                <w:sz w:val="24"/>
                <w:szCs w:val="24"/>
              </w:rPr>
              <w:t xml:space="preserve"> </w:t>
            </w:r>
            <w:r w:rsidR="00F9318F" w:rsidRPr="00701280">
              <w:rPr>
                <w:color w:val="000000" w:themeColor="text1"/>
                <w:sz w:val="24"/>
                <w:szCs w:val="24"/>
              </w:rPr>
              <w:t xml:space="preserve">The Tribunal considers that the provision of other </w:t>
            </w:r>
            <w:r w:rsidR="00B47F1E">
              <w:rPr>
                <w:color w:val="000000" w:themeColor="text1"/>
                <w:sz w:val="24"/>
                <w:szCs w:val="24"/>
              </w:rPr>
              <w:t xml:space="preserve">executive </w:t>
            </w:r>
            <w:r w:rsidR="00F9318F" w:rsidRPr="00701280">
              <w:rPr>
                <w:color w:val="000000" w:themeColor="text1"/>
                <w:sz w:val="24"/>
                <w:szCs w:val="24"/>
              </w:rPr>
              <w:t xml:space="preserve">entitlements is a matter for the relevant </w:t>
            </w:r>
            <w:r w:rsidR="00D44C1B">
              <w:rPr>
                <w:color w:val="000000" w:themeColor="text1"/>
                <w:sz w:val="24"/>
                <w:szCs w:val="24"/>
              </w:rPr>
              <w:t>D</w:t>
            </w:r>
            <w:r w:rsidR="00D44C1B" w:rsidRPr="00701280">
              <w:rPr>
                <w:color w:val="000000" w:themeColor="text1"/>
                <w:sz w:val="24"/>
                <w:szCs w:val="24"/>
              </w:rPr>
              <w:t xml:space="preserve">irectorate </w:t>
            </w:r>
            <w:r w:rsidR="00F71829" w:rsidRPr="00701280">
              <w:rPr>
                <w:color w:val="000000" w:themeColor="text1"/>
                <w:sz w:val="24"/>
                <w:szCs w:val="24"/>
              </w:rPr>
              <w:t>and the Head of Service</w:t>
            </w:r>
            <w:r w:rsidR="006F105A" w:rsidRPr="00701280">
              <w:rPr>
                <w:color w:val="000000" w:themeColor="text1"/>
                <w:sz w:val="24"/>
                <w:szCs w:val="24"/>
              </w:rPr>
              <w:t>. However</w:t>
            </w:r>
            <w:r w:rsidR="00701280">
              <w:rPr>
                <w:color w:val="000000" w:themeColor="text1"/>
                <w:sz w:val="24"/>
                <w:szCs w:val="24"/>
              </w:rPr>
              <w:t>,</w:t>
            </w:r>
            <w:r w:rsidR="006F105A" w:rsidRPr="00701280">
              <w:rPr>
                <w:color w:val="000000" w:themeColor="text1"/>
                <w:sz w:val="24"/>
                <w:szCs w:val="24"/>
              </w:rPr>
              <w:t xml:space="preserve"> its</w:t>
            </w:r>
            <w:r w:rsidR="00F9318F" w:rsidRPr="00701280">
              <w:rPr>
                <w:color w:val="000000" w:themeColor="text1"/>
                <w:sz w:val="24"/>
                <w:szCs w:val="24"/>
              </w:rPr>
              <w:t xml:space="preserve"> strong view </w:t>
            </w:r>
            <w:r w:rsidR="006F105A" w:rsidRPr="00701280">
              <w:rPr>
                <w:color w:val="000000" w:themeColor="text1"/>
                <w:sz w:val="24"/>
                <w:szCs w:val="24"/>
              </w:rPr>
              <w:t xml:space="preserve">is </w:t>
            </w:r>
            <w:r w:rsidR="00F9318F" w:rsidRPr="00701280">
              <w:rPr>
                <w:color w:val="000000" w:themeColor="text1"/>
                <w:sz w:val="24"/>
                <w:szCs w:val="24"/>
              </w:rPr>
              <w:t xml:space="preserve">that there should be consistency in </w:t>
            </w:r>
            <w:r w:rsidR="00F73E88">
              <w:rPr>
                <w:color w:val="000000" w:themeColor="text1"/>
                <w:sz w:val="24"/>
                <w:szCs w:val="24"/>
              </w:rPr>
              <w:t xml:space="preserve">the </w:t>
            </w:r>
            <w:r w:rsidR="00F9318F" w:rsidRPr="00701280">
              <w:rPr>
                <w:color w:val="000000" w:themeColor="text1"/>
                <w:sz w:val="24"/>
                <w:szCs w:val="24"/>
              </w:rPr>
              <w:t>application of these entitlements and arrangements.</w:t>
            </w:r>
          </w:p>
        </w:tc>
      </w:tr>
    </w:tbl>
    <w:p w14:paraId="7E8D5DD6" w14:textId="77777777" w:rsidR="00C90E24" w:rsidRDefault="00C90E24" w:rsidP="00EC272D">
      <w:pPr>
        <w:pStyle w:val="Heading2"/>
      </w:pPr>
      <w:bookmarkStart w:id="44" w:name="_Toc490469516"/>
      <w:bookmarkEnd w:id="43"/>
    </w:p>
    <w:p w14:paraId="4695607E" w14:textId="77777777" w:rsidR="00C90E24" w:rsidRDefault="00C90E24">
      <w:pPr>
        <w:rPr>
          <w:rFonts w:asciiTheme="majorHAnsi" w:eastAsiaTheme="majorEastAsia" w:hAnsiTheme="majorHAnsi" w:cstheme="majorBidi"/>
          <w:b/>
          <w:bCs/>
          <w:color w:val="4F81BD" w:themeColor="accent1"/>
          <w:sz w:val="26"/>
          <w:szCs w:val="26"/>
        </w:rPr>
      </w:pPr>
      <w:r>
        <w:br w:type="page"/>
      </w:r>
    </w:p>
    <w:p w14:paraId="5E61AE37" w14:textId="1055CC90" w:rsidR="00CA4ABD" w:rsidRDefault="005F60FA" w:rsidP="00EC272D">
      <w:pPr>
        <w:pStyle w:val="Heading2"/>
      </w:pPr>
      <w:bookmarkStart w:id="45" w:name="_Toc2327880"/>
      <w:r w:rsidRPr="005F60FA">
        <w:lastRenderedPageBreak/>
        <w:t>Travelling arrangements</w:t>
      </w:r>
      <w:bookmarkEnd w:id="44"/>
      <w:bookmarkEnd w:id="45"/>
      <w:r w:rsidRPr="005F60FA">
        <w:t xml:space="preserve"> </w:t>
      </w:r>
    </w:p>
    <w:p w14:paraId="19E8AC77" w14:textId="425F30A4" w:rsidR="0068405C" w:rsidRDefault="0068405C" w:rsidP="0068405C">
      <w:pPr>
        <w:spacing w:before="120"/>
        <w:rPr>
          <w:sz w:val="24"/>
          <w:szCs w:val="24"/>
        </w:rPr>
      </w:pPr>
      <w:r>
        <w:rPr>
          <w:sz w:val="24"/>
          <w:szCs w:val="24"/>
        </w:rPr>
        <w:t>The PSM Standards outline travel arrangements for all ACTPS officers and employees who travel for official purposes</w:t>
      </w:r>
      <w:r w:rsidR="00FC1DFB">
        <w:rPr>
          <w:rStyle w:val="FootnoteReference"/>
          <w:sz w:val="24"/>
          <w:szCs w:val="24"/>
        </w:rPr>
        <w:footnoteReference w:id="32"/>
      </w:r>
      <w:r>
        <w:rPr>
          <w:sz w:val="24"/>
          <w:szCs w:val="24"/>
        </w:rPr>
        <w:t>.</w:t>
      </w:r>
      <w:r w:rsidRPr="007C2B7D">
        <w:rPr>
          <w:sz w:val="24"/>
          <w:szCs w:val="24"/>
        </w:rPr>
        <w:t xml:space="preserve"> </w:t>
      </w:r>
      <w:r>
        <w:rPr>
          <w:sz w:val="24"/>
          <w:szCs w:val="24"/>
        </w:rPr>
        <w:t>These arrangements have been established to ensure that employees undertake official travel in an efficient, effective, ethical and responsible way particularly when using public funds.</w:t>
      </w:r>
      <w:r w:rsidR="00384F6D" w:rsidRPr="00384F6D">
        <w:rPr>
          <w:sz w:val="24"/>
          <w:szCs w:val="24"/>
        </w:rPr>
        <w:t xml:space="preserve"> </w:t>
      </w:r>
      <w:r w:rsidR="00384F6D">
        <w:rPr>
          <w:sz w:val="24"/>
          <w:szCs w:val="24"/>
        </w:rPr>
        <w:t xml:space="preserve">As the travel arrangements for executives are provided in the PSM Standards, the Tribunal does not have oversight of these travel </w:t>
      </w:r>
      <w:r w:rsidR="0091752D" w:rsidRPr="005B40E1">
        <w:rPr>
          <w:color w:val="000000" w:themeColor="text1"/>
          <w:sz w:val="24"/>
          <w:szCs w:val="24"/>
        </w:rPr>
        <w:t>arrangements</w:t>
      </w:r>
      <w:r w:rsidR="00384F6D" w:rsidRPr="005B40E1">
        <w:rPr>
          <w:color w:val="000000" w:themeColor="text1"/>
          <w:sz w:val="24"/>
          <w:szCs w:val="24"/>
        </w:rPr>
        <w:t>.</w:t>
      </w:r>
    </w:p>
    <w:p w14:paraId="6EE0BEFB" w14:textId="0011D134" w:rsidR="00E3285B" w:rsidRDefault="00384F6D">
      <w:pPr>
        <w:contextualSpacing/>
        <w:rPr>
          <w:sz w:val="24"/>
          <w:szCs w:val="24"/>
        </w:rPr>
      </w:pPr>
      <w:r>
        <w:rPr>
          <w:sz w:val="24"/>
          <w:szCs w:val="24"/>
        </w:rPr>
        <w:t xml:space="preserve">The Government’s travel arrangements are based on a reimbursement model, and not an allowance </w:t>
      </w:r>
      <w:r w:rsidR="009347C5">
        <w:rPr>
          <w:sz w:val="24"/>
          <w:szCs w:val="24"/>
        </w:rPr>
        <w:t xml:space="preserve">or travel card </w:t>
      </w:r>
      <w:r>
        <w:rPr>
          <w:sz w:val="24"/>
          <w:szCs w:val="24"/>
        </w:rPr>
        <w:t>model</w:t>
      </w:r>
      <w:r w:rsidR="009347C5">
        <w:rPr>
          <w:sz w:val="24"/>
          <w:szCs w:val="24"/>
        </w:rPr>
        <w:t xml:space="preserve"> which is in place in</w:t>
      </w:r>
      <w:r>
        <w:rPr>
          <w:sz w:val="24"/>
          <w:szCs w:val="24"/>
        </w:rPr>
        <w:t xml:space="preserve"> the APS or other jurisdictions. </w:t>
      </w:r>
      <w:r w:rsidRPr="00E70612">
        <w:rPr>
          <w:sz w:val="24"/>
          <w:szCs w:val="24"/>
        </w:rPr>
        <w:t>The Tribunal has received some feedback that there are</w:t>
      </w:r>
      <w:r>
        <w:rPr>
          <w:sz w:val="24"/>
          <w:szCs w:val="24"/>
        </w:rPr>
        <w:t xml:space="preserve"> some</w:t>
      </w:r>
      <w:r w:rsidR="00E56858" w:rsidRPr="009C29C4">
        <w:rPr>
          <w:sz w:val="24"/>
          <w:szCs w:val="24"/>
        </w:rPr>
        <w:t xml:space="preserve"> issues associated with international travel and currency conversion</w:t>
      </w:r>
      <w:r>
        <w:rPr>
          <w:sz w:val="24"/>
          <w:szCs w:val="24"/>
        </w:rPr>
        <w:t>.</w:t>
      </w:r>
      <w:r w:rsidRPr="009C29C4">
        <w:rPr>
          <w:sz w:val="24"/>
          <w:szCs w:val="24"/>
        </w:rPr>
        <w:t xml:space="preserve"> </w:t>
      </w:r>
      <w:r>
        <w:rPr>
          <w:sz w:val="24"/>
          <w:szCs w:val="24"/>
        </w:rPr>
        <w:t>T</w:t>
      </w:r>
      <w:r w:rsidR="00E56858" w:rsidRPr="009C29C4">
        <w:rPr>
          <w:sz w:val="24"/>
          <w:szCs w:val="24"/>
        </w:rPr>
        <w:t xml:space="preserve">he Government may </w:t>
      </w:r>
      <w:r w:rsidR="00F71829">
        <w:rPr>
          <w:sz w:val="24"/>
          <w:szCs w:val="24"/>
        </w:rPr>
        <w:t>wish</w:t>
      </w:r>
      <w:r w:rsidR="00F71829" w:rsidRPr="009C29C4">
        <w:rPr>
          <w:sz w:val="24"/>
          <w:szCs w:val="24"/>
        </w:rPr>
        <w:t xml:space="preserve"> </w:t>
      </w:r>
      <w:r w:rsidR="00E56858" w:rsidRPr="009C29C4">
        <w:rPr>
          <w:sz w:val="24"/>
          <w:szCs w:val="24"/>
        </w:rPr>
        <w:t xml:space="preserve">to consider exploring options for a small allowance for </w:t>
      </w:r>
      <w:r w:rsidR="009347C5">
        <w:rPr>
          <w:sz w:val="24"/>
          <w:szCs w:val="24"/>
        </w:rPr>
        <w:t xml:space="preserve">international </w:t>
      </w:r>
      <w:r w:rsidR="00E56858" w:rsidRPr="009C29C4">
        <w:rPr>
          <w:sz w:val="24"/>
          <w:szCs w:val="24"/>
        </w:rPr>
        <w:t>travel purposes</w:t>
      </w:r>
      <w:r w:rsidR="00EE1433">
        <w:rPr>
          <w:sz w:val="24"/>
          <w:szCs w:val="24"/>
        </w:rPr>
        <w:t>, based on the ATO determinations</w:t>
      </w:r>
      <w:r w:rsidR="00E56858" w:rsidRPr="009C29C4">
        <w:rPr>
          <w:sz w:val="24"/>
          <w:szCs w:val="24"/>
        </w:rPr>
        <w:t>.</w:t>
      </w:r>
      <w:r w:rsidR="00F27505" w:rsidRPr="009C29C4">
        <w:rPr>
          <w:sz w:val="24"/>
          <w:szCs w:val="24"/>
        </w:rPr>
        <w:t xml:space="preserve"> </w:t>
      </w:r>
      <w:r w:rsidRPr="00384F6D">
        <w:rPr>
          <w:sz w:val="24"/>
          <w:szCs w:val="24"/>
        </w:rPr>
        <w:t>However, the Tribunal notes that</w:t>
      </w:r>
      <w:r w:rsidR="003C4AFC">
        <w:rPr>
          <w:sz w:val="24"/>
          <w:szCs w:val="24"/>
        </w:rPr>
        <w:t>,</w:t>
      </w:r>
      <w:r>
        <w:rPr>
          <w:sz w:val="24"/>
          <w:szCs w:val="24"/>
        </w:rPr>
        <w:t xml:space="preserve"> as the Government sets the travel arrangements in the PSM Standards,</w:t>
      </w:r>
      <w:r w:rsidRPr="00384F6D">
        <w:rPr>
          <w:sz w:val="24"/>
          <w:szCs w:val="24"/>
        </w:rPr>
        <w:t xml:space="preserve"> this is purely a matter for the Government </w:t>
      </w:r>
      <w:r>
        <w:rPr>
          <w:sz w:val="24"/>
          <w:szCs w:val="24"/>
        </w:rPr>
        <w:t xml:space="preserve">to </w:t>
      </w:r>
      <w:r w:rsidR="006D637C">
        <w:rPr>
          <w:sz w:val="24"/>
          <w:szCs w:val="24"/>
        </w:rPr>
        <w:t xml:space="preserve">decide </w:t>
      </w:r>
      <w:r w:rsidRPr="00384F6D">
        <w:rPr>
          <w:sz w:val="24"/>
          <w:szCs w:val="24"/>
        </w:rPr>
        <w:t xml:space="preserve">and </w:t>
      </w:r>
      <w:r>
        <w:rPr>
          <w:sz w:val="24"/>
          <w:szCs w:val="24"/>
        </w:rPr>
        <w:t xml:space="preserve">is </w:t>
      </w:r>
      <w:r w:rsidRPr="00384F6D">
        <w:rPr>
          <w:sz w:val="24"/>
          <w:szCs w:val="24"/>
        </w:rPr>
        <w:t>outside the Tribunal’s jurisdiction.</w:t>
      </w:r>
      <w:r w:rsidRPr="00384F6D" w:rsidDel="00EE1433">
        <w:rPr>
          <w:sz w:val="24"/>
          <w:szCs w:val="24"/>
        </w:rPr>
        <w:t xml:space="preserve"> </w:t>
      </w:r>
    </w:p>
    <w:p w14:paraId="2A0D0602" w14:textId="77777777" w:rsidR="001D5608" w:rsidRDefault="001D5608">
      <w:pPr>
        <w:contextualSpacing/>
        <w:rPr>
          <w:sz w:val="24"/>
          <w:szCs w:val="24"/>
        </w:rPr>
      </w:pPr>
    </w:p>
    <w:tbl>
      <w:tblPr>
        <w:tblStyle w:val="TableGrid"/>
        <w:tblW w:w="0" w:type="auto"/>
        <w:shd w:val="clear" w:color="auto" w:fill="E5DFEC" w:themeFill="accent4" w:themeFillTint="33"/>
        <w:tblLook w:val="04A0" w:firstRow="1" w:lastRow="0" w:firstColumn="1" w:lastColumn="0" w:noHBand="0" w:noVBand="1"/>
      </w:tblPr>
      <w:tblGrid>
        <w:gridCol w:w="9016"/>
      </w:tblGrid>
      <w:tr w:rsidR="009347C5" w14:paraId="5A4B6B41" w14:textId="77777777" w:rsidTr="00EA4981">
        <w:tc>
          <w:tcPr>
            <w:tcW w:w="9016" w:type="dxa"/>
            <w:shd w:val="clear" w:color="auto" w:fill="E5DFEC" w:themeFill="accent4" w:themeFillTint="33"/>
          </w:tcPr>
          <w:p w14:paraId="0C169B2B" w14:textId="0B920538" w:rsidR="009347C5" w:rsidRDefault="002A297A" w:rsidP="00D53E8B">
            <w:pPr>
              <w:spacing w:before="120" w:after="120" w:line="276" w:lineRule="auto"/>
              <w:rPr>
                <w:sz w:val="24"/>
                <w:szCs w:val="24"/>
              </w:rPr>
            </w:pPr>
            <w:r w:rsidRPr="007570FB">
              <w:rPr>
                <w:b/>
                <w:color w:val="000000" w:themeColor="text1"/>
                <w:sz w:val="24"/>
                <w:szCs w:val="24"/>
              </w:rPr>
              <w:t xml:space="preserve">Decision </w:t>
            </w:r>
            <w:r w:rsidR="00963BBB">
              <w:rPr>
                <w:b/>
                <w:color w:val="000000" w:themeColor="text1"/>
                <w:sz w:val="24"/>
                <w:szCs w:val="24"/>
              </w:rPr>
              <w:t>21</w:t>
            </w:r>
            <w:r w:rsidRPr="007570FB">
              <w:rPr>
                <w:b/>
                <w:color w:val="000000" w:themeColor="text1"/>
                <w:sz w:val="24"/>
                <w:szCs w:val="24"/>
              </w:rPr>
              <w:t>:</w:t>
            </w:r>
            <w:r w:rsidRPr="00701280">
              <w:rPr>
                <w:b/>
                <w:color w:val="000000" w:themeColor="text1"/>
                <w:sz w:val="24"/>
                <w:szCs w:val="24"/>
              </w:rPr>
              <w:t xml:space="preserve"> </w:t>
            </w:r>
            <w:r w:rsidR="006D637C" w:rsidRPr="00701280">
              <w:rPr>
                <w:color w:val="000000" w:themeColor="text1"/>
                <w:sz w:val="24"/>
                <w:szCs w:val="24"/>
              </w:rPr>
              <w:t xml:space="preserve">The Tribunal acknowledges that the Government has responsibility for travel arrangements which are contained in the PSM Standards and </w:t>
            </w:r>
            <w:r w:rsidR="00810793">
              <w:rPr>
                <w:color w:val="000000" w:themeColor="text1"/>
                <w:sz w:val="24"/>
                <w:szCs w:val="24"/>
              </w:rPr>
              <w:t>are</w:t>
            </w:r>
            <w:r w:rsidR="00810793" w:rsidRPr="00701280">
              <w:rPr>
                <w:color w:val="000000" w:themeColor="text1"/>
                <w:sz w:val="24"/>
                <w:szCs w:val="24"/>
              </w:rPr>
              <w:t xml:space="preserve"> </w:t>
            </w:r>
            <w:r w:rsidR="006D637C" w:rsidRPr="00701280">
              <w:rPr>
                <w:color w:val="000000" w:themeColor="text1"/>
                <w:sz w:val="24"/>
                <w:szCs w:val="24"/>
              </w:rPr>
              <w:t>outside the Tribunal’s jurisdiction. Notwithstanding this, t</w:t>
            </w:r>
            <w:r w:rsidR="009347C5" w:rsidRPr="00701280">
              <w:rPr>
                <w:color w:val="000000" w:themeColor="text1"/>
                <w:sz w:val="24"/>
                <w:szCs w:val="24"/>
              </w:rPr>
              <w:t xml:space="preserve">he Tribunal </w:t>
            </w:r>
            <w:r w:rsidR="00D53E8B">
              <w:rPr>
                <w:color w:val="000000" w:themeColor="text1"/>
                <w:sz w:val="24"/>
                <w:szCs w:val="24"/>
              </w:rPr>
              <w:t>recommends</w:t>
            </w:r>
            <w:r w:rsidR="00D53E8B" w:rsidRPr="00701280">
              <w:rPr>
                <w:color w:val="000000" w:themeColor="text1"/>
                <w:sz w:val="24"/>
                <w:szCs w:val="24"/>
              </w:rPr>
              <w:t xml:space="preserve"> </w:t>
            </w:r>
            <w:r w:rsidR="009347C5" w:rsidRPr="00701280">
              <w:rPr>
                <w:color w:val="000000" w:themeColor="text1"/>
                <w:sz w:val="24"/>
                <w:szCs w:val="24"/>
              </w:rPr>
              <w:t xml:space="preserve">to the Government that </w:t>
            </w:r>
            <w:r w:rsidR="00F71829" w:rsidRPr="00701280">
              <w:rPr>
                <w:color w:val="000000" w:themeColor="text1"/>
                <w:sz w:val="24"/>
                <w:szCs w:val="24"/>
              </w:rPr>
              <w:t>it would be beneficial</w:t>
            </w:r>
            <w:r w:rsidR="009347C5" w:rsidRPr="00701280">
              <w:rPr>
                <w:color w:val="000000" w:themeColor="text1"/>
                <w:sz w:val="24"/>
                <w:szCs w:val="24"/>
              </w:rPr>
              <w:t xml:space="preserve"> to consider a small allowance for international travel purposes </w:t>
            </w:r>
            <w:r w:rsidR="006D637C" w:rsidRPr="00701280">
              <w:rPr>
                <w:color w:val="000000" w:themeColor="text1"/>
                <w:sz w:val="24"/>
                <w:szCs w:val="24"/>
              </w:rPr>
              <w:t>consistent with</w:t>
            </w:r>
            <w:r w:rsidR="009347C5" w:rsidRPr="00701280">
              <w:rPr>
                <w:color w:val="000000" w:themeColor="text1"/>
                <w:sz w:val="24"/>
                <w:szCs w:val="24"/>
              </w:rPr>
              <w:t xml:space="preserve"> the ATO</w:t>
            </w:r>
            <w:r w:rsidR="00810793">
              <w:rPr>
                <w:color w:val="000000" w:themeColor="text1"/>
                <w:sz w:val="24"/>
                <w:szCs w:val="24"/>
              </w:rPr>
              <w:t>’s</w:t>
            </w:r>
            <w:r w:rsidR="009347C5" w:rsidRPr="00701280">
              <w:rPr>
                <w:color w:val="000000" w:themeColor="text1"/>
                <w:sz w:val="24"/>
                <w:szCs w:val="24"/>
              </w:rPr>
              <w:t xml:space="preserve"> determinations.</w:t>
            </w:r>
            <w:r w:rsidR="009347C5" w:rsidRPr="00701280">
              <w:rPr>
                <w:sz w:val="24"/>
                <w:szCs w:val="24"/>
              </w:rPr>
              <w:t xml:space="preserve"> </w:t>
            </w:r>
          </w:p>
        </w:tc>
      </w:tr>
    </w:tbl>
    <w:p w14:paraId="1B121A18" w14:textId="0E405A6D" w:rsidR="009347C5" w:rsidRDefault="009347C5" w:rsidP="00701280">
      <w:pPr>
        <w:spacing w:after="0"/>
        <w:contextualSpacing/>
        <w:rPr>
          <w:b/>
          <w:sz w:val="24"/>
          <w:szCs w:val="24"/>
        </w:rPr>
      </w:pPr>
    </w:p>
    <w:p w14:paraId="05661465" w14:textId="4AD3FC64" w:rsidR="00CA4ABD" w:rsidRDefault="005F60FA" w:rsidP="00EC272D">
      <w:pPr>
        <w:pStyle w:val="Heading2"/>
      </w:pPr>
      <w:bookmarkStart w:id="46" w:name="_Toc490469518"/>
      <w:bookmarkStart w:id="47" w:name="_Toc2327881"/>
      <w:r w:rsidRPr="005F60FA">
        <w:t xml:space="preserve">Training and </w:t>
      </w:r>
      <w:r w:rsidR="008378F0">
        <w:t xml:space="preserve">professional </w:t>
      </w:r>
      <w:r w:rsidRPr="005F60FA">
        <w:t>development</w:t>
      </w:r>
      <w:bookmarkEnd w:id="46"/>
      <w:bookmarkEnd w:id="47"/>
    </w:p>
    <w:p w14:paraId="1F955AFE" w14:textId="77777777" w:rsidR="00F265C2" w:rsidRDefault="00F265C2" w:rsidP="00707024">
      <w:pPr>
        <w:spacing w:before="120" w:after="120"/>
        <w:rPr>
          <w:sz w:val="24"/>
          <w:szCs w:val="24"/>
        </w:rPr>
      </w:pPr>
      <w:r w:rsidRPr="00281F78">
        <w:rPr>
          <w:sz w:val="24"/>
          <w:szCs w:val="24"/>
        </w:rPr>
        <w:t xml:space="preserve">The </w:t>
      </w:r>
      <w:r>
        <w:rPr>
          <w:sz w:val="24"/>
          <w:szCs w:val="24"/>
        </w:rPr>
        <w:t xml:space="preserve">ongoing and future effectiveness of the </w:t>
      </w:r>
      <w:r w:rsidRPr="00281F78">
        <w:rPr>
          <w:sz w:val="24"/>
          <w:szCs w:val="24"/>
        </w:rPr>
        <w:t>ACTPS rests on the ability of executives to demonstrate leadership to create productive working environments that engage staff and foster collaboration, innovation, communication, responsiveness and thinking outside the square.</w:t>
      </w:r>
    </w:p>
    <w:p w14:paraId="75431FC4" w14:textId="4FC0B616" w:rsidR="00FC2E28" w:rsidRPr="00A13368" w:rsidRDefault="00A13368" w:rsidP="00F265C2">
      <w:pPr>
        <w:rPr>
          <w:sz w:val="24"/>
          <w:szCs w:val="24"/>
        </w:rPr>
      </w:pPr>
      <w:r w:rsidRPr="00A13368">
        <w:rPr>
          <w:sz w:val="24"/>
          <w:szCs w:val="24"/>
        </w:rPr>
        <w:t xml:space="preserve">The </w:t>
      </w:r>
      <w:r w:rsidR="00A46808">
        <w:rPr>
          <w:sz w:val="24"/>
          <w:szCs w:val="24"/>
        </w:rPr>
        <w:t>D</w:t>
      </w:r>
      <w:r w:rsidR="00A46808" w:rsidRPr="00A13368">
        <w:rPr>
          <w:sz w:val="24"/>
          <w:szCs w:val="24"/>
        </w:rPr>
        <w:t xml:space="preserve">iscussion </w:t>
      </w:r>
      <w:r w:rsidR="00A46808">
        <w:rPr>
          <w:sz w:val="24"/>
          <w:szCs w:val="24"/>
        </w:rPr>
        <w:t>P</w:t>
      </w:r>
      <w:r w:rsidR="00A46808" w:rsidRPr="00A13368">
        <w:rPr>
          <w:sz w:val="24"/>
          <w:szCs w:val="24"/>
        </w:rPr>
        <w:t xml:space="preserve">aper </w:t>
      </w:r>
      <w:r w:rsidRPr="00A13368">
        <w:rPr>
          <w:sz w:val="24"/>
          <w:szCs w:val="24"/>
        </w:rPr>
        <w:t xml:space="preserve">set out the </w:t>
      </w:r>
      <w:r w:rsidR="00F265C2" w:rsidRPr="00A13368">
        <w:rPr>
          <w:sz w:val="24"/>
          <w:szCs w:val="24"/>
        </w:rPr>
        <w:t>details of the leadership and development opportunities available to all ACTPS executives</w:t>
      </w:r>
      <w:r w:rsidRPr="00A13368">
        <w:rPr>
          <w:sz w:val="24"/>
          <w:szCs w:val="24"/>
        </w:rPr>
        <w:t>, which include</w:t>
      </w:r>
      <w:r>
        <w:rPr>
          <w:sz w:val="24"/>
          <w:szCs w:val="24"/>
        </w:rPr>
        <w:t>s</w:t>
      </w:r>
      <w:r w:rsidRPr="00A13368">
        <w:rPr>
          <w:sz w:val="24"/>
          <w:szCs w:val="24"/>
        </w:rPr>
        <w:t xml:space="preserve"> access to Australia and New Zealand School of Government programs, mentoring programs and a range of professional development activities. </w:t>
      </w:r>
    </w:p>
    <w:p w14:paraId="0193EBD1" w14:textId="77777777" w:rsidR="00701280" w:rsidRDefault="00701280">
      <w:pPr>
        <w:rPr>
          <w:sz w:val="24"/>
          <w:szCs w:val="24"/>
        </w:rPr>
      </w:pPr>
      <w:r>
        <w:rPr>
          <w:sz w:val="24"/>
          <w:szCs w:val="24"/>
        </w:rPr>
        <w:br w:type="page"/>
      </w:r>
    </w:p>
    <w:p w14:paraId="4EB81159" w14:textId="416F654B" w:rsidR="00FC2E28" w:rsidRPr="00037E4B" w:rsidRDefault="00FC2E28" w:rsidP="00F265C2">
      <w:pPr>
        <w:rPr>
          <w:sz w:val="24"/>
          <w:szCs w:val="24"/>
        </w:rPr>
      </w:pPr>
      <w:r w:rsidRPr="00037E4B">
        <w:rPr>
          <w:sz w:val="24"/>
          <w:szCs w:val="24"/>
        </w:rPr>
        <w:lastRenderedPageBreak/>
        <w:t>In 2015</w:t>
      </w:r>
      <w:r w:rsidR="00A13368">
        <w:rPr>
          <w:sz w:val="24"/>
          <w:szCs w:val="24"/>
        </w:rPr>
        <w:t>,</w:t>
      </w:r>
      <w:r w:rsidRPr="00037E4B">
        <w:rPr>
          <w:sz w:val="24"/>
          <w:szCs w:val="24"/>
        </w:rPr>
        <w:t xml:space="preserve"> the ACTPS launched a suite of professional development </w:t>
      </w:r>
      <w:r w:rsidR="009347C5">
        <w:rPr>
          <w:sz w:val="24"/>
          <w:szCs w:val="24"/>
        </w:rPr>
        <w:t>events</w:t>
      </w:r>
      <w:r w:rsidR="009347C5" w:rsidRPr="00037E4B">
        <w:rPr>
          <w:sz w:val="24"/>
          <w:szCs w:val="24"/>
        </w:rPr>
        <w:t xml:space="preserve"> </w:t>
      </w:r>
      <w:r w:rsidRPr="00037E4B">
        <w:rPr>
          <w:sz w:val="24"/>
          <w:szCs w:val="24"/>
        </w:rPr>
        <w:t>to support their executive</w:t>
      </w:r>
      <w:r w:rsidR="00251912">
        <w:rPr>
          <w:sz w:val="24"/>
          <w:szCs w:val="24"/>
        </w:rPr>
        <w:t>s</w:t>
      </w:r>
      <w:r w:rsidRPr="00037E4B">
        <w:rPr>
          <w:sz w:val="24"/>
          <w:szCs w:val="24"/>
        </w:rPr>
        <w:t xml:space="preserve"> to lead an agile, responsive and innovative p</w:t>
      </w:r>
      <w:r w:rsidR="00A76BCD" w:rsidRPr="00037E4B">
        <w:rPr>
          <w:sz w:val="24"/>
          <w:szCs w:val="24"/>
        </w:rPr>
        <w:t xml:space="preserve">ublic service into the future. </w:t>
      </w:r>
      <w:r w:rsidRPr="00037E4B">
        <w:rPr>
          <w:sz w:val="24"/>
          <w:szCs w:val="24"/>
        </w:rPr>
        <w:t xml:space="preserve">In 2018 the number of </w:t>
      </w:r>
      <w:r w:rsidR="009347C5">
        <w:rPr>
          <w:sz w:val="24"/>
          <w:szCs w:val="24"/>
        </w:rPr>
        <w:t>events</w:t>
      </w:r>
      <w:r w:rsidR="009347C5" w:rsidRPr="00037E4B">
        <w:rPr>
          <w:sz w:val="24"/>
          <w:szCs w:val="24"/>
        </w:rPr>
        <w:t xml:space="preserve"> </w:t>
      </w:r>
      <w:r w:rsidRPr="00037E4B">
        <w:rPr>
          <w:sz w:val="24"/>
          <w:szCs w:val="24"/>
        </w:rPr>
        <w:t>double</w:t>
      </w:r>
      <w:r w:rsidR="009347C5">
        <w:rPr>
          <w:sz w:val="24"/>
          <w:szCs w:val="24"/>
        </w:rPr>
        <w:t>d</w:t>
      </w:r>
      <w:r w:rsidRPr="00037E4B">
        <w:rPr>
          <w:sz w:val="24"/>
          <w:szCs w:val="24"/>
        </w:rPr>
        <w:t xml:space="preserve"> from the previous year. The </w:t>
      </w:r>
      <w:r w:rsidR="00A76BCD" w:rsidRPr="00037E4B">
        <w:rPr>
          <w:sz w:val="24"/>
          <w:szCs w:val="24"/>
        </w:rPr>
        <w:t xml:space="preserve">eight </w:t>
      </w:r>
      <w:r w:rsidR="009347C5">
        <w:rPr>
          <w:sz w:val="24"/>
          <w:szCs w:val="24"/>
        </w:rPr>
        <w:t>events</w:t>
      </w:r>
      <w:r w:rsidR="009347C5" w:rsidRPr="00037E4B">
        <w:rPr>
          <w:sz w:val="24"/>
          <w:szCs w:val="24"/>
        </w:rPr>
        <w:t xml:space="preserve"> </w:t>
      </w:r>
      <w:r w:rsidR="00A76BCD" w:rsidRPr="00037E4B">
        <w:rPr>
          <w:sz w:val="24"/>
          <w:szCs w:val="24"/>
        </w:rPr>
        <w:t>were designed to increase the capability of executives to innovate change, encourage staff empowerment and collaboration, and to lead by example</w:t>
      </w:r>
      <w:r w:rsidR="009347C5">
        <w:rPr>
          <w:sz w:val="24"/>
          <w:szCs w:val="24"/>
        </w:rPr>
        <w:t xml:space="preserve">. </w:t>
      </w:r>
      <w:r w:rsidR="009347C5" w:rsidRPr="009347C5">
        <w:rPr>
          <w:sz w:val="24"/>
          <w:szCs w:val="24"/>
        </w:rPr>
        <w:t>Th</w:t>
      </w:r>
      <w:r w:rsidR="00F76F14">
        <w:rPr>
          <w:sz w:val="24"/>
          <w:szCs w:val="24"/>
        </w:rPr>
        <w:t>ese</w:t>
      </w:r>
      <w:r w:rsidR="009347C5" w:rsidRPr="009347C5">
        <w:rPr>
          <w:sz w:val="24"/>
          <w:szCs w:val="24"/>
        </w:rPr>
        <w:t xml:space="preserve"> </w:t>
      </w:r>
      <w:r w:rsidR="009347C5">
        <w:rPr>
          <w:sz w:val="24"/>
          <w:szCs w:val="24"/>
        </w:rPr>
        <w:t>events were</w:t>
      </w:r>
      <w:r w:rsidR="009347C5" w:rsidRPr="009347C5">
        <w:rPr>
          <w:sz w:val="24"/>
          <w:szCs w:val="24"/>
        </w:rPr>
        <w:t xml:space="preserve"> focussed on community engagement, digital transformation, collaboration with the National Capital Authority and leadership</w:t>
      </w:r>
      <w:r w:rsidR="009347C5">
        <w:rPr>
          <w:sz w:val="24"/>
          <w:szCs w:val="24"/>
        </w:rPr>
        <w:t>.</w:t>
      </w:r>
      <w:r w:rsidR="00A76BCD" w:rsidRPr="007F684F">
        <w:rPr>
          <w:color w:val="FF0000"/>
          <w:sz w:val="24"/>
          <w:szCs w:val="24"/>
        </w:rPr>
        <w:t xml:space="preserve"> </w:t>
      </w:r>
    </w:p>
    <w:p w14:paraId="15DF420D" w14:textId="4DE0A5C1" w:rsidR="00285536" w:rsidRPr="00037E4B" w:rsidRDefault="00037E4B" w:rsidP="00F265C2">
      <w:pPr>
        <w:rPr>
          <w:sz w:val="24"/>
          <w:szCs w:val="24"/>
        </w:rPr>
      </w:pPr>
      <w:r w:rsidRPr="00037E4B">
        <w:rPr>
          <w:rFonts w:ascii="Calibri" w:hAnsi="Calibri" w:cs="Calibri"/>
          <w:color w:val="000000"/>
          <w:sz w:val="24"/>
          <w:szCs w:val="24"/>
          <w:lang w:val="en-AU"/>
        </w:rPr>
        <w:t xml:space="preserve">These events also act as </w:t>
      </w:r>
      <w:r w:rsidR="00C14290">
        <w:rPr>
          <w:rFonts w:ascii="Calibri" w:hAnsi="Calibri" w:cs="Calibri"/>
          <w:color w:val="000000"/>
          <w:sz w:val="24"/>
          <w:szCs w:val="24"/>
          <w:lang w:val="en-AU"/>
        </w:rPr>
        <w:t xml:space="preserve">a </w:t>
      </w:r>
      <w:r w:rsidRPr="00037E4B">
        <w:rPr>
          <w:rFonts w:ascii="Calibri" w:hAnsi="Calibri" w:cs="Calibri"/>
          <w:color w:val="000000"/>
          <w:sz w:val="24"/>
          <w:szCs w:val="24"/>
          <w:lang w:val="en-AU"/>
        </w:rPr>
        <w:t xml:space="preserve">networking opportunity for </w:t>
      </w:r>
      <w:r w:rsidR="00F76F14">
        <w:rPr>
          <w:rFonts w:ascii="Calibri" w:hAnsi="Calibri" w:cs="Calibri"/>
          <w:color w:val="000000"/>
          <w:sz w:val="24"/>
          <w:szCs w:val="24"/>
          <w:lang w:val="en-AU"/>
        </w:rPr>
        <w:t>SES</w:t>
      </w:r>
      <w:r w:rsidRPr="00037E4B">
        <w:rPr>
          <w:rFonts w:ascii="Calibri" w:hAnsi="Calibri" w:cs="Calibri"/>
          <w:color w:val="000000"/>
          <w:sz w:val="24"/>
          <w:szCs w:val="24"/>
          <w:lang w:val="en-AU"/>
        </w:rPr>
        <w:t xml:space="preserve"> from across the Service</w:t>
      </w:r>
      <w:r w:rsidR="009C29C4">
        <w:rPr>
          <w:rFonts w:ascii="Calibri" w:hAnsi="Calibri" w:cs="Calibri"/>
          <w:color w:val="000000"/>
          <w:sz w:val="24"/>
          <w:szCs w:val="24"/>
          <w:lang w:val="en-AU"/>
        </w:rPr>
        <w:t>, and are a useful a</w:t>
      </w:r>
      <w:r w:rsidR="009C29C4" w:rsidRPr="00037E4B">
        <w:rPr>
          <w:rFonts w:ascii="Calibri" w:hAnsi="Calibri" w:cs="Calibri"/>
          <w:color w:val="000000"/>
          <w:sz w:val="24"/>
          <w:szCs w:val="24"/>
          <w:lang w:val="en-AU"/>
        </w:rPr>
        <w:t xml:space="preserve">ttraction </w:t>
      </w:r>
      <w:r w:rsidR="009C29C4">
        <w:rPr>
          <w:rFonts w:ascii="Calibri" w:hAnsi="Calibri" w:cs="Calibri"/>
          <w:color w:val="000000"/>
          <w:sz w:val="24"/>
          <w:szCs w:val="24"/>
          <w:lang w:val="en-AU"/>
        </w:rPr>
        <w:t xml:space="preserve">and </w:t>
      </w:r>
      <w:r w:rsidR="009C29C4" w:rsidRPr="00037E4B">
        <w:rPr>
          <w:rFonts w:ascii="Calibri" w:hAnsi="Calibri" w:cs="Calibri"/>
          <w:color w:val="000000"/>
          <w:sz w:val="24"/>
          <w:szCs w:val="24"/>
          <w:lang w:val="en-AU"/>
        </w:rPr>
        <w:t>retention</w:t>
      </w:r>
      <w:r w:rsidR="009C29C4">
        <w:rPr>
          <w:rFonts w:ascii="Calibri" w:hAnsi="Calibri" w:cs="Calibri"/>
          <w:color w:val="000000"/>
          <w:sz w:val="24"/>
          <w:szCs w:val="24"/>
          <w:lang w:val="en-AU"/>
        </w:rPr>
        <w:t xml:space="preserve"> initiative</w:t>
      </w:r>
      <w:r w:rsidRPr="00037E4B">
        <w:rPr>
          <w:rFonts w:ascii="Calibri" w:hAnsi="Calibri" w:cs="Calibri"/>
          <w:color w:val="000000"/>
          <w:sz w:val="24"/>
          <w:szCs w:val="24"/>
          <w:lang w:val="en-AU"/>
        </w:rPr>
        <w:t>.</w:t>
      </w:r>
    </w:p>
    <w:tbl>
      <w:tblPr>
        <w:tblStyle w:val="TableGrid"/>
        <w:tblW w:w="0" w:type="auto"/>
        <w:shd w:val="clear" w:color="auto" w:fill="E5DFEC" w:themeFill="accent4" w:themeFillTint="33"/>
        <w:tblLook w:val="04A0" w:firstRow="1" w:lastRow="0" w:firstColumn="1" w:lastColumn="0" w:noHBand="0" w:noVBand="1"/>
      </w:tblPr>
      <w:tblGrid>
        <w:gridCol w:w="9016"/>
      </w:tblGrid>
      <w:tr w:rsidR="003D0C80" w14:paraId="3D18074C" w14:textId="77777777" w:rsidTr="003D0C80">
        <w:tc>
          <w:tcPr>
            <w:tcW w:w="9016" w:type="dxa"/>
            <w:shd w:val="clear" w:color="auto" w:fill="E5DFEC" w:themeFill="accent4" w:themeFillTint="33"/>
          </w:tcPr>
          <w:p w14:paraId="6430BEE3" w14:textId="1B2A509B" w:rsidR="003D0C80" w:rsidRDefault="002A297A" w:rsidP="00F73E88">
            <w:pPr>
              <w:spacing w:before="120" w:after="120" w:line="276" w:lineRule="auto"/>
              <w:rPr>
                <w:sz w:val="24"/>
                <w:szCs w:val="24"/>
              </w:rPr>
            </w:pPr>
            <w:r w:rsidRPr="007570FB">
              <w:rPr>
                <w:b/>
                <w:color w:val="000000" w:themeColor="text1"/>
                <w:sz w:val="24"/>
                <w:szCs w:val="24"/>
              </w:rPr>
              <w:t xml:space="preserve">Decision </w:t>
            </w:r>
            <w:r w:rsidR="00963BBB">
              <w:rPr>
                <w:b/>
                <w:color w:val="000000" w:themeColor="text1"/>
                <w:sz w:val="24"/>
                <w:szCs w:val="24"/>
              </w:rPr>
              <w:t>22</w:t>
            </w:r>
            <w:r w:rsidRPr="007570FB">
              <w:rPr>
                <w:b/>
                <w:color w:val="000000" w:themeColor="text1"/>
                <w:sz w:val="24"/>
                <w:szCs w:val="24"/>
              </w:rPr>
              <w:t>:</w:t>
            </w:r>
            <w:r w:rsidRPr="007570FB">
              <w:rPr>
                <w:sz w:val="24"/>
                <w:szCs w:val="24"/>
              </w:rPr>
              <w:t xml:space="preserve"> </w:t>
            </w:r>
            <w:r w:rsidR="003D0C80" w:rsidRPr="00037E4B">
              <w:rPr>
                <w:sz w:val="24"/>
                <w:szCs w:val="24"/>
              </w:rPr>
              <w:t>The Tribunal note</w:t>
            </w:r>
            <w:r w:rsidR="00FC1DFB">
              <w:rPr>
                <w:sz w:val="24"/>
                <w:szCs w:val="24"/>
              </w:rPr>
              <w:t>s</w:t>
            </w:r>
            <w:r w:rsidR="003D0C80" w:rsidRPr="00037E4B">
              <w:rPr>
                <w:sz w:val="24"/>
                <w:szCs w:val="24"/>
              </w:rPr>
              <w:t xml:space="preserve"> that the current </w:t>
            </w:r>
            <w:r w:rsidR="00F71829">
              <w:rPr>
                <w:sz w:val="24"/>
                <w:szCs w:val="24"/>
              </w:rPr>
              <w:t>training and profession</w:t>
            </w:r>
            <w:r w:rsidR="00B70003">
              <w:rPr>
                <w:sz w:val="24"/>
                <w:szCs w:val="24"/>
              </w:rPr>
              <w:t>a</w:t>
            </w:r>
            <w:r w:rsidR="00F71829">
              <w:rPr>
                <w:sz w:val="24"/>
                <w:szCs w:val="24"/>
              </w:rPr>
              <w:t>l development</w:t>
            </w:r>
            <w:r w:rsidR="00F71829" w:rsidRPr="00037E4B">
              <w:rPr>
                <w:sz w:val="24"/>
                <w:szCs w:val="24"/>
              </w:rPr>
              <w:t xml:space="preserve"> </w:t>
            </w:r>
            <w:r w:rsidR="003D0C80" w:rsidRPr="00037E4B">
              <w:rPr>
                <w:sz w:val="24"/>
                <w:szCs w:val="24"/>
              </w:rPr>
              <w:t xml:space="preserve">opportunities appear </w:t>
            </w:r>
            <w:r w:rsidR="003D0C80" w:rsidRPr="00F73E88">
              <w:rPr>
                <w:color w:val="000000" w:themeColor="text1"/>
                <w:sz w:val="24"/>
                <w:szCs w:val="24"/>
              </w:rPr>
              <w:t>appropriate</w:t>
            </w:r>
            <w:r w:rsidR="003D0C80" w:rsidRPr="00037E4B">
              <w:rPr>
                <w:sz w:val="24"/>
                <w:szCs w:val="24"/>
              </w:rPr>
              <w:t>, reasonable and contemporary.</w:t>
            </w:r>
            <w:r w:rsidR="003556DE">
              <w:rPr>
                <w:sz w:val="24"/>
                <w:szCs w:val="24"/>
              </w:rPr>
              <w:t xml:space="preserve"> The Tribunal make</w:t>
            </w:r>
            <w:r w:rsidR="0096561B">
              <w:rPr>
                <w:sz w:val="24"/>
                <w:szCs w:val="24"/>
              </w:rPr>
              <w:t>s</w:t>
            </w:r>
            <w:r w:rsidR="003556DE">
              <w:rPr>
                <w:sz w:val="24"/>
                <w:szCs w:val="24"/>
              </w:rPr>
              <w:t xml:space="preserve"> </w:t>
            </w:r>
            <w:r w:rsidR="009C05C2">
              <w:rPr>
                <w:sz w:val="24"/>
                <w:szCs w:val="24"/>
              </w:rPr>
              <w:t xml:space="preserve">no </w:t>
            </w:r>
            <w:r w:rsidR="003556DE">
              <w:rPr>
                <w:sz w:val="24"/>
                <w:szCs w:val="24"/>
              </w:rPr>
              <w:t>recommendations about this matter at this time.</w:t>
            </w:r>
          </w:p>
        </w:tc>
      </w:tr>
    </w:tbl>
    <w:p w14:paraId="487500DC" w14:textId="77777777" w:rsidR="00701280" w:rsidRDefault="00701280" w:rsidP="001031D5">
      <w:pPr>
        <w:pStyle w:val="Heading1"/>
      </w:pPr>
    </w:p>
    <w:p w14:paraId="0D0F6346" w14:textId="77777777" w:rsidR="00701280" w:rsidRDefault="00701280">
      <w:pPr>
        <w:rPr>
          <w:rFonts w:ascii="Calibri" w:eastAsia="MS Gothic" w:hAnsi="Calibri" w:cs="Times New Roman"/>
          <w:b/>
          <w:bCs/>
          <w:color w:val="345A8A"/>
          <w:sz w:val="32"/>
          <w:szCs w:val="32"/>
        </w:rPr>
      </w:pPr>
      <w:r>
        <w:br w:type="page"/>
      </w:r>
    </w:p>
    <w:p w14:paraId="71352FA3" w14:textId="4BAED432" w:rsidR="001031D5" w:rsidRPr="001031D5" w:rsidRDefault="007A0BD2" w:rsidP="001031D5">
      <w:pPr>
        <w:pStyle w:val="Heading1"/>
      </w:pPr>
      <w:bookmarkStart w:id="48" w:name="_Toc2327882"/>
      <w:r w:rsidRPr="001031D5">
        <w:lastRenderedPageBreak/>
        <w:t>Next Steps</w:t>
      </w:r>
      <w:r>
        <w:t xml:space="preserve"> </w:t>
      </w:r>
      <w:r w:rsidR="009347C5" w:rsidRPr="006548AC">
        <w:t>and</w:t>
      </w:r>
      <w:r w:rsidRPr="006548AC">
        <w:t xml:space="preserve"> Further Action</w:t>
      </w:r>
      <w:bookmarkEnd w:id="48"/>
      <w:r w:rsidR="009347C5">
        <w:t xml:space="preserve"> </w:t>
      </w:r>
    </w:p>
    <w:p w14:paraId="20716F30" w14:textId="7BDEF0E9" w:rsidR="001031D5" w:rsidRPr="001031D5" w:rsidRDefault="00787CB0" w:rsidP="001031D5">
      <w:pPr>
        <w:rPr>
          <w:sz w:val="24"/>
          <w:szCs w:val="24"/>
        </w:rPr>
      </w:pPr>
      <w:r>
        <w:rPr>
          <w:sz w:val="24"/>
          <w:szCs w:val="24"/>
        </w:rPr>
        <w:br/>
      </w:r>
      <w:r w:rsidR="001031D5" w:rsidRPr="001031D5">
        <w:rPr>
          <w:sz w:val="24"/>
          <w:szCs w:val="24"/>
        </w:rPr>
        <w:t xml:space="preserve">The Tribunal </w:t>
      </w:r>
      <w:r w:rsidR="0096561B">
        <w:rPr>
          <w:sz w:val="24"/>
          <w:szCs w:val="24"/>
        </w:rPr>
        <w:t>has</w:t>
      </w:r>
      <w:r w:rsidR="0096561B" w:rsidRPr="001031D5">
        <w:rPr>
          <w:sz w:val="24"/>
          <w:szCs w:val="24"/>
        </w:rPr>
        <w:t xml:space="preserve"> </w:t>
      </w:r>
      <w:r w:rsidR="001031D5" w:rsidRPr="001031D5">
        <w:rPr>
          <w:sz w:val="24"/>
          <w:szCs w:val="24"/>
        </w:rPr>
        <w:t>use</w:t>
      </w:r>
      <w:r w:rsidR="0096561B">
        <w:rPr>
          <w:sz w:val="24"/>
          <w:szCs w:val="24"/>
        </w:rPr>
        <w:t>d</w:t>
      </w:r>
      <w:r w:rsidR="001031D5" w:rsidRPr="001031D5">
        <w:rPr>
          <w:sz w:val="24"/>
          <w:szCs w:val="24"/>
        </w:rPr>
        <w:t xml:space="preserve"> the findings of this review </w:t>
      </w:r>
      <w:r w:rsidR="00774D63">
        <w:rPr>
          <w:sz w:val="24"/>
          <w:szCs w:val="24"/>
        </w:rPr>
        <w:t xml:space="preserve">in its </w:t>
      </w:r>
      <w:r w:rsidR="001031D5" w:rsidRPr="001031D5">
        <w:rPr>
          <w:sz w:val="24"/>
          <w:szCs w:val="24"/>
        </w:rPr>
        <w:t xml:space="preserve">annual </w:t>
      </w:r>
      <w:r w:rsidR="00774D63">
        <w:rPr>
          <w:sz w:val="24"/>
          <w:szCs w:val="24"/>
        </w:rPr>
        <w:t>Autumn Review</w:t>
      </w:r>
      <w:r w:rsidR="001031D5" w:rsidRPr="001031D5">
        <w:rPr>
          <w:sz w:val="24"/>
          <w:szCs w:val="24"/>
        </w:rPr>
        <w:t xml:space="preserve"> of remuneration for </w:t>
      </w:r>
      <w:r w:rsidR="0031366B">
        <w:rPr>
          <w:sz w:val="24"/>
          <w:szCs w:val="24"/>
        </w:rPr>
        <w:t>executives</w:t>
      </w:r>
      <w:r w:rsidR="00774D63">
        <w:rPr>
          <w:sz w:val="24"/>
          <w:szCs w:val="24"/>
        </w:rPr>
        <w:t>; the results of which are</w:t>
      </w:r>
      <w:r w:rsidR="001031D5" w:rsidRPr="001031D5">
        <w:rPr>
          <w:sz w:val="24"/>
          <w:szCs w:val="24"/>
        </w:rPr>
        <w:t xml:space="preserve"> </w:t>
      </w:r>
      <w:r w:rsidR="0096561B">
        <w:rPr>
          <w:sz w:val="24"/>
          <w:szCs w:val="24"/>
        </w:rPr>
        <w:t>being</w:t>
      </w:r>
      <w:r w:rsidR="00A85CFD">
        <w:rPr>
          <w:sz w:val="24"/>
          <w:szCs w:val="24"/>
        </w:rPr>
        <w:t xml:space="preserve"> </w:t>
      </w:r>
      <w:r w:rsidR="00774D63">
        <w:rPr>
          <w:sz w:val="24"/>
          <w:szCs w:val="24"/>
        </w:rPr>
        <w:t>released at</w:t>
      </w:r>
      <w:r w:rsidR="00A85CFD">
        <w:rPr>
          <w:sz w:val="24"/>
          <w:szCs w:val="24"/>
        </w:rPr>
        <w:t xml:space="preserve"> the</w:t>
      </w:r>
      <w:r w:rsidR="001031D5" w:rsidRPr="001031D5">
        <w:rPr>
          <w:sz w:val="24"/>
          <w:szCs w:val="24"/>
        </w:rPr>
        <w:t xml:space="preserve"> </w:t>
      </w:r>
      <w:r w:rsidR="00774D63">
        <w:rPr>
          <w:sz w:val="24"/>
          <w:szCs w:val="24"/>
        </w:rPr>
        <w:t xml:space="preserve">same time (see Determination </w:t>
      </w:r>
      <w:r w:rsidR="00D15349">
        <w:rPr>
          <w:sz w:val="24"/>
          <w:szCs w:val="24"/>
        </w:rPr>
        <w:t>2</w:t>
      </w:r>
      <w:r w:rsidR="00D15349" w:rsidRPr="00A95913">
        <w:rPr>
          <w:sz w:val="24"/>
          <w:szCs w:val="24"/>
        </w:rPr>
        <w:t xml:space="preserve"> </w:t>
      </w:r>
      <w:r w:rsidR="00774D63" w:rsidRPr="00A95913">
        <w:rPr>
          <w:sz w:val="24"/>
          <w:szCs w:val="24"/>
        </w:rPr>
        <w:t xml:space="preserve">of </w:t>
      </w:r>
      <w:r w:rsidRPr="00A95913">
        <w:rPr>
          <w:sz w:val="24"/>
          <w:szCs w:val="24"/>
        </w:rPr>
        <w:t>2019</w:t>
      </w:r>
      <w:r w:rsidR="00774D63">
        <w:rPr>
          <w:sz w:val="24"/>
          <w:szCs w:val="24"/>
        </w:rPr>
        <w:t>)</w:t>
      </w:r>
      <w:r w:rsidR="00F71829">
        <w:rPr>
          <w:sz w:val="24"/>
          <w:szCs w:val="24"/>
        </w:rPr>
        <w:t>.</w:t>
      </w:r>
      <w:r w:rsidR="003556DE">
        <w:rPr>
          <w:sz w:val="24"/>
          <w:szCs w:val="24"/>
        </w:rPr>
        <w:t xml:space="preserve"> </w:t>
      </w:r>
    </w:p>
    <w:p w14:paraId="3AC3385D" w14:textId="322CFAAF" w:rsidR="001031D5" w:rsidRPr="001031D5" w:rsidRDefault="003556DE" w:rsidP="001031D5">
      <w:pPr>
        <w:rPr>
          <w:sz w:val="24"/>
          <w:szCs w:val="24"/>
        </w:rPr>
      </w:pPr>
      <w:r>
        <w:rPr>
          <w:sz w:val="24"/>
          <w:szCs w:val="24"/>
        </w:rPr>
        <w:t>E</w:t>
      </w:r>
      <w:r w:rsidR="0031366B">
        <w:rPr>
          <w:sz w:val="24"/>
          <w:szCs w:val="24"/>
        </w:rPr>
        <w:t>xecutives</w:t>
      </w:r>
      <w:r w:rsidR="001031D5" w:rsidRPr="001031D5">
        <w:rPr>
          <w:sz w:val="24"/>
          <w:szCs w:val="24"/>
        </w:rPr>
        <w:t>, directorates and other interested stakeholders</w:t>
      </w:r>
      <w:r>
        <w:rPr>
          <w:sz w:val="24"/>
          <w:szCs w:val="24"/>
        </w:rPr>
        <w:t xml:space="preserve"> are encouraged</w:t>
      </w:r>
      <w:r w:rsidR="001031D5" w:rsidRPr="001031D5">
        <w:rPr>
          <w:sz w:val="24"/>
          <w:szCs w:val="24"/>
        </w:rPr>
        <w:t xml:space="preserve"> to consider </w:t>
      </w:r>
      <w:r>
        <w:rPr>
          <w:sz w:val="24"/>
          <w:szCs w:val="24"/>
        </w:rPr>
        <w:t>the Tribunal’s</w:t>
      </w:r>
      <w:r w:rsidRPr="001031D5">
        <w:rPr>
          <w:sz w:val="24"/>
          <w:szCs w:val="24"/>
        </w:rPr>
        <w:t xml:space="preserve"> </w:t>
      </w:r>
      <w:r w:rsidR="001031D5" w:rsidRPr="001031D5">
        <w:rPr>
          <w:sz w:val="24"/>
          <w:szCs w:val="24"/>
        </w:rPr>
        <w:t>findings</w:t>
      </w:r>
      <w:r>
        <w:rPr>
          <w:sz w:val="24"/>
          <w:szCs w:val="24"/>
        </w:rPr>
        <w:t xml:space="preserve"> in this report</w:t>
      </w:r>
      <w:r w:rsidR="00774D63">
        <w:rPr>
          <w:sz w:val="24"/>
          <w:szCs w:val="24"/>
        </w:rPr>
        <w:t xml:space="preserve"> and the </w:t>
      </w:r>
      <w:r w:rsidR="006F105A">
        <w:rPr>
          <w:sz w:val="24"/>
          <w:szCs w:val="24"/>
        </w:rPr>
        <w:t>Determination</w:t>
      </w:r>
      <w:r w:rsidR="003D0C80" w:rsidRPr="003D0C80">
        <w:rPr>
          <w:sz w:val="24"/>
          <w:szCs w:val="24"/>
        </w:rPr>
        <w:t>.</w:t>
      </w:r>
    </w:p>
    <w:p w14:paraId="2333EAC8" w14:textId="053B5C4F" w:rsidR="000F09C1" w:rsidRPr="00042369" w:rsidRDefault="003556DE" w:rsidP="0014523F">
      <w:pPr>
        <w:rPr>
          <w:sz w:val="24"/>
        </w:rPr>
      </w:pPr>
      <w:r>
        <w:rPr>
          <w:sz w:val="24"/>
          <w:szCs w:val="24"/>
        </w:rPr>
        <w:t xml:space="preserve">Any feedback </w:t>
      </w:r>
      <w:r w:rsidR="004374E5">
        <w:rPr>
          <w:sz w:val="24"/>
          <w:szCs w:val="24"/>
        </w:rPr>
        <w:t xml:space="preserve">about </w:t>
      </w:r>
      <w:r w:rsidR="00774D63">
        <w:rPr>
          <w:sz w:val="24"/>
          <w:szCs w:val="24"/>
        </w:rPr>
        <w:t>the setting of executive remuneration, allowances and other entitlements</w:t>
      </w:r>
      <w:r>
        <w:rPr>
          <w:sz w:val="24"/>
          <w:szCs w:val="24"/>
        </w:rPr>
        <w:t xml:space="preserve"> can be provided to the Tribunal through the Secretary at </w:t>
      </w:r>
      <w:hyperlink r:id="rId38" w:history="1">
        <w:r w:rsidRPr="00AA4F55">
          <w:rPr>
            <w:rStyle w:val="Hyperlink"/>
            <w:sz w:val="24"/>
            <w:szCs w:val="24"/>
          </w:rPr>
          <w:t>remtrib@act.gov.au</w:t>
        </w:r>
      </w:hyperlink>
      <w:r>
        <w:rPr>
          <w:sz w:val="24"/>
          <w:szCs w:val="24"/>
        </w:rPr>
        <w:t xml:space="preserve">. </w:t>
      </w:r>
      <w:r w:rsidR="00F5713F">
        <w:rPr>
          <w:sz w:val="24"/>
          <w:szCs w:val="24"/>
        </w:rPr>
        <w:t xml:space="preserve">The Tribunal will consider </w:t>
      </w:r>
      <w:r w:rsidR="00D4392B">
        <w:rPr>
          <w:sz w:val="24"/>
          <w:szCs w:val="24"/>
        </w:rPr>
        <w:t xml:space="preserve">feedback at its annual </w:t>
      </w:r>
      <w:proofErr w:type="gramStart"/>
      <w:r w:rsidR="00D4392B">
        <w:rPr>
          <w:sz w:val="24"/>
          <w:szCs w:val="24"/>
        </w:rPr>
        <w:t>Spring</w:t>
      </w:r>
      <w:proofErr w:type="gramEnd"/>
      <w:r w:rsidR="00D4392B">
        <w:rPr>
          <w:sz w:val="24"/>
          <w:szCs w:val="24"/>
        </w:rPr>
        <w:t xml:space="preserve"> or Autumn R</w:t>
      </w:r>
      <w:r w:rsidR="00F5713F">
        <w:rPr>
          <w:sz w:val="24"/>
          <w:szCs w:val="24"/>
        </w:rPr>
        <w:t xml:space="preserve">eview.  </w:t>
      </w:r>
    </w:p>
    <w:p w14:paraId="660DA223" w14:textId="5CBA437A" w:rsidR="00650768" w:rsidRPr="00650768" w:rsidRDefault="00774D63">
      <w:pPr>
        <w:rPr>
          <w:sz w:val="24"/>
          <w:szCs w:val="24"/>
        </w:rPr>
        <w:sectPr w:rsidR="00650768" w:rsidRPr="00650768" w:rsidSect="00AC7BE2">
          <w:headerReference w:type="default" r:id="rId39"/>
          <w:footerReference w:type="default" r:id="rId40"/>
          <w:footerReference w:type="first" r:id="rId41"/>
          <w:pgSz w:w="11907" w:h="16839" w:code="9"/>
          <w:pgMar w:top="1440" w:right="1440" w:bottom="1440" w:left="1440" w:header="720" w:footer="720" w:gutter="0"/>
          <w:pgNumType w:chapStyle="1"/>
          <w:cols w:space="720"/>
          <w:titlePg/>
          <w:docGrid w:linePitch="326"/>
        </w:sectPr>
      </w:pPr>
      <w:r w:rsidRPr="001031D5">
        <w:rPr>
          <w:sz w:val="24"/>
          <w:szCs w:val="24"/>
        </w:rPr>
        <w:t xml:space="preserve">The Tribunal will </w:t>
      </w:r>
      <w:r w:rsidR="004374E5">
        <w:rPr>
          <w:sz w:val="24"/>
          <w:szCs w:val="24"/>
        </w:rPr>
        <w:t>raise with</w:t>
      </w:r>
      <w:r w:rsidR="004374E5" w:rsidRPr="001031D5">
        <w:rPr>
          <w:sz w:val="24"/>
          <w:szCs w:val="24"/>
        </w:rPr>
        <w:t xml:space="preserve"> </w:t>
      </w:r>
      <w:r w:rsidRPr="001031D5">
        <w:rPr>
          <w:sz w:val="24"/>
          <w:szCs w:val="24"/>
        </w:rPr>
        <w:t xml:space="preserve">the Chief Minister </w:t>
      </w:r>
      <w:r w:rsidR="004374E5">
        <w:rPr>
          <w:sz w:val="24"/>
          <w:szCs w:val="24"/>
        </w:rPr>
        <w:t xml:space="preserve">and the Head of Service those </w:t>
      </w:r>
      <w:r w:rsidRPr="001031D5">
        <w:rPr>
          <w:sz w:val="24"/>
          <w:szCs w:val="24"/>
        </w:rPr>
        <w:t>issues and concerns raised during this review that are not within the responsibilities of the Tribunal</w:t>
      </w:r>
      <w:r>
        <w:rPr>
          <w:sz w:val="24"/>
          <w:szCs w:val="24"/>
        </w:rPr>
        <w:t>, but are responsibilities of the Government and the Head of Service</w:t>
      </w:r>
      <w:r w:rsidR="00650768">
        <w:rPr>
          <w:sz w:val="24"/>
          <w:szCs w:val="24"/>
        </w:rPr>
        <w:t>.</w:t>
      </w:r>
    </w:p>
    <w:p w14:paraId="5BB79D0E" w14:textId="77777777" w:rsidR="00650768" w:rsidRDefault="00650768">
      <w:pPr>
        <w:rPr>
          <w:b/>
          <w:color w:val="0070C0"/>
          <w:sz w:val="24"/>
          <w:szCs w:val="24"/>
        </w:rPr>
      </w:pPr>
    </w:p>
    <w:p w14:paraId="11343EE0" w14:textId="77777777" w:rsidR="00AC41AC" w:rsidRPr="003B1A08" w:rsidRDefault="00AC41AC" w:rsidP="00AC41AC">
      <w:pPr>
        <w:spacing w:before="120"/>
        <w:rPr>
          <w:rFonts w:cs="Arial"/>
          <w:sz w:val="28"/>
          <w:szCs w:val="28"/>
        </w:rPr>
      </w:pPr>
      <w:bookmarkStart w:id="49" w:name="_Toc44738651"/>
      <w:r>
        <w:rPr>
          <w:rFonts w:cs="Arial"/>
          <w:noProof/>
          <w:lang w:val="en-AU" w:eastAsia="en-AU"/>
        </w:rPr>
        <w:drawing>
          <wp:inline distT="0" distB="0" distL="0" distR="0" wp14:anchorId="7E994D84" wp14:editId="5A3FBF22">
            <wp:extent cx="1009015" cy="923290"/>
            <wp:effectExtent l="19050" t="0" r="0" b="0"/>
            <wp:docPr id="18" name="Picture 18" descr="Description: ACTGov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CTGov_inline_black"/>
                    <pic:cNvPicPr>
                      <a:picLocks noChangeAspect="1" noChangeArrowheads="1"/>
                    </pic:cNvPicPr>
                  </pic:nvPicPr>
                  <pic:blipFill>
                    <a:blip r:embed="rId42"/>
                    <a:srcRect r="44209"/>
                    <a:stretch>
                      <a:fillRect/>
                    </a:stretch>
                  </pic:blipFill>
                  <pic:spPr bwMode="auto">
                    <a:xfrm>
                      <a:off x="0" y="0"/>
                      <a:ext cx="1009015" cy="923290"/>
                    </a:xfrm>
                    <a:prstGeom prst="rect">
                      <a:avLst/>
                    </a:prstGeom>
                    <a:noFill/>
                    <a:ln w="9525">
                      <a:noFill/>
                      <a:miter lim="800000"/>
                      <a:headEnd/>
                      <a:tailEnd/>
                    </a:ln>
                  </pic:spPr>
                </pic:pic>
              </a:graphicData>
            </a:graphic>
          </wp:inline>
        </w:drawing>
      </w:r>
      <w:r w:rsidRPr="003B1A08">
        <w:rPr>
          <w:rFonts w:cs="Arial"/>
          <w:noProof/>
          <w:sz w:val="28"/>
          <w:szCs w:val="28"/>
          <w:lang w:eastAsia="en-AU"/>
        </w:rPr>
        <w:tab/>
      </w:r>
      <w:r>
        <w:rPr>
          <w:rFonts w:cs="Arial"/>
          <w:noProof/>
          <w:sz w:val="28"/>
          <w:szCs w:val="28"/>
          <w:lang w:eastAsia="en-AU"/>
        </w:rPr>
        <w:t xml:space="preserve">      </w:t>
      </w:r>
      <w:r w:rsidRPr="003B1A08">
        <w:rPr>
          <w:rFonts w:cs="Arial"/>
          <w:sz w:val="28"/>
          <w:szCs w:val="28"/>
        </w:rPr>
        <w:t>Australian Capital Territory Remuneration Tribunal</w:t>
      </w:r>
    </w:p>
    <w:p w14:paraId="1C5CDC03" w14:textId="77777777" w:rsidR="00AC41AC" w:rsidRPr="003D1AC6" w:rsidRDefault="00AC41AC" w:rsidP="00AC41AC">
      <w:pPr>
        <w:pStyle w:val="Heading1"/>
      </w:pPr>
      <w:r w:rsidRPr="003B1A08">
        <w:t xml:space="preserve">Determination </w:t>
      </w:r>
      <w:r>
        <w:t xml:space="preserve">9 of 2018 </w:t>
      </w:r>
    </w:p>
    <w:p w14:paraId="31712141" w14:textId="77777777" w:rsidR="00AC41AC" w:rsidRPr="003B1A08" w:rsidRDefault="00AC41AC" w:rsidP="00AC41AC">
      <w:pPr>
        <w:pStyle w:val="Heading1"/>
      </w:pPr>
      <w:r>
        <w:t>Head of Service, Directors-General and Executives</w:t>
      </w:r>
    </w:p>
    <w:p w14:paraId="5C157D00" w14:textId="77777777" w:rsidR="00AC41AC" w:rsidRPr="003B1A08" w:rsidRDefault="00AC41AC" w:rsidP="00AC41AC">
      <w:pPr>
        <w:pStyle w:val="madeunder"/>
        <w:spacing w:before="240" w:after="120"/>
      </w:pPr>
      <w:proofErr w:type="gramStart"/>
      <w:r w:rsidRPr="003B1A08">
        <w:t>made</w:t>
      </w:r>
      <w:proofErr w:type="gramEnd"/>
      <w:r w:rsidRPr="003B1A08">
        <w:t xml:space="preserve"> under the </w:t>
      </w:r>
    </w:p>
    <w:p w14:paraId="3F69404B" w14:textId="77777777" w:rsidR="00AC41AC" w:rsidRPr="003B1A08" w:rsidRDefault="00AC41AC" w:rsidP="00AC41AC">
      <w:pPr>
        <w:pStyle w:val="CoverActName"/>
        <w:rPr>
          <w:rFonts w:ascii="Calibri" w:hAnsi="Calibri" w:cs="Arial"/>
        </w:rPr>
      </w:pPr>
      <w:r w:rsidRPr="003B1A08">
        <w:rPr>
          <w:rFonts w:ascii="Calibri" w:hAnsi="Calibri" w:cs="Arial"/>
        </w:rPr>
        <w:t xml:space="preserve">Remuneration Tribunal Act 1995, section </w:t>
      </w:r>
      <w:r>
        <w:rPr>
          <w:rFonts w:ascii="Calibri" w:hAnsi="Calibri" w:cs="Arial"/>
        </w:rPr>
        <w:t>10</w:t>
      </w:r>
      <w:r w:rsidRPr="003B1A08">
        <w:rPr>
          <w:rFonts w:ascii="Calibri" w:hAnsi="Calibri" w:cs="Arial"/>
        </w:rPr>
        <w:t xml:space="preserve"> (</w:t>
      </w:r>
      <w:r w:rsidRPr="00641CB6">
        <w:rPr>
          <w:rFonts w:ascii="Calibri" w:hAnsi="Calibri" w:cs="Arial"/>
        </w:rPr>
        <w:t>Inquiries about holders of certain positions</w:t>
      </w:r>
      <w:r>
        <w:rPr>
          <w:rFonts w:ascii="Calibri" w:hAnsi="Calibri" w:cs="Arial"/>
        </w:rPr>
        <w:t>)</w:t>
      </w:r>
    </w:p>
    <w:p w14:paraId="43D4482D" w14:textId="77777777" w:rsidR="00AC41AC" w:rsidRPr="003B1A08" w:rsidRDefault="00AC41AC" w:rsidP="00AC41AC">
      <w:pPr>
        <w:pStyle w:val="Heading1"/>
      </w:pPr>
      <w:r w:rsidRPr="003B1A08">
        <w:t>AC</w:t>
      </w:r>
      <w:r>
        <w:t>C</w:t>
      </w:r>
      <w:r w:rsidRPr="003B1A08">
        <w:t>OMPANYING STATEMENT</w:t>
      </w:r>
    </w:p>
    <w:p w14:paraId="41E1B266" w14:textId="77777777" w:rsidR="00AC41AC" w:rsidRPr="004D3741" w:rsidRDefault="00AC41AC" w:rsidP="00AC41AC">
      <w:pPr>
        <w:pStyle w:val="N-line3"/>
        <w:pBdr>
          <w:bottom w:val="none" w:sz="0" w:space="0" w:color="auto"/>
        </w:pBdr>
        <w:rPr>
          <w:sz w:val="16"/>
          <w:szCs w:val="16"/>
        </w:rPr>
      </w:pPr>
    </w:p>
    <w:p w14:paraId="0A85DAE9" w14:textId="77777777" w:rsidR="00AC41AC" w:rsidRPr="004D3741" w:rsidRDefault="00AC41AC" w:rsidP="00AC41AC">
      <w:pPr>
        <w:pStyle w:val="N-line3"/>
        <w:pBdr>
          <w:top w:val="single" w:sz="12" w:space="1" w:color="auto"/>
          <w:bottom w:val="none" w:sz="0" w:space="0" w:color="auto"/>
        </w:pBdr>
        <w:rPr>
          <w:sz w:val="16"/>
          <w:szCs w:val="16"/>
        </w:rPr>
      </w:pPr>
    </w:p>
    <w:p w14:paraId="4C2BC6AE" w14:textId="77777777" w:rsidR="00AC41AC" w:rsidRPr="007C66D9" w:rsidRDefault="00AC41AC" w:rsidP="00AC41AC">
      <w:pPr>
        <w:spacing w:before="120" w:after="60"/>
        <w:rPr>
          <w:b/>
        </w:rPr>
      </w:pPr>
      <w:r>
        <w:rPr>
          <w:b/>
        </w:rPr>
        <w:t>Background</w:t>
      </w:r>
    </w:p>
    <w:p w14:paraId="4671D73B" w14:textId="77777777" w:rsidR="00AC41AC" w:rsidRPr="00E83359" w:rsidRDefault="00AC41AC" w:rsidP="00AC41AC">
      <w:pPr>
        <w:spacing w:before="120" w:after="60"/>
      </w:pPr>
      <w:r>
        <w:t>Under s</w:t>
      </w:r>
      <w:r w:rsidRPr="00E83359">
        <w:t xml:space="preserve">ection 10 of the </w:t>
      </w:r>
      <w:r w:rsidRPr="00E83359">
        <w:rPr>
          <w:i/>
        </w:rPr>
        <w:t>Remuneration Tribunal Act 1995</w:t>
      </w:r>
      <w:r w:rsidRPr="00E83359">
        <w:t xml:space="preserve"> </w:t>
      </w:r>
      <w:r>
        <w:t xml:space="preserve">(the Act), </w:t>
      </w:r>
      <w:r w:rsidRPr="00E83359">
        <w:t>the Remuneration Tribunal (</w:t>
      </w:r>
      <w:r>
        <w:t xml:space="preserve">the </w:t>
      </w:r>
      <w:r w:rsidRPr="00E83359">
        <w:t xml:space="preserve">Tribunal) </w:t>
      </w:r>
      <w:r>
        <w:t xml:space="preserve">is required to </w:t>
      </w:r>
      <w:r w:rsidRPr="00E83359">
        <w:t xml:space="preserve">inquire into, and determine, the </w:t>
      </w:r>
      <w:r>
        <w:t>remuneration</w:t>
      </w:r>
      <w:r w:rsidRPr="00E83359">
        <w:t xml:space="preserve">, allowances and other entitlements </w:t>
      </w:r>
      <w:r>
        <w:t>for</w:t>
      </w:r>
      <w:r w:rsidRPr="00E83359">
        <w:t xml:space="preserve"> holders </w:t>
      </w:r>
      <w:r>
        <w:t>of</w:t>
      </w:r>
      <w:r w:rsidRPr="00626357">
        <w:t xml:space="preserve"> certain public offices</w:t>
      </w:r>
      <w:r w:rsidRPr="00E83359">
        <w:t>.  This includes</w:t>
      </w:r>
      <w:r>
        <w:t xml:space="preserve"> the Head of Service, directors-general</w:t>
      </w:r>
      <w:r w:rsidRPr="000B5724">
        <w:t xml:space="preserve"> and </w:t>
      </w:r>
      <w:r>
        <w:t xml:space="preserve">people engaged as </w:t>
      </w:r>
      <w:r w:rsidRPr="000B5724">
        <w:t>an executive</w:t>
      </w:r>
      <w:r w:rsidRPr="00E83359">
        <w:t xml:space="preserve"> </w:t>
      </w:r>
      <w:r>
        <w:t>(known collectively as executives) under</w:t>
      </w:r>
      <w:r w:rsidRPr="00E83359">
        <w:t xml:space="preserve"> the </w:t>
      </w:r>
      <w:r w:rsidRPr="00E83359">
        <w:rPr>
          <w:i/>
        </w:rPr>
        <w:t>Public Sector Management Act 1994</w:t>
      </w:r>
      <w:r w:rsidRPr="00E83359">
        <w:t>.</w:t>
      </w:r>
    </w:p>
    <w:p w14:paraId="185AB9FE" w14:textId="77777777" w:rsidR="00AC41AC" w:rsidRPr="00FD6F1F" w:rsidRDefault="00AC41AC" w:rsidP="00AC41AC">
      <w:pPr>
        <w:spacing w:before="120" w:after="60"/>
      </w:pPr>
      <w:r>
        <w:rPr>
          <w:b/>
        </w:rPr>
        <w:t>Considerations</w:t>
      </w:r>
    </w:p>
    <w:p w14:paraId="6B9E0AA8" w14:textId="77777777" w:rsidR="00AC41AC" w:rsidRDefault="00AC41AC" w:rsidP="00AC41AC">
      <w:pPr>
        <w:spacing w:before="120" w:after="60"/>
        <w:rPr>
          <w:szCs w:val="24"/>
        </w:rPr>
      </w:pPr>
      <w:r>
        <w:t xml:space="preserve">During 2017, the Tribunal initiated a </w:t>
      </w:r>
      <w:r>
        <w:rPr>
          <w:i/>
        </w:rPr>
        <w:t xml:space="preserve">Major Review: ACT Public </w:t>
      </w:r>
      <w:r w:rsidRPr="00E103E6">
        <w:rPr>
          <w:i/>
        </w:rPr>
        <w:t>Service Executive Remuneration, Allowances and Other Entitlements</w:t>
      </w:r>
      <w:r>
        <w:t>, with a discussion paper released in September 2017.  The Review is continuing with a number of issues, including travel entitlements to be further examined during 2018. A final report is expected by the end of the year.</w:t>
      </w:r>
    </w:p>
    <w:p w14:paraId="290BB084" w14:textId="77777777" w:rsidR="00AC41AC" w:rsidRDefault="00AC41AC" w:rsidP="00AC41AC">
      <w:pPr>
        <w:spacing w:before="120" w:after="60"/>
      </w:pPr>
      <w:r>
        <w:t xml:space="preserve">The Government has advised the Tribunal that a new executive classification structure will commence from 1 July 2018. The new executive classification structure is being introduced through amendments to the </w:t>
      </w:r>
      <w:r w:rsidRPr="00CA5A16">
        <w:rPr>
          <w:i/>
        </w:rPr>
        <w:t>Public Sector Management Standards 2016</w:t>
      </w:r>
      <w:r>
        <w:t>.</w:t>
      </w:r>
    </w:p>
    <w:p w14:paraId="407F7791" w14:textId="77777777" w:rsidR="00AC41AC" w:rsidRDefault="00AC41AC" w:rsidP="00AC41AC">
      <w:pPr>
        <w:spacing w:before="120" w:after="60"/>
      </w:pPr>
      <w:r>
        <w:t xml:space="preserve">A new four band 16 point executive classification structure is being introduced from </w:t>
      </w:r>
      <w:r>
        <w:br/>
        <w:t>1 July 2018. As part of implementing the new structure, the Tribunal is required to set remuneration for four new levels 1.1, 2.1, 3.1 and 4.1 as well as translate the existing remuneration from Determination 3 of 2018 to the new executive structure. The remuneration has been translated into the new structure as outlined in Table 2.1 of this Determination.</w:t>
      </w:r>
    </w:p>
    <w:p w14:paraId="751AD7AE" w14:textId="77777777" w:rsidR="00AC41AC" w:rsidRDefault="00AC41AC" w:rsidP="00AC41AC">
      <w:pPr>
        <w:spacing w:before="120" w:after="60"/>
        <w:rPr>
          <w:b/>
        </w:rPr>
      </w:pPr>
      <w:r w:rsidRPr="00B51F23">
        <w:rPr>
          <w:b/>
        </w:rPr>
        <w:t>Decision</w:t>
      </w:r>
    </w:p>
    <w:p w14:paraId="7E85BC8D" w14:textId="77777777" w:rsidR="00650768" w:rsidRDefault="00AC41AC" w:rsidP="00650768">
      <w:r>
        <w:t>The Tribunal has set remuneration for the new executive structure from 1 July 2018 as outlined in this Determination.</w:t>
      </w:r>
    </w:p>
    <w:p w14:paraId="331F6F27" w14:textId="6B9F5CCA" w:rsidR="00AC41AC" w:rsidRPr="00650768" w:rsidRDefault="00AC41AC" w:rsidP="00650768">
      <w:pPr>
        <w:jc w:val="right"/>
        <w:rPr>
          <w:szCs w:val="24"/>
        </w:rPr>
      </w:pPr>
      <w:r w:rsidRPr="00463482">
        <w:t>29 June 2018</w:t>
      </w:r>
    </w:p>
    <w:p w14:paraId="57F7F2B9" w14:textId="77777777" w:rsidR="00AC41AC" w:rsidRPr="003B1A08" w:rsidRDefault="00AC41AC" w:rsidP="00AC41AC">
      <w:pPr>
        <w:spacing w:before="120"/>
        <w:rPr>
          <w:rFonts w:cs="Arial"/>
        </w:rPr>
        <w:sectPr w:rsidR="00AC41AC" w:rsidRPr="003B1A08" w:rsidSect="00650768">
          <w:headerReference w:type="default" r:id="rId43"/>
          <w:footerReference w:type="default" r:id="rId44"/>
          <w:pgSz w:w="11907" w:h="16839" w:code="9"/>
          <w:pgMar w:top="993" w:right="1440" w:bottom="1440" w:left="1440" w:header="720" w:footer="720" w:gutter="0"/>
          <w:pgNumType w:start="1"/>
          <w:cols w:space="720"/>
          <w:docGrid w:linePitch="326"/>
        </w:sectPr>
      </w:pPr>
    </w:p>
    <w:p w14:paraId="5E278EF4" w14:textId="77777777" w:rsidR="00AC41AC" w:rsidRPr="003B1A08" w:rsidRDefault="00AC41AC" w:rsidP="00AC41AC">
      <w:pPr>
        <w:spacing w:before="120"/>
        <w:rPr>
          <w:rFonts w:cs="Arial"/>
          <w:sz w:val="28"/>
          <w:szCs w:val="28"/>
        </w:rPr>
      </w:pPr>
      <w:r>
        <w:rPr>
          <w:rFonts w:cs="Arial"/>
          <w:noProof/>
          <w:lang w:val="en-AU" w:eastAsia="en-AU"/>
        </w:rPr>
        <w:lastRenderedPageBreak/>
        <w:drawing>
          <wp:inline distT="0" distB="0" distL="0" distR="0" wp14:anchorId="5A9450B2" wp14:editId="06E8923C">
            <wp:extent cx="1009015" cy="923290"/>
            <wp:effectExtent l="19050" t="0" r="0" b="0"/>
            <wp:docPr id="19" name="Picture 1" descr="Description: ACTGov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CTGov_inline_black"/>
                    <pic:cNvPicPr>
                      <a:picLocks noChangeAspect="1" noChangeArrowheads="1"/>
                    </pic:cNvPicPr>
                  </pic:nvPicPr>
                  <pic:blipFill>
                    <a:blip r:embed="rId42"/>
                    <a:srcRect r="44209"/>
                    <a:stretch>
                      <a:fillRect/>
                    </a:stretch>
                  </pic:blipFill>
                  <pic:spPr bwMode="auto">
                    <a:xfrm>
                      <a:off x="0" y="0"/>
                      <a:ext cx="1009015" cy="923290"/>
                    </a:xfrm>
                    <a:prstGeom prst="rect">
                      <a:avLst/>
                    </a:prstGeom>
                    <a:noFill/>
                    <a:ln w="9525">
                      <a:noFill/>
                      <a:miter lim="800000"/>
                      <a:headEnd/>
                      <a:tailEnd/>
                    </a:ln>
                  </pic:spPr>
                </pic:pic>
              </a:graphicData>
            </a:graphic>
          </wp:inline>
        </w:drawing>
      </w:r>
      <w:r w:rsidRPr="003B1A08">
        <w:rPr>
          <w:rFonts w:cs="Arial"/>
          <w:noProof/>
          <w:sz w:val="28"/>
          <w:szCs w:val="28"/>
          <w:lang w:eastAsia="en-AU"/>
        </w:rPr>
        <w:tab/>
      </w:r>
      <w:r>
        <w:rPr>
          <w:rFonts w:cs="Arial"/>
          <w:noProof/>
          <w:sz w:val="28"/>
          <w:szCs w:val="28"/>
          <w:lang w:eastAsia="en-AU"/>
        </w:rPr>
        <w:t xml:space="preserve">      </w:t>
      </w:r>
      <w:r>
        <w:rPr>
          <w:rFonts w:cs="Arial"/>
          <w:noProof/>
          <w:sz w:val="28"/>
          <w:szCs w:val="28"/>
          <w:lang w:eastAsia="en-AU"/>
        </w:rPr>
        <w:tab/>
        <w:t xml:space="preserve">    </w:t>
      </w:r>
      <w:r w:rsidRPr="003B1A08">
        <w:rPr>
          <w:rFonts w:cs="Arial"/>
          <w:sz w:val="28"/>
          <w:szCs w:val="28"/>
        </w:rPr>
        <w:t>Australian Capital Territory Remuneration Tribunal</w:t>
      </w:r>
    </w:p>
    <w:p w14:paraId="2EA40820" w14:textId="77777777" w:rsidR="00AC41AC" w:rsidRPr="003D1AC6" w:rsidRDefault="00AC41AC" w:rsidP="00AC41AC">
      <w:pPr>
        <w:pStyle w:val="Heading1"/>
        <w:spacing w:before="120"/>
      </w:pPr>
      <w:r w:rsidRPr="003B1A08">
        <w:t xml:space="preserve">Determination </w:t>
      </w:r>
      <w:r>
        <w:t>9 of 2018</w:t>
      </w:r>
    </w:p>
    <w:p w14:paraId="65D8732A" w14:textId="77777777" w:rsidR="00AC41AC" w:rsidRPr="003B1A08" w:rsidRDefault="00AC41AC" w:rsidP="00AC41AC">
      <w:pPr>
        <w:pStyle w:val="Heading1"/>
        <w:spacing w:before="120"/>
      </w:pPr>
      <w:r>
        <w:t>Head of Service, Directors-General and Executives</w:t>
      </w:r>
    </w:p>
    <w:p w14:paraId="3BC6ED4C" w14:textId="77777777" w:rsidR="00AC41AC" w:rsidRPr="003B1A08" w:rsidRDefault="00AC41AC" w:rsidP="00AC41AC">
      <w:pPr>
        <w:pStyle w:val="madeunder"/>
        <w:spacing w:before="120" w:after="120"/>
      </w:pPr>
      <w:proofErr w:type="gramStart"/>
      <w:r w:rsidRPr="003B1A08">
        <w:t>made</w:t>
      </w:r>
      <w:proofErr w:type="gramEnd"/>
      <w:r w:rsidRPr="003B1A08">
        <w:t xml:space="preserve"> under the </w:t>
      </w:r>
    </w:p>
    <w:p w14:paraId="598A4AAF" w14:textId="77777777" w:rsidR="00AC41AC" w:rsidRPr="003B1A08" w:rsidRDefault="00AC41AC" w:rsidP="00AC41AC">
      <w:pPr>
        <w:pStyle w:val="CoverActName"/>
        <w:spacing w:after="120"/>
      </w:pPr>
      <w:r w:rsidRPr="003B1A08">
        <w:rPr>
          <w:rFonts w:ascii="Calibri" w:hAnsi="Calibri" w:cs="Arial"/>
        </w:rPr>
        <w:t xml:space="preserve">Remuneration Tribunal Act 1995, section </w:t>
      </w:r>
      <w:r>
        <w:rPr>
          <w:rFonts w:ascii="Calibri" w:hAnsi="Calibri" w:cs="Arial"/>
        </w:rPr>
        <w:t>10</w:t>
      </w:r>
      <w:r w:rsidRPr="003B1A08">
        <w:rPr>
          <w:rFonts w:ascii="Calibri" w:hAnsi="Calibri" w:cs="Arial"/>
        </w:rPr>
        <w:t xml:space="preserve"> (</w:t>
      </w:r>
      <w:r w:rsidRPr="00641CB6">
        <w:rPr>
          <w:rFonts w:ascii="Calibri" w:hAnsi="Calibri" w:cs="Arial"/>
        </w:rPr>
        <w:t>Inquiries about holders of certain positions</w:t>
      </w:r>
      <w:r>
        <w:rPr>
          <w:rFonts w:ascii="Calibri" w:hAnsi="Calibri" w:cs="Arial"/>
        </w:rPr>
        <w:t>)</w:t>
      </w:r>
    </w:p>
    <w:p w14:paraId="295FFFC1" w14:textId="77777777" w:rsidR="00AC41AC" w:rsidRPr="003B469E" w:rsidRDefault="00AC41AC" w:rsidP="00AC41AC">
      <w:pPr>
        <w:pStyle w:val="N-line3"/>
        <w:pBdr>
          <w:top w:val="single" w:sz="12" w:space="1" w:color="auto"/>
          <w:bottom w:val="none" w:sz="0" w:space="0" w:color="auto"/>
        </w:pBdr>
        <w:rPr>
          <w:sz w:val="12"/>
          <w:szCs w:val="12"/>
        </w:rPr>
      </w:pPr>
    </w:p>
    <w:p w14:paraId="62E36355" w14:textId="77777777" w:rsidR="00AC41AC" w:rsidRPr="007032B2" w:rsidRDefault="00AC41AC" w:rsidP="00AC41AC">
      <w:pPr>
        <w:pStyle w:val="Heading3"/>
        <w:numPr>
          <w:ilvl w:val="0"/>
          <w:numId w:val="27"/>
        </w:numPr>
        <w:tabs>
          <w:tab w:val="clear" w:pos="720"/>
        </w:tabs>
        <w:spacing w:before="120"/>
        <w:ind w:left="709" w:hanging="709"/>
        <w:rPr>
          <w:rFonts w:cs="Arial"/>
          <w:szCs w:val="24"/>
        </w:rPr>
      </w:pPr>
      <w:r w:rsidRPr="007032B2">
        <w:rPr>
          <w:szCs w:val="24"/>
        </w:rPr>
        <w:t>Commencement</w:t>
      </w:r>
      <w:r w:rsidRPr="007032B2">
        <w:rPr>
          <w:rFonts w:cs="Arial"/>
          <w:szCs w:val="24"/>
        </w:rPr>
        <w:t xml:space="preserve"> </w:t>
      </w:r>
    </w:p>
    <w:p w14:paraId="48669403" w14:textId="77777777" w:rsidR="00AC41AC" w:rsidRDefault="00AC41AC" w:rsidP="00AC41AC">
      <w:pPr>
        <w:numPr>
          <w:ilvl w:val="1"/>
          <w:numId w:val="27"/>
        </w:numPr>
        <w:tabs>
          <w:tab w:val="clear" w:pos="720"/>
        </w:tabs>
        <w:spacing w:before="80" w:after="60" w:line="240" w:lineRule="auto"/>
        <w:ind w:left="709" w:hanging="709"/>
        <w:rPr>
          <w:szCs w:val="24"/>
        </w:rPr>
      </w:pPr>
      <w:r w:rsidRPr="007032B2">
        <w:rPr>
          <w:szCs w:val="24"/>
        </w:rPr>
        <w:t xml:space="preserve">This instrument commences on </w:t>
      </w:r>
      <w:r w:rsidRPr="005B556E">
        <w:t>1 July</w:t>
      </w:r>
      <w:r w:rsidRPr="005B556E">
        <w:rPr>
          <w:szCs w:val="24"/>
        </w:rPr>
        <w:t xml:space="preserve"> 201</w:t>
      </w:r>
      <w:r>
        <w:rPr>
          <w:szCs w:val="24"/>
        </w:rPr>
        <w:t>8</w:t>
      </w:r>
      <w:r w:rsidRPr="005B556E">
        <w:rPr>
          <w:szCs w:val="24"/>
        </w:rPr>
        <w:t>.</w:t>
      </w:r>
    </w:p>
    <w:p w14:paraId="224912A8" w14:textId="77777777" w:rsidR="00AC41AC" w:rsidRDefault="00AC41AC" w:rsidP="00AC41AC">
      <w:pPr>
        <w:pStyle w:val="Heading3"/>
        <w:numPr>
          <w:ilvl w:val="0"/>
          <w:numId w:val="27"/>
        </w:numPr>
        <w:tabs>
          <w:tab w:val="clear" w:pos="720"/>
        </w:tabs>
        <w:spacing w:before="120"/>
        <w:ind w:left="709"/>
      </w:pPr>
      <w:r>
        <w:t>Remuneration</w:t>
      </w:r>
    </w:p>
    <w:p w14:paraId="685D6928" w14:textId="77777777" w:rsidR="00AC41AC" w:rsidRPr="00335707" w:rsidRDefault="00AC41AC" w:rsidP="00AC41AC">
      <w:pPr>
        <w:numPr>
          <w:ilvl w:val="1"/>
          <w:numId w:val="27"/>
        </w:numPr>
        <w:tabs>
          <w:tab w:val="clear" w:pos="720"/>
        </w:tabs>
        <w:spacing w:before="80" w:after="60" w:line="240" w:lineRule="auto"/>
        <w:ind w:left="709" w:hanging="709"/>
      </w:pPr>
      <w:r>
        <w:t xml:space="preserve">Column 1 in Table 2.1 shows the equivalent levels between the old and new executive structure as outlined in the </w:t>
      </w:r>
      <w:r w:rsidRPr="00D60CE6">
        <w:rPr>
          <w:i/>
        </w:rPr>
        <w:t>Public Sector Management Standards 2016</w:t>
      </w:r>
      <w:r>
        <w:t>.</w:t>
      </w:r>
      <w:r>
        <w:br/>
      </w:r>
      <w:r w:rsidRPr="00335707">
        <w:t xml:space="preserve">A person engaged at </w:t>
      </w:r>
      <w:r>
        <w:t>the new</w:t>
      </w:r>
      <w:r w:rsidRPr="00335707">
        <w:t xml:space="preserve"> executive</w:t>
      </w:r>
      <w:r>
        <w:t xml:space="preserve"> classification</w:t>
      </w:r>
      <w:r w:rsidRPr="00335707">
        <w:t xml:space="preserve"> level listed in column </w:t>
      </w:r>
      <w:r>
        <w:t>2</w:t>
      </w:r>
      <w:r w:rsidRPr="00335707">
        <w:t xml:space="preserve"> of Table 2.1 is entitled to the remuneration mentioned in column </w:t>
      </w:r>
      <w:r>
        <w:t>3</w:t>
      </w:r>
      <w:r w:rsidRPr="00335707">
        <w:t xml:space="preserve"> of Table 2.1.</w:t>
      </w:r>
    </w:p>
    <w:p w14:paraId="62981139" w14:textId="77777777" w:rsidR="00AC41AC" w:rsidRPr="00335707" w:rsidRDefault="00AC41AC" w:rsidP="00AC41AC">
      <w:pPr>
        <w:spacing w:before="80" w:after="60"/>
        <w:ind w:left="709"/>
        <w:rPr>
          <w:b/>
        </w:rPr>
      </w:pPr>
      <w:r w:rsidRPr="00335707">
        <w:rPr>
          <w:b/>
        </w:rPr>
        <w:t>TABLE 2.1</w:t>
      </w:r>
    </w:p>
    <w:tbl>
      <w:tblPr>
        <w:tblW w:w="623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2268"/>
        <w:gridCol w:w="2268"/>
        <w:gridCol w:w="1701"/>
      </w:tblGrid>
      <w:tr w:rsidR="00AC41AC" w:rsidRPr="00D101F0" w14:paraId="1DCDE4B7" w14:textId="77777777" w:rsidTr="00AC7BE2">
        <w:trPr>
          <w:trHeight w:val="374"/>
        </w:trPr>
        <w:tc>
          <w:tcPr>
            <w:tcW w:w="2268" w:type="dxa"/>
          </w:tcPr>
          <w:p w14:paraId="7ED9B4E9" w14:textId="77777777" w:rsidR="00AC41AC" w:rsidRPr="004C6D00" w:rsidRDefault="00AC41AC" w:rsidP="00AC7BE2">
            <w:pPr>
              <w:pStyle w:val="Header"/>
              <w:tabs>
                <w:tab w:val="clear" w:pos="4153"/>
                <w:tab w:val="clear" w:pos="8306"/>
              </w:tabs>
              <w:spacing w:before="60" w:after="60"/>
              <w:rPr>
                <w:sz w:val="20"/>
              </w:rPr>
            </w:pPr>
            <w:r w:rsidRPr="004C6D00">
              <w:rPr>
                <w:sz w:val="20"/>
              </w:rPr>
              <w:t xml:space="preserve">Column </w:t>
            </w:r>
            <w:r>
              <w:rPr>
                <w:sz w:val="20"/>
              </w:rPr>
              <w:t>1</w:t>
            </w:r>
          </w:p>
          <w:p w14:paraId="00FE3C7E" w14:textId="77777777" w:rsidR="00AC41AC" w:rsidRPr="004C6D00" w:rsidRDefault="00AC41AC" w:rsidP="00AC7BE2">
            <w:pPr>
              <w:pStyle w:val="Header"/>
              <w:tabs>
                <w:tab w:val="clear" w:pos="4153"/>
                <w:tab w:val="clear" w:pos="8306"/>
              </w:tabs>
              <w:spacing w:before="60" w:after="60"/>
              <w:rPr>
                <w:sz w:val="20"/>
              </w:rPr>
            </w:pPr>
            <w:r>
              <w:rPr>
                <w:b/>
              </w:rPr>
              <w:t xml:space="preserve">Old </w:t>
            </w:r>
            <w:r w:rsidRPr="004C6D00">
              <w:rPr>
                <w:b/>
              </w:rPr>
              <w:t xml:space="preserve">Executive </w:t>
            </w:r>
            <w:r>
              <w:rPr>
                <w:b/>
              </w:rPr>
              <w:t xml:space="preserve">classification </w:t>
            </w:r>
            <w:r w:rsidRPr="004C6D00">
              <w:rPr>
                <w:b/>
              </w:rPr>
              <w:t>level</w:t>
            </w:r>
          </w:p>
        </w:tc>
        <w:tc>
          <w:tcPr>
            <w:tcW w:w="2268" w:type="dxa"/>
          </w:tcPr>
          <w:p w14:paraId="34636C57" w14:textId="77777777" w:rsidR="00AC41AC" w:rsidRPr="004C6D00" w:rsidRDefault="00AC41AC" w:rsidP="00AC7BE2">
            <w:pPr>
              <w:pStyle w:val="Header"/>
              <w:tabs>
                <w:tab w:val="clear" w:pos="4153"/>
                <w:tab w:val="clear" w:pos="8306"/>
              </w:tabs>
              <w:spacing w:before="60" w:after="60"/>
              <w:rPr>
                <w:sz w:val="20"/>
              </w:rPr>
            </w:pPr>
            <w:r w:rsidRPr="004C6D00">
              <w:rPr>
                <w:sz w:val="20"/>
              </w:rPr>
              <w:t xml:space="preserve">Column </w:t>
            </w:r>
            <w:r>
              <w:rPr>
                <w:sz w:val="20"/>
              </w:rPr>
              <w:t>2</w:t>
            </w:r>
          </w:p>
          <w:p w14:paraId="654012C8" w14:textId="77777777" w:rsidR="00AC41AC" w:rsidRPr="004C6D00" w:rsidRDefault="00AC41AC" w:rsidP="00AC7BE2">
            <w:pPr>
              <w:pStyle w:val="Header"/>
              <w:tabs>
                <w:tab w:val="clear" w:pos="4153"/>
                <w:tab w:val="clear" w:pos="8306"/>
              </w:tabs>
              <w:spacing w:before="60" w:after="60"/>
              <w:rPr>
                <w:b/>
              </w:rPr>
            </w:pPr>
            <w:r>
              <w:rPr>
                <w:b/>
              </w:rPr>
              <w:t xml:space="preserve">New </w:t>
            </w:r>
            <w:r w:rsidRPr="004C6D00">
              <w:rPr>
                <w:b/>
              </w:rPr>
              <w:t xml:space="preserve">Executive </w:t>
            </w:r>
            <w:r>
              <w:rPr>
                <w:b/>
              </w:rPr>
              <w:t xml:space="preserve">classification </w:t>
            </w:r>
            <w:r w:rsidRPr="004C6D00">
              <w:rPr>
                <w:b/>
              </w:rPr>
              <w:t xml:space="preserve">level </w:t>
            </w:r>
          </w:p>
        </w:tc>
        <w:tc>
          <w:tcPr>
            <w:tcW w:w="1701" w:type="dxa"/>
            <w:shd w:val="clear" w:color="auto" w:fill="auto"/>
          </w:tcPr>
          <w:p w14:paraId="661D6B71" w14:textId="77777777" w:rsidR="00AC41AC" w:rsidRPr="00D101F0" w:rsidRDefault="00AC41AC" w:rsidP="00AC7BE2">
            <w:pPr>
              <w:spacing w:before="60" w:after="60"/>
              <w:rPr>
                <w:sz w:val="20"/>
              </w:rPr>
            </w:pPr>
            <w:r w:rsidRPr="00D101F0">
              <w:rPr>
                <w:sz w:val="20"/>
              </w:rPr>
              <w:t xml:space="preserve">Column </w:t>
            </w:r>
            <w:r>
              <w:rPr>
                <w:sz w:val="20"/>
              </w:rPr>
              <w:t>3</w:t>
            </w:r>
          </w:p>
          <w:p w14:paraId="11AFBC0C" w14:textId="77777777" w:rsidR="00AC41AC" w:rsidRPr="00D101F0" w:rsidRDefault="00AC41AC" w:rsidP="00AC7BE2">
            <w:pPr>
              <w:spacing w:before="60" w:after="60"/>
            </w:pPr>
            <w:r>
              <w:rPr>
                <w:b/>
              </w:rPr>
              <w:t>Remuneration</w:t>
            </w:r>
          </w:p>
        </w:tc>
      </w:tr>
      <w:tr w:rsidR="00AC41AC" w:rsidRPr="00D101F0" w14:paraId="50B500DC" w14:textId="77777777" w:rsidTr="009B0037">
        <w:trPr>
          <w:trHeight w:hRule="exact" w:val="567"/>
        </w:trPr>
        <w:tc>
          <w:tcPr>
            <w:tcW w:w="2268" w:type="dxa"/>
          </w:tcPr>
          <w:p w14:paraId="7ECBF779" w14:textId="77777777" w:rsidR="00AC41AC" w:rsidRDefault="00AC41AC" w:rsidP="00AC7BE2">
            <w:r>
              <w:t xml:space="preserve">Level 3.12 </w:t>
            </w:r>
            <w:r>
              <w:br/>
            </w:r>
            <w:r w:rsidRPr="00EC21E5">
              <w:rPr>
                <w:sz w:val="20"/>
              </w:rPr>
              <w:t>(Head of Service)</w:t>
            </w:r>
          </w:p>
        </w:tc>
        <w:tc>
          <w:tcPr>
            <w:tcW w:w="2268" w:type="dxa"/>
          </w:tcPr>
          <w:p w14:paraId="71E1E998" w14:textId="77777777" w:rsidR="00AC41AC" w:rsidRPr="009B55EF" w:rsidRDefault="00AC41AC" w:rsidP="00AC7BE2">
            <w:r>
              <w:t xml:space="preserve">Level 4.4 </w:t>
            </w:r>
            <w:r>
              <w:br/>
            </w:r>
            <w:r w:rsidRPr="00EC21E5">
              <w:rPr>
                <w:sz w:val="20"/>
              </w:rPr>
              <w:t>(Head of Service)</w:t>
            </w:r>
          </w:p>
        </w:tc>
        <w:tc>
          <w:tcPr>
            <w:tcW w:w="1701" w:type="dxa"/>
            <w:shd w:val="clear" w:color="auto" w:fill="auto"/>
            <w:vAlign w:val="bottom"/>
          </w:tcPr>
          <w:p w14:paraId="02CB6A2D" w14:textId="77777777" w:rsidR="00AC41AC" w:rsidRPr="00B51F23" w:rsidRDefault="00AC41AC" w:rsidP="00AC7BE2">
            <w:r w:rsidRPr="00B51F23">
              <w:t xml:space="preserve"> $364,398 </w:t>
            </w:r>
          </w:p>
        </w:tc>
      </w:tr>
      <w:tr w:rsidR="00AC41AC" w:rsidRPr="00D101F0" w14:paraId="3DCCA199" w14:textId="77777777" w:rsidTr="009B0037">
        <w:trPr>
          <w:trHeight w:hRule="exact" w:val="340"/>
        </w:trPr>
        <w:tc>
          <w:tcPr>
            <w:tcW w:w="2268" w:type="dxa"/>
          </w:tcPr>
          <w:p w14:paraId="4AEEE0D3" w14:textId="77777777" w:rsidR="00AC41AC" w:rsidRDefault="00AC41AC" w:rsidP="00AC7BE2">
            <w:r w:rsidRPr="00F97B2E">
              <w:t xml:space="preserve">Level </w:t>
            </w:r>
            <w:r>
              <w:t>3.11</w:t>
            </w:r>
          </w:p>
        </w:tc>
        <w:tc>
          <w:tcPr>
            <w:tcW w:w="2268" w:type="dxa"/>
          </w:tcPr>
          <w:p w14:paraId="4933D485" w14:textId="77777777" w:rsidR="00AC41AC" w:rsidRPr="009B55EF" w:rsidRDefault="00AC41AC" w:rsidP="00AC7BE2">
            <w:r>
              <w:t>Level 4.3</w:t>
            </w:r>
          </w:p>
        </w:tc>
        <w:tc>
          <w:tcPr>
            <w:tcW w:w="1701" w:type="dxa"/>
            <w:shd w:val="clear" w:color="auto" w:fill="auto"/>
            <w:vAlign w:val="bottom"/>
          </w:tcPr>
          <w:p w14:paraId="646CD24C" w14:textId="77777777" w:rsidR="00AC41AC" w:rsidRPr="00B51F23" w:rsidRDefault="00AC41AC" w:rsidP="00AC7BE2">
            <w:r w:rsidRPr="00B51F23">
              <w:t xml:space="preserve"> $337,862 </w:t>
            </w:r>
          </w:p>
        </w:tc>
      </w:tr>
      <w:tr w:rsidR="00AC41AC" w:rsidRPr="00D101F0" w14:paraId="57F9842E" w14:textId="77777777" w:rsidTr="009B0037">
        <w:trPr>
          <w:trHeight w:hRule="exact" w:val="340"/>
        </w:trPr>
        <w:tc>
          <w:tcPr>
            <w:tcW w:w="2268" w:type="dxa"/>
          </w:tcPr>
          <w:p w14:paraId="6E604B50" w14:textId="77777777" w:rsidR="00AC41AC" w:rsidRDefault="00AC41AC" w:rsidP="00AC7BE2">
            <w:r w:rsidRPr="00F97B2E">
              <w:t xml:space="preserve">Level </w:t>
            </w:r>
            <w:r>
              <w:t>3.10</w:t>
            </w:r>
          </w:p>
        </w:tc>
        <w:tc>
          <w:tcPr>
            <w:tcW w:w="2268" w:type="dxa"/>
          </w:tcPr>
          <w:p w14:paraId="7F362901" w14:textId="77777777" w:rsidR="00AC41AC" w:rsidRPr="009B55EF" w:rsidRDefault="00AC41AC" w:rsidP="00AC7BE2">
            <w:r>
              <w:t>Level 4.2</w:t>
            </w:r>
          </w:p>
        </w:tc>
        <w:tc>
          <w:tcPr>
            <w:tcW w:w="1701" w:type="dxa"/>
            <w:shd w:val="clear" w:color="auto" w:fill="auto"/>
            <w:vAlign w:val="bottom"/>
          </w:tcPr>
          <w:p w14:paraId="5BD00FC3" w14:textId="77777777" w:rsidR="00AC41AC" w:rsidRPr="00B51F23" w:rsidRDefault="00AC41AC" w:rsidP="00AC7BE2">
            <w:r w:rsidRPr="00B51F23">
              <w:t xml:space="preserve"> $320,228 </w:t>
            </w:r>
          </w:p>
        </w:tc>
      </w:tr>
      <w:tr w:rsidR="00AC41AC" w:rsidRPr="00D101F0" w14:paraId="3002A060" w14:textId="77777777" w:rsidTr="009B0037">
        <w:trPr>
          <w:trHeight w:hRule="exact" w:val="340"/>
        </w:trPr>
        <w:tc>
          <w:tcPr>
            <w:tcW w:w="2268" w:type="dxa"/>
          </w:tcPr>
          <w:p w14:paraId="1A50B879" w14:textId="77777777" w:rsidR="00AC41AC" w:rsidRPr="00824298" w:rsidRDefault="00AC41AC" w:rsidP="00AC7BE2">
            <w:pPr>
              <w:rPr>
                <w:highlight w:val="yellow"/>
              </w:rPr>
            </w:pPr>
            <w:r>
              <w:t>-</w:t>
            </w:r>
          </w:p>
        </w:tc>
        <w:tc>
          <w:tcPr>
            <w:tcW w:w="2268" w:type="dxa"/>
          </w:tcPr>
          <w:p w14:paraId="25C1B2AE" w14:textId="77777777" w:rsidR="00AC41AC" w:rsidRPr="00985E56" w:rsidRDefault="00AC41AC" w:rsidP="00AC7BE2">
            <w:r w:rsidRPr="00985E56">
              <w:t>Level 4.1</w:t>
            </w:r>
          </w:p>
        </w:tc>
        <w:tc>
          <w:tcPr>
            <w:tcW w:w="1701" w:type="dxa"/>
            <w:shd w:val="clear" w:color="auto" w:fill="auto"/>
            <w:vAlign w:val="bottom"/>
          </w:tcPr>
          <w:p w14:paraId="12F083F2" w14:textId="77777777" w:rsidR="00AC41AC" w:rsidRPr="00985E56" w:rsidRDefault="00AC41AC" w:rsidP="00AC7BE2">
            <w:r w:rsidRPr="00985E56">
              <w:t xml:space="preserve"> $313,608</w:t>
            </w:r>
          </w:p>
        </w:tc>
      </w:tr>
      <w:tr w:rsidR="00AC41AC" w:rsidRPr="00D101F0" w14:paraId="6F0192D7" w14:textId="77777777" w:rsidTr="009B0037">
        <w:trPr>
          <w:trHeight w:hRule="exact" w:val="340"/>
        </w:trPr>
        <w:tc>
          <w:tcPr>
            <w:tcW w:w="2268" w:type="dxa"/>
          </w:tcPr>
          <w:p w14:paraId="6FCF44F6" w14:textId="77777777" w:rsidR="00AC41AC" w:rsidRDefault="00AC41AC" w:rsidP="00AC7BE2">
            <w:r w:rsidRPr="00F97B2E">
              <w:t xml:space="preserve">Level </w:t>
            </w:r>
            <w:r>
              <w:t>3.9</w:t>
            </w:r>
          </w:p>
        </w:tc>
        <w:tc>
          <w:tcPr>
            <w:tcW w:w="2268" w:type="dxa"/>
          </w:tcPr>
          <w:p w14:paraId="7D957325" w14:textId="77777777" w:rsidR="00AC41AC" w:rsidRDefault="00AC41AC" w:rsidP="00AC7BE2">
            <w:r>
              <w:t>Level 3.4</w:t>
            </w:r>
          </w:p>
        </w:tc>
        <w:tc>
          <w:tcPr>
            <w:tcW w:w="1701" w:type="dxa"/>
            <w:shd w:val="clear" w:color="auto" w:fill="auto"/>
            <w:vAlign w:val="bottom"/>
          </w:tcPr>
          <w:p w14:paraId="696F544A" w14:textId="77777777" w:rsidR="00AC41AC" w:rsidRPr="00B51F23" w:rsidRDefault="00AC41AC" w:rsidP="00AC7BE2">
            <w:r w:rsidRPr="00B51F23">
              <w:t xml:space="preserve"> $304,474 </w:t>
            </w:r>
          </w:p>
        </w:tc>
      </w:tr>
      <w:tr w:rsidR="00AC41AC" w:rsidRPr="00D101F0" w14:paraId="0AAD3B39" w14:textId="77777777" w:rsidTr="009B0037">
        <w:trPr>
          <w:trHeight w:hRule="exact" w:val="340"/>
        </w:trPr>
        <w:tc>
          <w:tcPr>
            <w:tcW w:w="2268" w:type="dxa"/>
          </w:tcPr>
          <w:p w14:paraId="2A6B3AE4" w14:textId="77777777" w:rsidR="00AC41AC" w:rsidRDefault="00AC41AC" w:rsidP="00AC7BE2">
            <w:r w:rsidRPr="00F97B2E">
              <w:t xml:space="preserve">Level </w:t>
            </w:r>
            <w:r>
              <w:t>3.8</w:t>
            </w:r>
          </w:p>
        </w:tc>
        <w:tc>
          <w:tcPr>
            <w:tcW w:w="2268" w:type="dxa"/>
          </w:tcPr>
          <w:p w14:paraId="6EBF0F2C" w14:textId="77777777" w:rsidR="00AC41AC" w:rsidRPr="009B55EF" w:rsidRDefault="00AC41AC" w:rsidP="00AC7BE2">
            <w:r>
              <w:t>Level 3.3</w:t>
            </w:r>
          </w:p>
        </w:tc>
        <w:tc>
          <w:tcPr>
            <w:tcW w:w="1701" w:type="dxa"/>
            <w:shd w:val="clear" w:color="auto" w:fill="auto"/>
            <w:vAlign w:val="bottom"/>
          </w:tcPr>
          <w:p w14:paraId="32B5FCBA" w14:textId="77777777" w:rsidR="00AC41AC" w:rsidRPr="00B51F23" w:rsidRDefault="00AC41AC" w:rsidP="00AC7BE2">
            <w:r w:rsidRPr="00B51F23">
              <w:t xml:space="preserve"> $288,726 </w:t>
            </w:r>
          </w:p>
        </w:tc>
      </w:tr>
      <w:tr w:rsidR="00AC41AC" w:rsidRPr="00D101F0" w14:paraId="42E4CE3D" w14:textId="77777777" w:rsidTr="009B0037">
        <w:trPr>
          <w:trHeight w:hRule="exact" w:val="340"/>
        </w:trPr>
        <w:tc>
          <w:tcPr>
            <w:tcW w:w="2268" w:type="dxa"/>
          </w:tcPr>
          <w:p w14:paraId="32C5B068" w14:textId="77777777" w:rsidR="00AC41AC" w:rsidRDefault="00AC41AC" w:rsidP="00AC7BE2">
            <w:r w:rsidRPr="00F97B2E">
              <w:t xml:space="preserve">Level </w:t>
            </w:r>
            <w:r>
              <w:t>3.7</w:t>
            </w:r>
          </w:p>
        </w:tc>
        <w:tc>
          <w:tcPr>
            <w:tcW w:w="2268" w:type="dxa"/>
          </w:tcPr>
          <w:p w14:paraId="650D502F" w14:textId="77777777" w:rsidR="00AC41AC" w:rsidRPr="009B55EF" w:rsidRDefault="00AC41AC" w:rsidP="00AC7BE2">
            <w:r>
              <w:t>Level 3.2</w:t>
            </w:r>
          </w:p>
        </w:tc>
        <w:tc>
          <w:tcPr>
            <w:tcW w:w="1701" w:type="dxa"/>
            <w:shd w:val="clear" w:color="auto" w:fill="auto"/>
            <w:vAlign w:val="bottom"/>
          </w:tcPr>
          <w:p w14:paraId="4ACA0313" w14:textId="77777777" w:rsidR="00AC41AC" w:rsidRPr="00B51F23" w:rsidRDefault="00AC41AC" w:rsidP="00AC7BE2">
            <w:r w:rsidRPr="00B51F23">
              <w:t xml:space="preserve"> $273,057 </w:t>
            </w:r>
          </w:p>
        </w:tc>
      </w:tr>
      <w:tr w:rsidR="00AC41AC" w:rsidRPr="00D101F0" w14:paraId="3EBAEEF5" w14:textId="77777777" w:rsidTr="009B0037">
        <w:trPr>
          <w:trHeight w:hRule="exact" w:val="340"/>
        </w:trPr>
        <w:tc>
          <w:tcPr>
            <w:tcW w:w="2268" w:type="dxa"/>
          </w:tcPr>
          <w:p w14:paraId="5EC8C7EF" w14:textId="77777777" w:rsidR="00AC41AC" w:rsidRPr="00824298" w:rsidRDefault="00AC41AC" w:rsidP="00AC7BE2">
            <w:pPr>
              <w:rPr>
                <w:highlight w:val="yellow"/>
              </w:rPr>
            </w:pPr>
            <w:r>
              <w:t>-</w:t>
            </w:r>
          </w:p>
        </w:tc>
        <w:tc>
          <w:tcPr>
            <w:tcW w:w="2268" w:type="dxa"/>
          </w:tcPr>
          <w:p w14:paraId="57AB0A7E" w14:textId="77777777" w:rsidR="00AC41AC" w:rsidRPr="00985E56" w:rsidRDefault="00AC41AC" w:rsidP="00AC7BE2">
            <w:r w:rsidRPr="00985E56">
              <w:t>Level 3.1</w:t>
            </w:r>
          </w:p>
        </w:tc>
        <w:tc>
          <w:tcPr>
            <w:tcW w:w="1701" w:type="dxa"/>
            <w:shd w:val="clear" w:color="auto" w:fill="auto"/>
            <w:vAlign w:val="bottom"/>
          </w:tcPr>
          <w:p w14:paraId="57BE687A" w14:textId="77777777" w:rsidR="00AC41AC" w:rsidRPr="00985E56" w:rsidRDefault="00AC41AC" w:rsidP="00AC7BE2">
            <w:r w:rsidRPr="00985E56">
              <w:t xml:space="preserve"> $269,796</w:t>
            </w:r>
          </w:p>
        </w:tc>
      </w:tr>
      <w:tr w:rsidR="00AC41AC" w:rsidRPr="00D101F0" w14:paraId="64F9D0C9" w14:textId="77777777" w:rsidTr="009B0037">
        <w:trPr>
          <w:trHeight w:hRule="exact" w:val="340"/>
        </w:trPr>
        <w:tc>
          <w:tcPr>
            <w:tcW w:w="2268" w:type="dxa"/>
          </w:tcPr>
          <w:p w14:paraId="246DF04B" w14:textId="77777777" w:rsidR="00AC41AC" w:rsidRDefault="00AC41AC" w:rsidP="00AC7BE2">
            <w:r w:rsidRPr="00F97B2E">
              <w:t xml:space="preserve">Level </w:t>
            </w:r>
            <w:r>
              <w:t>2.6</w:t>
            </w:r>
          </w:p>
        </w:tc>
        <w:tc>
          <w:tcPr>
            <w:tcW w:w="2268" w:type="dxa"/>
          </w:tcPr>
          <w:p w14:paraId="28A82512" w14:textId="77777777" w:rsidR="00AC41AC" w:rsidRDefault="00AC41AC" w:rsidP="00AC7BE2">
            <w:r>
              <w:t>Level 2.4</w:t>
            </w:r>
          </w:p>
        </w:tc>
        <w:tc>
          <w:tcPr>
            <w:tcW w:w="1701" w:type="dxa"/>
            <w:shd w:val="clear" w:color="auto" w:fill="auto"/>
            <w:vAlign w:val="bottom"/>
          </w:tcPr>
          <w:p w14:paraId="55A2E361" w14:textId="77777777" w:rsidR="00AC41AC" w:rsidRPr="00B51F23" w:rsidRDefault="00AC41AC" w:rsidP="00AC7BE2">
            <w:r w:rsidRPr="00B51F23">
              <w:t xml:space="preserve"> $263,216 </w:t>
            </w:r>
          </w:p>
        </w:tc>
      </w:tr>
      <w:tr w:rsidR="00AC41AC" w:rsidRPr="00D101F0" w14:paraId="0DA51346" w14:textId="77777777" w:rsidTr="009B0037">
        <w:trPr>
          <w:trHeight w:hRule="exact" w:val="340"/>
        </w:trPr>
        <w:tc>
          <w:tcPr>
            <w:tcW w:w="2268" w:type="dxa"/>
          </w:tcPr>
          <w:p w14:paraId="5ECB92F9" w14:textId="77777777" w:rsidR="00AC41AC" w:rsidRDefault="00AC41AC" w:rsidP="00AC7BE2">
            <w:r w:rsidRPr="00F97B2E">
              <w:t xml:space="preserve">Level </w:t>
            </w:r>
            <w:r>
              <w:t>2.5</w:t>
            </w:r>
          </w:p>
        </w:tc>
        <w:tc>
          <w:tcPr>
            <w:tcW w:w="2268" w:type="dxa"/>
          </w:tcPr>
          <w:p w14:paraId="42D24023" w14:textId="77777777" w:rsidR="00AC41AC" w:rsidRPr="009B55EF" w:rsidRDefault="00AC41AC" w:rsidP="00AC7BE2">
            <w:r>
              <w:t>Level 2.3</w:t>
            </w:r>
          </w:p>
        </w:tc>
        <w:tc>
          <w:tcPr>
            <w:tcW w:w="1701" w:type="dxa"/>
            <w:shd w:val="clear" w:color="auto" w:fill="auto"/>
            <w:vAlign w:val="bottom"/>
          </w:tcPr>
          <w:p w14:paraId="16F344DA" w14:textId="77777777" w:rsidR="00AC41AC" w:rsidRPr="00B51F23" w:rsidRDefault="00AC41AC" w:rsidP="00AC7BE2">
            <w:r w:rsidRPr="00B51F23">
              <w:t xml:space="preserve"> $225,891 </w:t>
            </w:r>
          </w:p>
        </w:tc>
      </w:tr>
      <w:tr w:rsidR="00AC41AC" w:rsidRPr="00D101F0" w14:paraId="2F227C13" w14:textId="77777777" w:rsidTr="009B0037">
        <w:trPr>
          <w:trHeight w:hRule="exact" w:val="340"/>
        </w:trPr>
        <w:tc>
          <w:tcPr>
            <w:tcW w:w="2268" w:type="dxa"/>
          </w:tcPr>
          <w:p w14:paraId="10E12120" w14:textId="77777777" w:rsidR="00AC41AC" w:rsidRDefault="00AC41AC" w:rsidP="00AC7BE2">
            <w:r w:rsidRPr="00F97B2E">
              <w:t xml:space="preserve">Level </w:t>
            </w:r>
            <w:r>
              <w:t>2.4</w:t>
            </w:r>
          </w:p>
        </w:tc>
        <w:tc>
          <w:tcPr>
            <w:tcW w:w="2268" w:type="dxa"/>
          </w:tcPr>
          <w:p w14:paraId="27C0810C" w14:textId="77777777" w:rsidR="00AC41AC" w:rsidRPr="009B55EF" w:rsidRDefault="00AC41AC" w:rsidP="00AC7BE2">
            <w:r>
              <w:t>Level 2.2</w:t>
            </w:r>
          </w:p>
        </w:tc>
        <w:tc>
          <w:tcPr>
            <w:tcW w:w="1701" w:type="dxa"/>
            <w:shd w:val="clear" w:color="auto" w:fill="auto"/>
            <w:vAlign w:val="bottom"/>
          </w:tcPr>
          <w:p w14:paraId="1F237A95" w14:textId="77777777" w:rsidR="00AC41AC" w:rsidRPr="00B51F23" w:rsidRDefault="00AC41AC" w:rsidP="00AC7BE2">
            <w:r w:rsidRPr="00B51F23">
              <w:t xml:space="preserve"> $210,138 </w:t>
            </w:r>
          </w:p>
        </w:tc>
      </w:tr>
      <w:tr w:rsidR="00AC41AC" w:rsidRPr="00D101F0" w14:paraId="5F4FD0FA" w14:textId="77777777" w:rsidTr="009B0037">
        <w:trPr>
          <w:trHeight w:hRule="exact" w:val="340"/>
        </w:trPr>
        <w:tc>
          <w:tcPr>
            <w:tcW w:w="2268" w:type="dxa"/>
          </w:tcPr>
          <w:p w14:paraId="58FEA57D" w14:textId="77777777" w:rsidR="00AC41AC" w:rsidRPr="00824298" w:rsidRDefault="00AC41AC" w:rsidP="00AC7BE2">
            <w:pPr>
              <w:rPr>
                <w:highlight w:val="yellow"/>
              </w:rPr>
            </w:pPr>
            <w:r>
              <w:t>-</w:t>
            </w:r>
          </w:p>
        </w:tc>
        <w:tc>
          <w:tcPr>
            <w:tcW w:w="2268" w:type="dxa"/>
          </w:tcPr>
          <w:p w14:paraId="3C1F9C47" w14:textId="77777777" w:rsidR="00AC41AC" w:rsidRPr="00985E56" w:rsidRDefault="00AC41AC" w:rsidP="00AC7BE2">
            <w:r w:rsidRPr="00985E56">
              <w:t>Level 2.1</w:t>
            </w:r>
          </w:p>
        </w:tc>
        <w:tc>
          <w:tcPr>
            <w:tcW w:w="1701" w:type="dxa"/>
            <w:shd w:val="clear" w:color="auto" w:fill="auto"/>
            <w:vAlign w:val="bottom"/>
          </w:tcPr>
          <w:p w14:paraId="23BB30E7" w14:textId="77777777" w:rsidR="00AC41AC" w:rsidRPr="00985E56" w:rsidRDefault="00AC41AC" w:rsidP="00AC7BE2">
            <w:r w:rsidRPr="00985E56">
              <w:t xml:space="preserve"> $199,397</w:t>
            </w:r>
          </w:p>
        </w:tc>
      </w:tr>
      <w:tr w:rsidR="00AC41AC" w:rsidRPr="00D101F0" w14:paraId="410FD1E8" w14:textId="77777777" w:rsidTr="009B0037">
        <w:trPr>
          <w:trHeight w:hRule="exact" w:val="340"/>
        </w:trPr>
        <w:tc>
          <w:tcPr>
            <w:tcW w:w="2268" w:type="dxa"/>
          </w:tcPr>
          <w:p w14:paraId="1410F677" w14:textId="77777777" w:rsidR="00AC41AC" w:rsidRDefault="00AC41AC" w:rsidP="00AC7BE2">
            <w:r w:rsidRPr="00F97B2E">
              <w:t xml:space="preserve">Level </w:t>
            </w:r>
            <w:r>
              <w:t>1.3</w:t>
            </w:r>
          </w:p>
        </w:tc>
        <w:tc>
          <w:tcPr>
            <w:tcW w:w="2268" w:type="dxa"/>
          </w:tcPr>
          <w:p w14:paraId="69CBFF6E" w14:textId="77777777" w:rsidR="00AC41AC" w:rsidRPr="009B55EF" w:rsidRDefault="00AC41AC" w:rsidP="00AC7BE2">
            <w:r>
              <w:t>Level 1.4</w:t>
            </w:r>
          </w:p>
        </w:tc>
        <w:tc>
          <w:tcPr>
            <w:tcW w:w="1701" w:type="dxa"/>
            <w:shd w:val="clear" w:color="auto" w:fill="auto"/>
            <w:vAlign w:val="bottom"/>
          </w:tcPr>
          <w:p w14:paraId="521314BF" w14:textId="77777777" w:rsidR="00AC41AC" w:rsidRPr="00B51F23" w:rsidRDefault="00AC41AC" w:rsidP="00AC7BE2">
            <w:r w:rsidRPr="00B51F23">
              <w:t xml:space="preserve"> $184,627 </w:t>
            </w:r>
          </w:p>
        </w:tc>
      </w:tr>
      <w:tr w:rsidR="00AC41AC" w:rsidRPr="00D101F0" w14:paraId="6CF852E4" w14:textId="77777777" w:rsidTr="009B0037">
        <w:trPr>
          <w:trHeight w:hRule="exact" w:val="340"/>
        </w:trPr>
        <w:tc>
          <w:tcPr>
            <w:tcW w:w="2268" w:type="dxa"/>
          </w:tcPr>
          <w:p w14:paraId="16F4880D" w14:textId="77777777" w:rsidR="00AC41AC" w:rsidRPr="009B55EF" w:rsidRDefault="00AC41AC" w:rsidP="00AC7BE2">
            <w:r w:rsidRPr="00F97B2E">
              <w:t xml:space="preserve">Level </w:t>
            </w:r>
            <w:r>
              <w:t>1.2</w:t>
            </w:r>
          </w:p>
        </w:tc>
        <w:tc>
          <w:tcPr>
            <w:tcW w:w="2268" w:type="dxa"/>
          </w:tcPr>
          <w:p w14:paraId="3E141B3D" w14:textId="77777777" w:rsidR="00AC41AC" w:rsidRPr="009B55EF" w:rsidRDefault="00AC41AC" w:rsidP="00AC7BE2">
            <w:r w:rsidRPr="009B55EF">
              <w:t>Level 1.3</w:t>
            </w:r>
          </w:p>
        </w:tc>
        <w:tc>
          <w:tcPr>
            <w:tcW w:w="1701" w:type="dxa"/>
            <w:shd w:val="clear" w:color="auto" w:fill="auto"/>
            <w:vAlign w:val="bottom"/>
          </w:tcPr>
          <w:p w14:paraId="2465B5B3" w14:textId="77777777" w:rsidR="00AC41AC" w:rsidRPr="00B51F23" w:rsidRDefault="00AC41AC" w:rsidP="00AC7BE2">
            <w:r w:rsidRPr="00B51F23">
              <w:t xml:space="preserve"> $168,878 </w:t>
            </w:r>
          </w:p>
        </w:tc>
      </w:tr>
      <w:tr w:rsidR="00AC41AC" w:rsidRPr="00D101F0" w14:paraId="107849E3" w14:textId="77777777" w:rsidTr="009B0037">
        <w:trPr>
          <w:trHeight w:hRule="exact" w:val="340"/>
        </w:trPr>
        <w:tc>
          <w:tcPr>
            <w:tcW w:w="2268" w:type="dxa"/>
          </w:tcPr>
          <w:p w14:paraId="0D90DDE2" w14:textId="77777777" w:rsidR="00AC41AC" w:rsidRPr="009B55EF" w:rsidRDefault="00AC41AC" w:rsidP="00AC7BE2">
            <w:r w:rsidRPr="00F97B2E">
              <w:t xml:space="preserve">Level </w:t>
            </w:r>
            <w:r>
              <w:t>1.1</w:t>
            </w:r>
          </w:p>
        </w:tc>
        <w:tc>
          <w:tcPr>
            <w:tcW w:w="2268" w:type="dxa"/>
          </w:tcPr>
          <w:p w14:paraId="099CCDB1" w14:textId="77777777" w:rsidR="00AC41AC" w:rsidRPr="009B55EF" w:rsidRDefault="00AC41AC" w:rsidP="00AC7BE2">
            <w:r w:rsidRPr="009B55EF">
              <w:t>Level 1.2</w:t>
            </w:r>
          </w:p>
        </w:tc>
        <w:tc>
          <w:tcPr>
            <w:tcW w:w="1701" w:type="dxa"/>
            <w:shd w:val="clear" w:color="auto" w:fill="auto"/>
            <w:vAlign w:val="bottom"/>
          </w:tcPr>
          <w:p w14:paraId="5F8BC7AE" w14:textId="77777777" w:rsidR="00AC41AC" w:rsidRPr="00B51F23" w:rsidRDefault="00AC41AC" w:rsidP="00AC7BE2">
            <w:r w:rsidRPr="00B51F23">
              <w:t xml:space="preserve"> $153,125 </w:t>
            </w:r>
          </w:p>
        </w:tc>
      </w:tr>
      <w:tr w:rsidR="00AC41AC" w:rsidRPr="00D101F0" w14:paraId="5AB26600" w14:textId="77777777" w:rsidTr="009B0037">
        <w:trPr>
          <w:trHeight w:hRule="exact" w:val="340"/>
        </w:trPr>
        <w:tc>
          <w:tcPr>
            <w:tcW w:w="2268" w:type="dxa"/>
          </w:tcPr>
          <w:p w14:paraId="71B73D9D" w14:textId="77777777" w:rsidR="00AC41AC" w:rsidRPr="00824298" w:rsidRDefault="00AC41AC" w:rsidP="00AC7BE2">
            <w:pPr>
              <w:rPr>
                <w:highlight w:val="yellow"/>
              </w:rPr>
            </w:pPr>
            <w:r>
              <w:t>-</w:t>
            </w:r>
          </w:p>
        </w:tc>
        <w:tc>
          <w:tcPr>
            <w:tcW w:w="2268" w:type="dxa"/>
          </w:tcPr>
          <w:p w14:paraId="1DC39A10" w14:textId="77777777" w:rsidR="00AC41AC" w:rsidRPr="00985E56" w:rsidRDefault="00AC41AC" w:rsidP="00AC7BE2">
            <w:r w:rsidRPr="00985E56">
              <w:t>Level 1.1</w:t>
            </w:r>
          </w:p>
        </w:tc>
        <w:tc>
          <w:tcPr>
            <w:tcW w:w="1701" w:type="dxa"/>
            <w:shd w:val="clear" w:color="auto" w:fill="auto"/>
            <w:vAlign w:val="bottom"/>
          </w:tcPr>
          <w:p w14:paraId="73FA0C2F" w14:textId="77777777" w:rsidR="00AC41AC" w:rsidRPr="00985E56" w:rsidRDefault="00AC41AC" w:rsidP="00AC7BE2">
            <w:r w:rsidRPr="00985E56">
              <w:t xml:space="preserve"> $149,007</w:t>
            </w:r>
          </w:p>
        </w:tc>
      </w:tr>
    </w:tbl>
    <w:p w14:paraId="090002D1" w14:textId="77777777" w:rsidR="00AC41AC" w:rsidRDefault="00AC41AC" w:rsidP="00AC41AC">
      <w:pPr>
        <w:numPr>
          <w:ilvl w:val="1"/>
          <w:numId w:val="27"/>
        </w:numPr>
        <w:tabs>
          <w:tab w:val="clear" w:pos="720"/>
          <w:tab w:val="num" w:pos="0"/>
        </w:tabs>
        <w:spacing w:before="80" w:after="60" w:line="240" w:lineRule="auto"/>
        <w:ind w:left="709" w:hanging="709"/>
      </w:pPr>
      <w:r w:rsidRPr="00335707">
        <w:lastRenderedPageBreak/>
        <w:t xml:space="preserve">If a person engaged at a level listed in column </w:t>
      </w:r>
      <w:r>
        <w:t>2</w:t>
      </w:r>
      <w:r w:rsidRPr="00335707">
        <w:t xml:space="preserve"> of Table 2.1 is also engaged in or appointed to another office, which is not a second job under the </w:t>
      </w:r>
      <w:r w:rsidRPr="00335707">
        <w:rPr>
          <w:i/>
        </w:rPr>
        <w:t>Public Sector Management Act 1994</w:t>
      </w:r>
      <w:r w:rsidRPr="00335707">
        <w:t>, the person must only receive remuneration for the office that has the highest remuneration.</w:t>
      </w:r>
    </w:p>
    <w:p w14:paraId="6078C638" w14:textId="77777777" w:rsidR="00AC41AC" w:rsidRPr="00E320F8" w:rsidRDefault="00AC41AC" w:rsidP="00AC41AC">
      <w:pPr>
        <w:pStyle w:val="Heading3"/>
        <w:numPr>
          <w:ilvl w:val="0"/>
          <w:numId w:val="27"/>
        </w:numPr>
        <w:tabs>
          <w:tab w:val="clear" w:pos="720"/>
        </w:tabs>
        <w:ind w:left="709"/>
      </w:pPr>
      <w:r w:rsidRPr="00E320F8">
        <w:t xml:space="preserve">Salary </w:t>
      </w:r>
      <w:r>
        <w:t>packaging</w:t>
      </w:r>
    </w:p>
    <w:p w14:paraId="14593853" w14:textId="77777777" w:rsidR="00AC41AC" w:rsidRDefault="00AC41AC" w:rsidP="00AC41AC">
      <w:pPr>
        <w:numPr>
          <w:ilvl w:val="1"/>
          <w:numId w:val="27"/>
        </w:numPr>
        <w:tabs>
          <w:tab w:val="clear" w:pos="720"/>
          <w:tab w:val="num" w:pos="0"/>
        </w:tabs>
        <w:spacing w:before="80" w:after="60" w:line="240" w:lineRule="auto"/>
        <w:ind w:left="709" w:hanging="709"/>
      </w:pPr>
      <w:r w:rsidRPr="00335707">
        <w:t xml:space="preserve">An executive </w:t>
      </w:r>
      <w:r w:rsidRPr="00BF6FC8">
        <w:t xml:space="preserve">may elect to take </w:t>
      </w:r>
      <w:r>
        <w:t xml:space="preserve">the </w:t>
      </w:r>
      <w:r w:rsidRPr="00BF6FC8">
        <w:t xml:space="preserve">remuneration </w:t>
      </w:r>
      <w:r w:rsidRPr="00335707">
        <w:t>mentioned</w:t>
      </w:r>
      <w:r>
        <w:t xml:space="preserve"> in </w:t>
      </w:r>
      <w:r w:rsidRPr="00335707">
        <w:t xml:space="preserve">column </w:t>
      </w:r>
      <w:r>
        <w:t>3</w:t>
      </w:r>
      <w:r w:rsidRPr="00335707">
        <w:t xml:space="preserve"> of Table 2.1</w:t>
      </w:r>
      <w:r w:rsidRPr="00BF6FC8">
        <w:t xml:space="preserve"> as</w:t>
      </w:r>
      <w:r>
        <w:t>:</w:t>
      </w:r>
    </w:p>
    <w:p w14:paraId="3DD283CC" w14:textId="77777777" w:rsidR="00AC41AC" w:rsidRDefault="00AC41AC" w:rsidP="00AC41AC">
      <w:pPr>
        <w:numPr>
          <w:ilvl w:val="2"/>
          <w:numId w:val="27"/>
        </w:numPr>
        <w:tabs>
          <w:tab w:val="clear" w:pos="720"/>
        </w:tabs>
        <w:spacing w:after="60" w:line="240" w:lineRule="auto"/>
        <w:ind w:left="1134" w:hanging="436"/>
      </w:pPr>
      <w:r w:rsidRPr="00BF6FC8">
        <w:t>salary</w:t>
      </w:r>
      <w:r>
        <w:t>;</w:t>
      </w:r>
      <w:r w:rsidRPr="00BF6FC8">
        <w:t xml:space="preserve"> or </w:t>
      </w:r>
    </w:p>
    <w:p w14:paraId="5016F310" w14:textId="77777777" w:rsidR="00AC41AC" w:rsidRPr="00BF6FC8" w:rsidRDefault="00AC41AC" w:rsidP="00AC41AC">
      <w:pPr>
        <w:numPr>
          <w:ilvl w:val="2"/>
          <w:numId w:val="27"/>
        </w:numPr>
        <w:tabs>
          <w:tab w:val="clear" w:pos="720"/>
        </w:tabs>
        <w:spacing w:after="60" w:line="240" w:lineRule="auto"/>
        <w:ind w:left="1134" w:hanging="436"/>
      </w:pPr>
      <w:proofErr w:type="gramStart"/>
      <w:r w:rsidRPr="00BF6FC8">
        <w:t>a</w:t>
      </w:r>
      <w:proofErr w:type="gramEnd"/>
      <w:r w:rsidRPr="00BF6FC8">
        <w:t xml:space="preserve"> combination of salary and other benefits</w:t>
      </w:r>
      <w:r>
        <w:t xml:space="preserve"> (</w:t>
      </w:r>
      <w:r w:rsidRPr="00B93392">
        <w:t xml:space="preserve">a </w:t>
      </w:r>
      <w:r>
        <w:rPr>
          <w:b/>
          <w:i/>
        </w:rPr>
        <w:t>salary package</w:t>
      </w:r>
      <w:r>
        <w:t>)</w:t>
      </w:r>
      <w:r w:rsidRPr="00BF6FC8">
        <w:t>.</w:t>
      </w:r>
    </w:p>
    <w:p w14:paraId="1B77915E" w14:textId="77777777" w:rsidR="00AC41AC" w:rsidRDefault="00AC41AC" w:rsidP="00AC41AC">
      <w:pPr>
        <w:keepNext/>
        <w:keepLines/>
        <w:numPr>
          <w:ilvl w:val="1"/>
          <w:numId w:val="27"/>
        </w:numPr>
        <w:tabs>
          <w:tab w:val="clear" w:pos="720"/>
          <w:tab w:val="num" w:pos="0"/>
        </w:tabs>
        <w:spacing w:before="80" w:after="60" w:line="240" w:lineRule="auto"/>
        <w:ind w:left="709" w:hanging="709"/>
      </w:pPr>
      <w:r>
        <w:t>Salary packaging must</w:t>
      </w:r>
      <w:r w:rsidRPr="00BF6FC8">
        <w:t xml:space="preserve"> be</w:t>
      </w:r>
      <w:r>
        <w:t xml:space="preserve"> </w:t>
      </w:r>
      <w:r w:rsidRPr="00BF6FC8">
        <w:t>consistent with</w:t>
      </w:r>
      <w:r>
        <w:t>:</w:t>
      </w:r>
    </w:p>
    <w:p w14:paraId="551093D8" w14:textId="77777777" w:rsidR="00AC41AC" w:rsidRDefault="00AC41AC" w:rsidP="00AC41AC">
      <w:pPr>
        <w:numPr>
          <w:ilvl w:val="2"/>
          <w:numId w:val="27"/>
        </w:numPr>
        <w:tabs>
          <w:tab w:val="clear" w:pos="720"/>
        </w:tabs>
        <w:spacing w:after="60" w:line="240" w:lineRule="auto"/>
        <w:ind w:left="1134" w:hanging="436"/>
      </w:pPr>
      <w:r w:rsidRPr="00BF6FC8">
        <w:t>taxation laws and guidelines issued by</w:t>
      </w:r>
      <w:r>
        <w:t xml:space="preserve"> the Australian Taxation Office; and</w:t>
      </w:r>
    </w:p>
    <w:p w14:paraId="7804B75B" w14:textId="77777777" w:rsidR="00AC41AC" w:rsidRPr="005C2122" w:rsidRDefault="00AC41AC" w:rsidP="00AC41AC">
      <w:pPr>
        <w:numPr>
          <w:ilvl w:val="2"/>
          <w:numId w:val="27"/>
        </w:numPr>
        <w:tabs>
          <w:tab w:val="clear" w:pos="720"/>
        </w:tabs>
        <w:spacing w:after="60" w:line="240" w:lineRule="auto"/>
        <w:ind w:left="1134" w:hanging="436"/>
      </w:pPr>
      <w:r w:rsidRPr="00501D02">
        <w:t>any salary packaging policy and/or procedures issued for the ACT Public Service</w:t>
      </w:r>
      <w:r w:rsidRPr="005C2122">
        <w:t>, with up to 100% of the remuneration a</w:t>
      </w:r>
      <w:r>
        <w:t>b</w:t>
      </w:r>
      <w:r w:rsidRPr="005C2122">
        <w:t xml:space="preserve">le to be taken as benefits and related costs </w:t>
      </w:r>
      <w:r>
        <w:t>such as</w:t>
      </w:r>
      <w:r w:rsidRPr="005C2122">
        <w:t xml:space="preserve"> </w:t>
      </w:r>
      <w:r>
        <w:t>f</w:t>
      </w:r>
      <w:r w:rsidRPr="005C2122">
        <w:t xml:space="preserve">ringe </w:t>
      </w:r>
      <w:r>
        <w:t>b</w:t>
      </w:r>
      <w:r w:rsidRPr="005C2122">
        <w:t xml:space="preserve">enefits </w:t>
      </w:r>
      <w:r>
        <w:t>t</w:t>
      </w:r>
      <w:r w:rsidRPr="005C2122">
        <w:t xml:space="preserve">ax. </w:t>
      </w:r>
    </w:p>
    <w:p w14:paraId="67FB21DB" w14:textId="77777777" w:rsidR="00AC41AC" w:rsidRDefault="00AC41AC" w:rsidP="00AC41AC">
      <w:pPr>
        <w:numPr>
          <w:ilvl w:val="1"/>
          <w:numId w:val="27"/>
        </w:numPr>
        <w:tabs>
          <w:tab w:val="clear" w:pos="720"/>
          <w:tab w:val="num" w:pos="0"/>
        </w:tabs>
        <w:spacing w:before="80" w:after="60" w:line="240" w:lineRule="auto"/>
        <w:ind w:left="709" w:hanging="709"/>
      </w:pPr>
      <w:r>
        <w:t xml:space="preserve">If an executive is </w:t>
      </w:r>
      <w:r w:rsidRPr="00E83359">
        <w:t>working fo</w:t>
      </w:r>
      <w:r>
        <w:t xml:space="preserve">r </w:t>
      </w:r>
      <w:r w:rsidRPr="00947B6F">
        <w:t>a Public Benevolent Institution,</w:t>
      </w:r>
      <w:r w:rsidRPr="00E83359">
        <w:t xml:space="preserve"> the benefit items that normally incur </w:t>
      </w:r>
      <w:r w:rsidRPr="006368F6">
        <w:t>fringe benefits tax</w:t>
      </w:r>
      <w:r w:rsidRPr="00E83359">
        <w:t xml:space="preserve"> must not incur more than $17,000 grossed up taxable value per </w:t>
      </w:r>
      <w:r w:rsidRPr="006368F6">
        <w:t>fringe benefits tax</w:t>
      </w:r>
      <w:r w:rsidRPr="00E83359">
        <w:t xml:space="preserve"> year, </w:t>
      </w:r>
      <w:r>
        <w:t>without</w:t>
      </w:r>
      <w:r w:rsidRPr="00E83359">
        <w:t xml:space="preserve"> prior approval from</w:t>
      </w:r>
      <w:r>
        <w:t>:</w:t>
      </w:r>
    </w:p>
    <w:p w14:paraId="284EBBE1" w14:textId="77777777" w:rsidR="00AC41AC" w:rsidRDefault="00AC41AC" w:rsidP="00AC41AC">
      <w:pPr>
        <w:numPr>
          <w:ilvl w:val="2"/>
          <w:numId w:val="27"/>
        </w:numPr>
        <w:tabs>
          <w:tab w:val="clear" w:pos="720"/>
        </w:tabs>
        <w:spacing w:after="60" w:line="240" w:lineRule="auto"/>
        <w:ind w:left="1134" w:hanging="436"/>
      </w:pPr>
      <w:r w:rsidRPr="00500382">
        <w:t>for directors-general</w:t>
      </w:r>
      <w:r w:rsidRPr="00335707">
        <w:rPr>
          <w:rFonts w:eastAsia="Calibri"/>
          <w:szCs w:val="24"/>
        </w:rPr>
        <w:t>—</w:t>
      </w:r>
      <w:r w:rsidRPr="00E83359">
        <w:t xml:space="preserve">the </w:t>
      </w:r>
      <w:r>
        <w:t xml:space="preserve">head of service; and </w:t>
      </w:r>
    </w:p>
    <w:p w14:paraId="6F8A8119" w14:textId="77777777" w:rsidR="00AC41AC" w:rsidRPr="00E83359" w:rsidRDefault="00AC41AC" w:rsidP="00AC41AC">
      <w:pPr>
        <w:numPr>
          <w:ilvl w:val="2"/>
          <w:numId w:val="27"/>
        </w:numPr>
        <w:tabs>
          <w:tab w:val="clear" w:pos="720"/>
        </w:tabs>
        <w:spacing w:after="60" w:line="240" w:lineRule="auto"/>
        <w:ind w:left="1134" w:hanging="436"/>
      </w:pPr>
      <w:proofErr w:type="gramStart"/>
      <w:r w:rsidRPr="00500382">
        <w:t>for</w:t>
      </w:r>
      <w:proofErr w:type="gramEnd"/>
      <w:r w:rsidRPr="00500382">
        <w:t xml:space="preserve"> executives</w:t>
      </w:r>
      <w:r w:rsidRPr="00335707">
        <w:rPr>
          <w:rFonts w:eastAsia="Calibri"/>
          <w:szCs w:val="24"/>
        </w:rPr>
        <w:t>—the relevant</w:t>
      </w:r>
      <w:r w:rsidRPr="00E83359">
        <w:t xml:space="preserve"> </w:t>
      </w:r>
      <w:r>
        <w:t>director-general</w:t>
      </w:r>
      <w:r w:rsidRPr="00E83359">
        <w:t>.</w:t>
      </w:r>
    </w:p>
    <w:p w14:paraId="2F879E89" w14:textId="77777777" w:rsidR="00AC41AC" w:rsidRPr="00BF6FC8" w:rsidRDefault="00AC41AC" w:rsidP="00AC41AC">
      <w:pPr>
        <w:numPr>
          <w:ilvl w:val="1"/>
          <w:numId w:val="27"/>
        </w:numPr>
        <w:tabs>
          <w:tab w:val="clear" w:pos="720"/>
          <w:tab w:val="num" w:pos="0"/>
        </w:tabs>
        <w:spacing w:before="80" w:after="60" w:line="240" w:lineRule="auto"/>
        <w:ind w:left="709" w:hanging="709"/>
      </w:pPr>
      <w:r>
        <w:t>Salary packaging must</w:t>
      </w:r>
      <w:r w:rsidRPr="00BF6FC8">
        <w:t xml:space="preserve"> be administered </w:t>
      </w:r>
      <w:r>
        <w:t xml:space="preserve">without </w:t>
      </w:r>
      <w:r w:rsidRPr="00BF6FC8">
        <w:t xml:space="preserve">additional cost to the </w:t>
      </w:r>
      <w:r>
        <w:t>employer and</w:t>
      </w:r>
      <w:r w:rsidRPr="00BF6FC8">
        <w:t xml:space="preserve"> any </w:t>
      </w:r>
      <w:r w:rsidRPr="006368F6">
        <w:t>fringe benefits tax</w:t>
      </w:r>
      <w:r w:rsidRPr="00BF6FC8">
        <w:t xml:space="preserve"> associated with the provision of a benefit </w:t>
      </w:r>
      <w:r>
        <w:t>must</w:t>
      </w:r>
      <w:r w:rsidRPr="00BF6FC8">
        <w:t xml:space="preserve"> be included in the salary package.</w:t>
      </w:r>
    </w:p>
    <w:p w14:paraId="00D9AA64" w14:textId="77777777" w:rsidR="00AC41AC" w:rsidRDefault="00AC41AC" w:rsidP="00AC41AC">
      <w:pPr>
        <w:numPr>
          <w:ilvl w:val="1"/>
          <w:numId w:val="27"/>
        </w:numPr>
        <w:tabs>
          <w:tab w:val="clear" w:pos="720"/>
          <w:tab w:val="num" w:pos="0"/>
        </w:tabs>
        <w:spacing w:before="80" w:after="60" w:line="240" w:lineRule="auto"/>
        <w:ind w:left="709" w:hanging="709"/>
      </w:pPr>
      <w:r>
        <w:t>S</w:t>
      </w:r>
      <w:r w:rsidRPr="00BF6FC8">
        <w:t xml:space="preserve">alary for superannuation purposes is </w:t>
      </w:r>
      <w:r>
        <w:t xml:space="preserve">not </w:t>
      </w:r>
      <w:r w:rsidRPr="00BF6FC8">
        <w:t>affected by salary packaging.</w:t>
      </w:r>
    </w:p>
    <w:p w14:paraId="396A6FC8" w14:textId="77777777" w:rsidR="00AC41AC" w:rsidRPr="00C85627" w:rsidRDefault="00AC41AC" w:rsidP="00AC41AC">
      <w:pPr>
        <w:pStyle w:val="Heading3"/>
        <w:numPr>
          <w:ilvl w:val="0"/>
          <w:numId w:val="27"/>
        </w:numPr>
        <w:tabs>
          <w:tab w:val="clear" w:pos="720"/>
        </w:tabs>
        <w:ind w:left="709"/>
      </w:pPr>
      <w:r w:rsidRPr="00C85627">
        <w:t>Employer provided benefits</w:t>
      </w:r>
    </w:p>
    <w:p w14:paraId="434F2100" w14:textId="77777777" w:rsidR="00AC41AC" w:rsidRPr="00A05757" w:rsidRDefault="00AC41AC" w:rsidP="00AC41AC">
      <w:pPr>
        <w:numPr>
          <w:ilvl w:val="1"/>
          <w:numId w:val="27"/>
        </w:numPr>
        <w:tabs>
          <w:tab w:val="clear" w:pos="720"/>
        </w:tabs>
        <w:spacing w:before="80" w:after="60" w:line="240" w:lineRule="auto"/>
        <w:ind w:left="709" w:hanging="709"/>
        <w:rPr>
          <w:szCs w:val="24"/>
        </w:rPr>
      </w:pPr>
      <w:r w:rsidRPr="00335707">
        <w:rPr>
          <w:szCs w:val="24"/>
        </w:rPr>
        <w:t xml:space="preserve">An executive </w:t>
      </w:r>
      <w:r w:rsidRPr="00A05757">
        <w:rPr>
          <w:szCs w:val="24"/>
        </w:rPr>
        <w:t xml:space="preserve">is entitled to either the employer provided benefits mentioned </w:t>
      </w:r>
      <w:r>
        <w:rPr>
          <w:szCs w:val="24"/>
        </w:rPr>
        <w:t>below</w:t>
      </w:r>
      <w:r w:rsidRPr="00A05757">
        <w:rPr>
          <w:szCs w:val="24"/>
        </w:rPr>
        <w:t xml:space="preserve"> or the relevant cash payment in lieu of the benefit mentioned </w:t>
      </w:r>
      <w:r>
        <w:rPr>
          <w:szCs w:val="24"/>
        </w:rPr>
        <w:t>below</w:t>
      </w:r>
      <w:r w:rsidRPr="00A05757">
        <w:rPr>
          <w:szCs w:val="24"/>
        </w:rPr>
        <w:t>.</w:t>
      </w:r>
    </w:p>
    <w:p w14:paraId="4DB1DE08" w14:textId="77777777" w:rsidR="00AC41AC" w:rsidRDefault="00AC41AC" w:rsidP="00AC41AC">
      <w:pPr>
        <w:keepNext/>
        <w:autoSpaceDE w:val="0"/>
        <w:autoSpaceDN w:val="0"/>
        <w:adjustRightInd w:val="0"/>
        <w:spacing w:before="80" w:after="60"/>
        <w:ind w:left="1276" w:hanging="567"/>
        <w:rPr>
          <w:sz w:val="20"/>
          <w:lang w:val="en-US"/>
        </w:rPr>
      </w:pPr>
      <w:r w:rsidRPr="00363435">
        <w:rPr>
          <w:sz w:val="20"/>
          <w:lang w:val="en-US"/>
        </w:rPr>
        <w:t>Note:</w:t>
      </w:r>
      <w:r w:rsidRPr="00363435">
        <w:rPr>
          <w:sz w:val="20"/>
          <w:lang w:val="en-US"/>
        </w:rPr>
        <w:tab/>
        <w:t>employer provided benefits or cash payment in lieu of the benefit do not change the remuneration component of the total remuneration package.</w:t>
      </w:r>
    </w:p>
    <w:p w14:paraId="3B9FBB5D" w14:textId="77777777" w:rsidR="00AC41AC" w:rsidRDefault="00AC41AC" w:rsidP="00AC41AC">
      <w:pPr>
        <w:keepNext/>
        <w:autoSpaceDE w:val="0"/>
        <w:autoSpaceDN w:val="0"/>
        <w:adjustRightInd w:val="0"/>
        <w:spacing w:before="80" w:after="60"/>
        <w:ind w:left="1276" w:hanging="567"/>
        <w:rPr>
          <w:sz w:val="20"/>
        </w:rPr>
      </w:pPr>
      <w:r w:rsidRPr="00FE029D">
        <w:rPr>
          <w:sz w:val="20"/>
          <w:lang w:val="en-US"/>
        </w:rPr>
        <w:t>Note:</w:t>
      </w:r>
      <w:r w:rsidRPr="00FE029D">
        <w:rPr>
          <w:sz w:val="20"/>
          <w:lang w:val="en-US"/>
        </w:rPr>
        <w:tab/>
        <w:t xml:space="preserve">travel entitlements are provided under the </w:t>
      </w:r>
      <w:r w:rsidRPr="00AD0936">
        <w:rPr>
          <w:i/>
          <w:sz w:val="20"/>
        </w:rPr>
        <w:t>Public Sector Management Standards 2006</w:t>
      </w:r>
      <w:r>
        <w:rPr>
          <w:i/>
          <w:sz w:val="20"/>
        </w:rPr>
        <w:t xml:space="preserve"> (repealed)</w:t>
      </w:r>
      <w:r w:rsidRPr="00FE029D">
        <w:rPr>
          <w:sz w:val="20"/>
        </w:rPr>
        <w:t>.</w:t>
      </w:r>
    </w:p>
    <w:p w14:paraId="79E3AC2F" w14:textId="77777777" w:rsidR="00AC41AC" w:rsidRPr="00A05757" w:rsidRDefault="00AC41AC" w:rsidP="00AC41AC">
      <w:pPr>
        <w:pStyle w:val="Heading2"/>
        <w:spacing w:before="120"/>
        <w:ind w:left="709"/>
        <w:rPr>
          <w:szCs w:val="24"/>
        </w:rPr>
      </w:pPr>
      <w:r>
        <w:rPr>
          <w:szCs w:val="24"/>
        </w:rPr>
        <w:t xml:space="preserve">Vehicle </w:t>
      </w:r>
    </w:p>
    <w:p w14:paraId="2E517944" w14:textId="77777777" w:rsidR="00AC41AC" w:rsidRPr="00A05757" w:rsidRDefault="00AC41AC" w:rsidP="00AC41AC">
      <w:pPr>
        <w:numPr>
          <w:ilvl w:val="1"/>
          <w:numId w:val="27"/>
        </w:numPr>
        <w:tabs>
          <w:tab w:val="clear" w:pos="720"/>
        </w:tabs>
        <w:spacing w:before="80" w:after="60" w:line="240" w:lineRule="auto"/>
        <w:ind w:left="709" w:hanging="709"/>
        <w:rPr>
          <w:szCs w:val="24"/>
          <w:lang w:val="en-US"/>
        </w:rPr>
      </w:pPr>
      <w:r>
        <w:rPr>
          <w:szCs w:val="24"/>
        </w:rPr>
        <w:t xml:space="preserve">An executive is entitled to a vehicle and associated arrangements, including a parking space in accordance with the </w:t>
      </w:r>
      <w:r w:rsidRPr="00942F3C">
        <w:rPr>
          <w:i/>
          <w:szCs w:val="24"/>
        </w:rPr>
        <w:t>Public Sector Management Standards 2016</w:t>
      </w:r>
      <w:r>
        <w:rPr>
          <w:szCs w:val="24"/>
        </w:rPr>
        <w:t xml:space="preserve"> and the </w:t>
      </w:r>
      <w:r w:rsidRPr="00942F3C">
        <w:rPr>
          <w:i/>
          <w:szCs w:val="24"/>
        </w:rPr>
        <w:t>Guidelines for the Management and Use of Executive Vehicles</w:t>
      </w:r>
      <w:r>
        <w:rPr>
          <w:szCs w:val="24"/>
        </w:rPr>
        <w:t>.</w:t>
      </w:r>
    </w:p>
    <w:p w14:paraId="06A5F8A7" w14:textId="77777777" w:rsidR="00AC41AC" w:rsidRPr="00A05757" w:rsidRDefault="00AC41AC" w:rsidP="00AC41AC">
      <w:pPr>
        <w:pStyle w:val="Heading2"/>
        <w:spacing w:before="120"/>
        <w:ind w:left="709"/>
        <w:rPr>
          <w:szCs w:val="24"/>
        </w:rPr>
      </w:pPr>
      <w:r w:rsidRPr="00A05757">
        <w:rPr>
          <w:szCs w:val="24"/>
        </w:rPr>
        <w:t>Employer’s superannuation contribution</w:t>
      </w:r>
    </w:p>
    <w:p w14:paraId="2840D511" w14:textId="77777777" w:rsidR="00AC41AC" w:rsidRDefault="00AC41AC" w:rsidP="00AC41AC">
      <w:pPr>
        <w:numPr>
          <w:ilvl w:val="1"/>
          <w:numId w:val="27"/>
        </w:numPr>
        <w:tabs>
          <w:tab w:val="clear" w:pos="720"/>
        </w:tabs>
        <w:spacing w:before="80" w:after="60" w:line="240" w:lineRule="auto"/>
        <w:ind w:left="709" w:hanging="709"/>
        <w:rPr>
          <w:szCs w:val="24"/>
          <w:lang w:val="en-US"/>
        </w:rPr>
      </w:pPr>
      <w:r w:rsidRPr="00A05757">
        <w:rPr>
          <w:szCs w:val="24"/>
        </w:rPr>
        <w:t>A</w:t>
      </w:r>
      <w:r>
        <w:rPr>
          <w:szCs w:val="24"/>
        </w:rPr>
        <w:t xml:space="preserve">n executive </w:t>
      </w:r>
      <w:r w:rsidRPr="00A05757">
        <w:rPr>
          <w:szCs w:val="24"/>
        </w:rPr>
        <w:t xml:space="preserve">is only eligible for the </w:t>
      </w:r>
      <w:r>
        <w:rPr>
          <w:szCs w:val="24"/>
        </w:rPr>
        <w:t>e</w:t>
      </w:r>
      <w:r w:rsidRPr="00A05757">
        <w:rPr>
          <w:szCs w:val="24"/>
        </w:rPr>
        <w:t xml:space="preserve">mployer’s </w:t>
      </w:r>
      <w:r>
        <w:rPr>
          <w:szCs w:val="24"/>
        </w:rPr>
        <w:t>s</w:t>
      </w:r>
      <w:r w:rsidRPr="00A05757">
        <w:rPr>
          <w:szCs w:val="24"/>
        </w:rPr>
        <w:t xml:space="preserve">uperannuation </w:t>
      </w:r>
      <w:r>
        <w:rPr>
          <w:szCs w:val="24"/>
        </w:rPr>
        <w:t>c</w:t>
      </w:r>
      <w:r w:rsidRPr="00A05757">
        <w:rPr>
          <w:szCs w:val="24"/>
        </w:rPr>
        <w:t xml:space="preserve">ontribution </w:t>
      </w:r>
      <w:r w:rsidRPr="00A05757">
        <w:rPr>
          <w:szCs w:val="24"/>
          <w:lang w:val="en-US"/>
        </w:rPr>
        <w:t xml:space="preserve">if their </w:t>
      </w:r>
      <w:r w:rsidRPr="00A05757">
        <w:rPr>
          <w:szCs w:val="24"/>
        </w:rPr>
        <w:t>superannuation</w:t>
      </w:r>
      <w:r w:rsidRPr="00A05757">
        <w:rPr>
          <w:szCs w:val="24"/>
          <w:lang w:val="en-US"/>
        </w:rPr>
        <w:t xml:space="preserve"> entitlements are not provided elsewhere.  </w:t>
      </w:r>
    </w:p>
    <w:p w14:paraId="5A3AC211" w14:textId="77777777" w:rsidR="00AC41AC" w:rsidRPr="0075183B" w:rsidRDefault="00AC41AC" w:rsidP="00AC41AC">
      <w:pPr>
        <w:numPr>
          <w:ilvl w:val="1"/>
          <w:numId w:val="27"/>
        </w:numPr>
        <w:tabs>
          <w:tab w:val="clear" w:pos="720"/>
          <w:tab w:val="num" w:pos="0"/>
        </w:tabs>
        <w:spacing w:before="80" w:after="60" w:line="240" w:lineRule="auto"/>
        <w:ind w:left="709" w:hanging="709"/>
      </w:pPr>
      <w:r>
        <w:t xml:space="preserve">An executive </w:t>
      </w:r>
      <w:r w:rsidRPr="0075183B">
        <w:t xml:space="preserve">who is a member of </w:t>
      </w:r>
      <w:r>
        <w:t>the Commonwealth Superannuation Scheme (</w:t>
      </w:r>
      <w:r w:rsidRPr="007B3690">
        <w:t>CSS</w:t>
      </w:r>
      <w:r>
        <w:t>)</w:t>
      </w:r>
      <w:r w:rsidRPr="007B3690">
        <w:t xml:space="preserve"> or </w:t>
      </w:r>
      <w:r>
        <w:t>Public Sector Superannuation (</w:t>
      </w:r>
      <w:r w:rsidRPr="007B3690">
        <w:t>PSS</w:t>
      </w:r>
      <w:r>
        <w:t>) Scheme:</w:t>
      </w:r>
    </w:p>
    <w:p w14:paraId="1B33FEAA" w14:textId="77777777" w:rsidR="00AC41AC" w:rsidRDefault="00AC41AC" w:rsidP="00AC41AC">
      <w:pPr>
        <w:numPr>
          <w:ilvl w:val="2"/>
          <w:numId w:val="27"/>
        </w:numPr>
        <w:tabs>
          <w:tab w:val="clear" w:pos="720"/>
        </w:tabs>
        <w:spacing w:after="60" w:line="240" w:lineRule="auto"/>
        <w:ind w:left="1134" w:hanging="436"/>
      </w:pPr>
      <w:r>
        <w:t>the person’s annual rate of remuneration for the purpose of the scheme is the base remuneration as provided in clause 2.1 of this Determination; and</w:t>
      </w:r>
    </w:p>
    <w:p w14:paraId="34BD763B" w14:textId="77777777" w:rsidR="00AC41AC" w:rsidRDefault="00AC41AC" w:rsidP="00AC41AC">
      <w:pPr>
        <w:numPr>
          <w:ilvl w:val="2"/>
          <w:numId w:val="27"/>
        </w:numPr>
        <w:tabs>
          <w:tab w:val="clear" w:pos="720"/>
        </w:tabs>
        <w:spacing w:after="60" w:line="240" w:lineRule="auto"/>
        <w:ind w:left="1134" w:hanging="436"/>
      </w:pPr>
      <w:proofErr w:type="gramStart"/>
      <w:r>
        <w:t>the</w:t>
      </w:r>
      <w:proofErr w:type="gramEnd"/>
      <w:r>
        <w:t xml:space="preserve"> value attributed to the employer’s superannuation contribution is taken to be a notional 16% of the person’s base remuneration.</w:t>
      </w:r>
    </w:p>
    <w:p w14:paraId="636D914B" w14:textId="77777777" w:rsidR="00AC41AC" w:rsidRDefault="00AC41AC" w:rsidP="00AC41AC">
      <w:pPr>
        <w:keepNext/>
        <w:keepLines/>
        <w:numPr>
          <w:ilvl w:val="1"/>
          <w:numId w:val="27"/>
        </w:numPr>
        <w:tabs>
          <w:tab w:val="clear" w:pos="720"/>
          <w:tab w:val="num" w:pos="0"/>
        </w:tabs>
        <w:spacing w:before="80" w:after="60" w:line="240" w:lineRule="auto"/>
        <w:ind w:left="709" w:hanging="709"/>
      </w:pPr>
      <w:r>
        <w:lastRenderedPageBreak/>
        <w:t xml:space="preserve">For </w:t>
      </w:r>
      <w:r w:rsidRPr="00BF6FC8">
        <w:t>a</w:t>
      </w:r>
      <w:r>
        <w:t>n executive who is not currently a member of the CSS or PSS but was a member of the PSS Accumulation Plan (</w:t>
      </w:r>
      <w:proofErr w:type="spellStart"/>
      <w:r>
        <w:t>PSSap</w:t>
      </w:r>
      <w:proofErr w:type="spellEnd"/>
      <w:r>
        <w:t>) until it closed to the Territory on 30 June 2006, and has maintained continuous employment with the Territory</w:t>
      </w:r>
      <w:r>
        <w:rPr>
          <w:rFonts w:eastAsia="Calibri"/>
          <w:szCs w:val="24"/>
        </w:rPr>
        <w:t>:</w:t>
      </w:r>
    </w:p>
    <w:p w14:paraId="7D6BDE9B" w14:textId="77777777" w:rsidR="00AC41AC" w:rsidRDefault="00AC41AC" w:rsidP="00AC41AC">
      <w:pPr>
        <w:numPr>
          <w:ilvl w:val="2"/>
          <w:numId w:val="27"/>
        </w:numPr>
        <w:tabs>
          <w:tab w:val="clear" w:pos="720"/>
        </w:tabs>
        <w:spacing w:after="60" w:line="240" w:lineRule="auto"/>
        <w:ind w:left="1134" w:hanging="436"/>
      </w:pPr>
      <w:r>
        <w:t>the value of the employer’s superannuation contribution is a notional 16% of the base remuneration as provided in clause 2.1 of this Determination; and</w:t>
      </w:r>
    </w:p>
    <w:p w14:paraId="2E47E3E2" w14:textId="77777777" w:rsidR="00AC41AC" w:rsidRDefault="00AC41AC" w:rsidP="00AC41AC">
      <w:pPr>
        <w:numPr>
          <w:ilvl w:val="2"/>
          <w:numId w:val="27"/>
        </w:numPr>
        <w:tabs>
          <w:tab w:val="clear" w:pos="720"/>
        </w:tabs>
        <w:spacing w:after="60" w:line="240" w:lineRule="auto"/>
        <w:ind w:left="1134" w:hanging="436"/>
      </w:pPr>
      <w:proofErr w:type="gramStart"/>
      <w:r>
        <w:t>the</w:t>
      </w:r>
      <w:proofErr w:type="gramEnd"/>
      <w:r>
        <w:t xml:space="preserve"> employer will contribute that amount to an agreed superannuation fund nominated by the executive.</w:t>
      </w:r>
    </w:p>
    <w:p w14:paraId="16FE2D72" w14:textId="77777777" w:rsidR="00AC41AC" w:rsidRDefault="00AC41AC" w:rsidP="00AC41AC">
      <w:pPr>
        <w:numPr>
          <w:ilvl w:val="1"/>
          <w:numId w:val="27"/>
        </w:numPr>
        <w:tabs>
          <w:tab w:val="clear" w:pos="720"/>
          <w:tab w:val="num" w:pos="0"/>
        </w:tabs>
        <w:spacing w:before="120" w:after="60" w:line="240" w:lineRule="auto"/>
        <w:ind w:left="709" w:hanging="709"/>
      </w:pPr>
      <w:r>
        <w:t xml:space="preserve">For an executive </w:t>
      </w:r>
      <w:r w:rsidRPr="00C03BCF">
        <w:t xml:space="preserve">who is a member of any other superannuation fund, the employer’s superannuation contribution is to be made at a rate no less than the Employer Superannuation Guarantee Charge Percentage as provided by the </w:t>
      </w:r>
      <w:r w:rsidRPr="00C03BCF">
        <w:rPr>
          <w:i/>
        </w:rPr>
        <w:t>Superannuation Guarantee (Administration) Act 1992</w:t>
      </w:r>
      <w:r w:rsidRPr="00C03BCF">
        <w:t>.</w:t>
      </w:r>
    </w:p>
    <w:p w14:paraId="302227CF" w14:textId="77777777" w:rsidR="00AC41AC" w:rsidRDefault="00AC41AC" w:rsidP="00AC41AC">
      <w:pPr>
        <w:numPr>
          <w:ilvl w:val="1"/>
          <w:numId w:val="27"/>
        </w:numPr>
        <w:tabs>
          <w:tab w:val="clear" w:pos="720"/>
          <w:tab w:val="num" w:pos="0"/>
        </w:tabs>
        <w:spacing w:before="120" w:after="60" w:line="240" w:lineRule="auto"/>
        <w:ind w:left="709" w:hanging="709"/>
      </w:pPr>
      <w:r w:rsidRPr="00C03BCF">
        <w:t>For 2016-17 onwards, the Territory’s enhanced minimum employer superannuation contribution is 10.5%</w:t>
      </w:r>
      <w:r>
        <w:t>, as amended from time to time</w:t>
      </w:r>
      <w:r w:rsidRPr="00C03BCF">
        <w:t>.</w:t>
      </w:r>
    </w:p>
    <w:p w14:paraId="295E0F49" w14:textId="77777777" w:rsidR="00AC41AC" w:rsidRDefault="00AC41AC" w:rsidP="00AC41AC">
      <w:pPr>
        <w:numPr>
          <w:ilvl w:val="1"/>
          <w:numId w:val="27"/>
        </w:numPr>
        <w:tabs>
          <w:tab w:val="clear" w:pos="720"/>
          <w:tab w:val="num" w:pos="0"/>
        </w:tabs>
        <w:spacing w:before="120" w:after="60" w:line="240" w:lineRule="auto"/>
        <w:ind w:left="709" w:hanging="709"/>
      </w:pPr>
      <w:r>
        <w:t xml:space="preserve">Section 53 of the </w:t>
      </w:r>
      <w:r w:rsidRPr="005C3EF4">
        <w:rPr>
          <w:i/>
        </w:rPr>
        <w:t>Public Sector Management Standards 20</w:t>
      </w:r>
      <w:r>
        <w:rPr>
          <w:i/>
        </w:rPr>
        <w:t>16</w:t>
      </w:r>
      <w:r>
        <w:t>, or this section’s replacement, applies to persons who are not current CSS or PSS members or appointed to or engaged by the Territory before 30 June 2006 and maintained continuous employment with the Territory.</w:t>
      </w:r>
    </w:p>
    <w:p w14:paraId="187D2A41" w14:textId="77777777" w:rsidR="00AC41AC" w:rsidRDefault="00AC41AC" w:rsidP="00AC41AC">
      <w:pPr>
        <w:numPr>
          <w:ilvl w:val="1"/>
          <w:numId w:val="27"/>
        </w:numPr>
        <w:tabs>
          <w:tab w:val="clear" w:pos="720"/>
          <w:tab w:val="num" w:pos="0"/>
        </w:tabs>
        <w:spacing w:before="80" w:after="60" w:line="240" w:lineRule="auto"/>
        <w:ind w:left="709" w:hanging="709"/>
      </w:pPr>
      <w:r>
        <w:t>The</w:t>
      </w:r>
      <w:r>
        <w:rPr>
          <w:lang w:val="en-US"/>
        </w:rPr>
        <w:t xml:space="preserve"> </w:t>
      </w:r>
      <w:r>
        <w:t xml:space="preserve">value of the employer’s superannuation contribution must not be paid in cash to </w:t>
      </w:r>
      <w:r w:rsidRPr="00BF6FC8">
        <w:t>a</w:t>
      </w:r>
      <w:r>
        <w:t>n executive.</w:t>
      </w:r>
    </w:p>
    <w:p w14:paraId="14CAC513" w14:textId="77777777" w:rsidR="00AC41AC" w:rsidRDefault="00AC41AC" w:rsidP="00AC41AC">
      <w:pPr>
        <w:pStyle w:val="Heading2"/>
        <w:spacing w:before="120"/>
        <w:ind w:left="709"/>
      </w:pPr>
      <w:r>
        <w:t>Fringe benefit tax</w:t>
      </w:r>
    </w:p>
    <w:p w14:paraId="41F72BFD" w14:textId="77777777" w:rsidR="00AC41AC" w:rsidRPr="00BF6FC8" w:rsidRDefault="00AC41AC" w:rsidP="00AC41AC">
      <w:pPr>
        <w:numPr>
          <w:ilvl w:val="1"/>
          <w:numId w:val="27"/>
        </w:numPr>
        <w:tabs>
          <w:tab w:val="clear" w:pos="720"/>
          <w:tab w:val="num" w:pos="0"/>
        </w:tabs>
        <w:spacing w:before="80" w:after="60" w:line="240" w:lineRule="auto"/>
        <w:ind w:left="709" w:hanging="709"/>
      </w:pPr>
      <w:r w:rsidRPr="00BF6FC8">
        <w:t xml:space="preserve">The fringe benefits tax payable </w:t>
      </w:r>
      <w:r>
        <w:t>by the employer to the Australian Taxation Office is</w:t>
      </w:r>
      <w:r w:rsidRPr="00BF6FC8">
        <w:t xml:space="preserve"> the amount remaining after the employer’s liability for </w:t>
      </w:r>
      <w:r>
        <w:t>f</w:t>
      </w:r>
      <w:r w:rsidRPr="00BF6FC8">
        <w:t xml:space="preserve">ringe </w:t>
      </w:r>
      <w:r>
        <w:t>b</w:t>
      </w:r>
      <w:r w:rsidRPr="00BF6FC8">
        <w:t xml:space="preserve">enefits </w:t>
      </w:r>
      <w:r>
        <w:t>t</w:t>
      </w:r>
      <w:r w:rsidRPr="00BF6FC8">
        <w:t xml:space="preserve">ax is calculated, as required under the </w:t>
      </w:r>
      <w:r w:rsidRPr="00BF6FC8">
        <w:rPr>
          <w:i/>
        </w:rPr>
        <w:t>Fringe Benefits Tax Assessment Act 1986</w:t>
      </w:r>
      <w:r w:rsidRPr="00BF6FC8">
        <w:t>.</w:t>
      </w:r>
    </w:p>
    <w:p w14:paraId="425F6AB1" w14:textId="77777777" w:rsidR="00AC41AC" w:rsidRPr="00BF6FC8" w:rsidRDefault="00AC41AC" w:rsidP="00AC41AC">
      <w:pPr>
        <w:numPr>
          <w:ilvl w:val="1"/>
          <w:numId w:val="27"/>
        </w:numPr>
        <w:tabs>
          <w:tab w:val="clear" w:pos="720"/>
          <w:tab w:val="num" w:pos="0"/>
        </w:tabs>
        <w:spacing w:before="80" w:after="60" w:line="240" w:lineRule="auto"/>
        <w:ind w:left="709" w:hanging="709"/>
      </w:pPr>
      <w:r>
        <w:t>T</w:t>
      </w:r>
      <w:r w:rsidRPr="00BF6FC8">
        <w:t xml:space="preserve">he </w:t>
      </w:r>
      <w:r>
        <w:t xml:space="preserve">executive </w:t>
      </w:r>
      <w:r w:rsidRPr="00BF6FC8">
        <w:t>vehicle and employer</w:t>
      </w:r>
      <w:r>
        <w:t>’s</w:t>
      </w:r>
      <w:r w:rsidRPr="00BF6FC8">
        <w:t xml:space="preserve"> superannuation </w:t>
      </w:r>
      <w:r>
        <w:t>contribution</w:t>
      </w:r>
      <w:r w:rsidRPr="00BF6FC8">
        <w:t xml:space="preserve"> </w:t>
      </w:r>
      <w:r>
        <w:t>set out</w:t>
      </w:r>
      <w:r w:rsidRPr="00BF6FC8">
        <w:t xml:space="preserve"> in the </w:t>
      </w:r>
      <w:r w:rsidRPr="004E19C0">
        <w:rPr>
          <w:i/>
        </w:rPr>
        <w:t>Public Sector Management Standards 20</w:t>
      </w:r>
      <w:r>
        <w:rPr>
          <w:i/>
        </w:rPr>
        <w:t>1</w:t>
      </w:r>
      <w:r w:rsidRPr="004E19C0">
        <w:rPr>
          <w:i/>
        </w:rPr>
        <w:t>6</w:t>
      </w:r>
      <w:r>
        <w:t xml:space="preserve"> are </w:t>
      </w:r>
      <w:r w:rsidRPr="00BF6FC8">
        <w:t xml:space="preserve">considered for calculating </w:t>
      </w:r>
      <w:r>
        <w:t>f</w:t>
      </w:r>
      <w:r w:rsidRPr="00BF6FC8">
        <w:t xml:space="preserve">ringe </w:t>
      </w:r>
      <w:r>
        <w:t>b</w:t>
      </w:r>
      <w:r w:rsidRPr="00BF6FC8">
        <w:t xml:space="preserve">enefits </w:t>
      </w:r>
      <w:r>
        <w:t>t</w:t>
      </w:r>
      <w:r w:rsidRPr="00BF6FC8">
        <w:t>ax.</w:t>
      </w:r>
    </w:p>
    <w:p w14:paraId="618CE3B6" w14:textId="77777777" w:rsidR="00AC41AC" w:rsidRDefault="00AC41AC" w:rsidP="00AC41AC">
      <w:pPr>
        <w:numPr>
          <w:ilvl w:val="1"/>
          <w:numId w:val="27"/>
        </w:numPr>
        <w:spacing w:before="80" w:after="60" w:line="240" w:lineRule="auto"/>
      </w:pPr>
      <w:r>
        <w:t xml:space="preserve">A provisional amount of </w:t>
      </w:r>
      <w:r w:rsidRPr="00BF6FC8">
        <w:t xml:space="preserve">$7,000 </w:t>
      </w:r>
      <w:r w:rsidRPr="00831BB0">
        <w:t xml:space="preserve">is available to cover the cost of any fringe benefit tax for a vehicle or parking space. If the liability for fringe benefits tax is less than $7,000, the excess is payable to the </w:t>
      </w:r>
      <w:r>
        <w:t>executive</w:t>
      </w:r>
      <w:r w:rsidRPr="00831BB0">
        <w:t xml:space="preserve">. If the liability for fringe benefits tax exceeds $7,000, the </w:t>
      </w:r>
      <w:r>
        <w:t>executive</w:t>
      </w:r>
      <w:r w:rsidRPr="00831BB0">
        <w:t xml:space="preserve"> will not be required to pay the excess to the employer. Any unused fringe benefit tax allowance paid to </w:t>
      </w:r>
      <w:r>
        <w:t>an executive</w:t>
      </w:r>
      <w:r w:rsidRPr="00831BB0">
        <w:t xml:space="preserve"> will be subject to tax, if paid as remuneration.</w:t>
      </w:r>
    </w:p>
    <w:p w14:paraId="7508AE08" w14:textId="77777777" w:rsidR="00AC41AC" w:rsidRPr="00BF6FC8" w:rsidRDefault="00AC41AC" w:rsidP="00AC41AC">
      <w:pPr>
        <w:numPr>
          <w:ilvl w:val="1"/>
          <w:numId w:val="27"/>
        </w:numPr>
        <w:tabs>
          <w:tab w:val="clear" w:pos="720"/>
          <w:tab w:val="num" w:pos="0"/>
        </w:tabs>
        <w:spacing w:before="80" w:after="60" w:line="240" w:lineRule="auto"/>
        <w:ind w:left="709" w:hanging="709"/>
      </w:pPr>
      <w:r>
        <w:t>The provisional amount of $7,000 in f</w:t>
      </w:r>
      <w:r w:rsidRPr="00BF6FC8">
        <w:t xml:space="preserve">ringe benefits tax </w:t>
      </w:r>
      <w:r>
        <w:t xml:space="preserve">is </w:t>
      </w:r>
      <w:r w:rsidRPr="00BF6FC8">
        <w:t xml:space="preserve">reduced proportionally </w:t>
      </w:r>
      <w:r>
        <w:t>if</w:t>
      </w:r>
      <w:r w:rsidRPr="00BF6FC8">
        <w:t xml:space="preserve"> the </w:t>
      </w:r>
      <w:r>
        <w:t>executive</w:t>
      </w:r>
      <w:r w:rsidRPr="00BF6FC8">
        <w:t xml:space="preserve"> </w:t>
      </w:r>
      <w:r>
        <w:t xml:space="preserve">is engaged for less than </w:t>
      </w:r>
      <w:r w:rsidRPr="00BF6FC8">
        <w:t xml:space="preserve">a </w:t>
      </w:r>
      <w:r>
        <w:t>fringe benefit</w:t>
      </w:r>
      <w:r w:rsidRPr="00BF6FC8">
        <w:t xml:space="preserve"> year.</w:t>
      </w:r>
    </w:p>
    <w:p w14:paraId="69095ED7" w14:textId="77777777" w:rsidR="00AC41AC" w:rsidRDefault="00AC41AC" w:rsidP="00AC41AC">
      <w:pPr>
        <w:pStyle w:val="Heading3"/>
        <w:numPr>
          <w:ilvl w:val="0"/>
          <w:numId w:val="27"/>
        </w:numPr>
        <w:tabs>
          <w:tab w:val="clear" w:pos="720"/>
        </w:tabs>
        <w:ind w:left="709"/>
      </w:pPr>
      <w:r w:rsidRPr="00313D79">
        <w:t>Relocation</w:t>
      </w:r>
      <w:r w:rsidRPr="00E320F8">
        <w:t xml:space="preserve"> </w:t>
      </w:r>
      <w:r>
        <w:t>a</w:t>
      </w:r>
      <w:r w:rsidRPr="00E320F8">
        <w:t>llowance</w:t>
      </w:r>
    </w:p>
    <w:p w14:paraId="27885AB7" w14:textId="77777777" w:rsidR="00AC41AC" w:rsidRDefault="00AC41AC" w:rsidP="00AC41AC">
      <w:pPr>
        <w:keepNext/>
        <w:keepLines/>
        <w:numPr>
          <w:ilvl w:val="1"/>
          <w:numId w:val="27"/>
        </w:numPr>
        <w:tabs>
          <w:tab w:val="clear" w:pos="720"/>
          <w:tab w:val="num" w:pos="0"/>
        </w:tabs>
        <w:spacing w:before="80" w:after="60" w:line="240" w:lineRule="auto"/>
        <w:ind w:left="709" w:hanging="709"/>
      </w:pPr>
      <w:r>
        <w:t>In this clause:</w:t>
      </w:r>
    </w:p>
    <w:p w14:paraId="350CD494" w14:textId="77777777" w:rsidR="00AC41AC" w:rsidRPr="002824CD" w:rsidRDefault="00AC41AC" w:rsidP="00AC41AC">
      <w:pPr>
        <w:keepNext/>
        <w:keepLines/>
        <w:spacing w:before="80"/>
        <w:ind w:left="709"/>
        <w:jc w:val="both"/>
      </w:pPr>
      <w:r w:rsidRPr="002824CD">
        <w:rPr>
          <w:b/>
          <w:i/>
        </w:rPr>
        <w:t>ACT</w:t>
      </w:r>
      <w:r w:rsidRPr="002824CD">
        <w:t xml:space="preserve"> includes the surrounding district, including </w:t>
      </w:r>
      <w:proofErr w:type="spellStart"/>
      <w:r w:rsidRPr="002824CD">
        <w:t>Queanbeyan</w:t>
      </w:r>
      <w:proofErr w:type="spellEnd"/>
      <w:r w:rsidRPr="002824CD">
        <w:t>.</w:t>
      </w:r>
    </w:p>
    <w:p w14:paraId="48441126" w14:textId="77777777" w:rsidR="00AC41AC" w:rsidRPr="002824CD" w:rsidRDefault="00AC41AC" w:rsidP="00AC41AC">
      <w:pPr>
        <w:keepNext/>
        <w:keepLines/>
        <w:spacing w:before="80" w:after="60"/>
        <w:ind w:left="709"/>
        <w:jc w:val="both"/>
      </w:pPr>
      <w:proofErr w:type="gramStart"/>
      <w:r w:rsidRPr="002824CD">
        <w:rPr>
          <w:b/>
          <w:i/>
        </w:rPr>
        <w:t>relocation</w:t>
      </w:r>
      <w:proofErr w:type="gramEnd"/>
      <w:r w:rsidRPr="00335707">
        <w:t xml:space="preserve"> means </w:t>
      </w:r>
      <w:r w:rsidRPr="002824CD">
        <w:t>from a residence outside the ACT to a residence in the ACT.</w:t>
      </w:r>
    </w:p>
    <w:p w14:paraId="7652C168" w14:textId="77777777" w:rsidR="00AC41AC" w:rsidRDefault="00AC41AC" w:rsidP="00AC41AC">
      <w:pPr>
        <w:numPr>
          <w:ilvl w:val="1"/>
          <w:numId w:val="27"/>
        </w:numPr>
        <w:tabs>
          <w:tab w:val="clear" w:pos="720"/>
          <w:tab w:val="num" w:pos="0"/>
        </w:tabs>
        <w:spacing w:before="80" w:after="60" w:line="240" w:lineRule="auto"/>
        <w:ind w:left="709" w:hanging="709"/>
      </w:pPr>
      <w:r>
        <w:t>R</w:t>
      </w:r>
      <w:r w:rsidRPr="00423475">
        <w:t xml:space="preserve">elocation allowance is provided to assist an individual </w:t>
      </w:r>
      <w:r>
        <w:t>with relocation</w:t>
      </w:r>
      <w:r w:rsidRPr="00423475">
        <w:t xml:space="preserve">.  </w:t>
      </w:r>
    </w:p>
    <w:p w14:paraId="5FD2B47B" w14:textId="77777777" w:rsidR="00AC41AC" w:rsidRPr="00423475" w:rsidRDefault="00AC41AC" w:rsidP="00AC41AC">
      <w:pPr>
        <w:numPr>
          <w:ilvl w:val="1"/>
          <w:numId w:val="27"/>
        </w:numPr>
        <w:tabs>
          <w:tab w:val="clear" w:pos="720"/>
          <w:tab w:val="num" w:pos="0"/>
        </w:tabs>
        <w:spacing w:before="80" w:after="60" w:line="240" w:lineRule="auto"/>
        <w:ind w:left="709" w:hanging="709"/>
      </w:pPr>
      <w:r>
        <w:t>R</w:t>
      </w:r>
      <w:r w:rsidRPr="00423475">
        <w:t xml:space="preserve">elocation allowance </w:t>
      </w:r>
      <w:r>
        <w:t>will not</w:t>
      </w:r>
      <w:r w:rsidRPr="00423475">
        <w:t xml:space="preserve"> cover </w:t>
      </w:r>
      <w:r>
        <w:t xml:space="preserve">the total cost of relocation </w:t>
      </w:r>
      <w:r w:rsidRPr="00423475">
        <w:t>in all circumstances.</w:t>
      </w:r>
    </w:p>
    <w:p w14:paraId="3162BCB5" w14:textId="77777777" w:rsidR="00AC41AC" w:rsidRDefault="00AC41AC" w:rsidP="00AC41AC">
      <w:pPr>
        <w:numPr>
          <w:ilvl w:val="1"/>
          <w:numId w:val="27"/>
        </w:numPr>
        <w:tabs>
          <w:tab w:val="clear" w:pos="720"/>
          <w:tab w:val="num" w:pos="0"/>
        </w:tabs>
        <w:spacing w:before="80" w:after="60" w:line="240" w:lineRule="auto"/>
        <w:ind w:left="709" w:hanging="709"/>
      </w:pPr>
      <w:r w:rsidRPr="00BF6FC8">
        <w:t>T</w:t>
      </w:r>
      <w:r>
        <w:t xml:space="preserve">he </w:t>
      </w:r>
      <w:r w:rsidRPr="00BF6FC8">
        <w:t xml:space="preserve">maximum </w:t>
      </w:r>
      <w:r>
        <w:t>relocation allowance</w:t>
      </w:r>
      <w:r w:rsidRPr="00BF6FC8">
        <w:t xml:space="preserve"> </w:t>
      </w:r>
      <w:r>
        <w:t>is</w:t>
      </w:r>
      <w:r w:rsidRPr="0075183B">
        <w:t xml:space="preserve"> $</w:t>
      </w:r>
      <w:r>
        <w:t>51,533.</w:t>
      </w:r>
    </w:p>
    <w:p w14:paraId="33EE466B" w14:textId="77777777" w:rsidR="00AC41AC" w:rsidRPr="00BF6FC8" w:rsidRDefault="00AC41AC" w:rsidP="00AC41AC">
      <w:pPr>
        <w:numPr>
          <w:ilvl w:val="1"/>
          <w:numId w:val="27"/>
        </w:numPr>
        <w:tabs>
          <w:tab w:val="clear" w:pos="720"/>
          <w:tab w:val="num" w:pos="0"/>
        </w:tabs>
        <w:spacing w:before="80" w:after="60" w:line="240" w:lineRule="auto"/>
        <w:ind w:left="709" w:hanging="709"/>
      </w:pPr>
      <w:r>
        <w:t>If</w:t>
      </w:r>
      <w:r w:rsidRPr="00423475">
        <w:t xml:space="preserve"> a </w:t>
      </w:r>
      <w:r>
        <w:t xml:space="preserve">person </w:t>
      </w:r>
      <w:r w:rsidRPr="00423475">
        <w:t>relocate</w:t>
      </w:r>
      <w:r>
        <w:t>s</w:t>
      </w:r>
      <w:r w:rsidRPr="00423475">
        <w:t xml:space="preserve"> </w:t>
      </w:r>
      <w:r>
        <w:t>because of an engagement as an executive</w:t>
      </w:r>
      <w:r w:rsidRPr="00423475">
        <w:t xml:space="preserve">, </w:t>
      </w:r>
      <w:r>
        <w:t xml:space="preserve">the person is </w:t>
      </w:r>
      <w:r w:rsidRPr="00423475">
        <w:t xml:space="preserve">entitled to be reimbursed </w:t>
      </w:r>
      <w:r>
        <w:t xml:space="preserve">up to the </w:t>
      </w:r>
      <w:r w:rsidRPr="00BF6FC8">
        <w:t xml:space="preserve">maximum </w:t>
      </w:r>
      <w:r>
        <w:t xml:space="preserve">relocation allowance, for receipted, </w:t>
      </w:r>
      <w:r w:rsidRPr="0080450B">
        <w:t>reasonable</w:t>
      </w:r>
      <w:r>
        <w:t xml:space="preserve"> costs of the following:</w:t>
      </w:r>
    </w:p>
    <w:p w14:paraId="57104878" w14:textId="77777777" w:rsidR="00AC41AC" w:rsidRPr="00E10B29" w:rsidRDefault="00AC41AC" w:rsidP="00AC41AC">
      <w:pPr>
        <w:numPr>
          <w:ilvl w:val="2"/>
          <w:numId w:val="27"/>
        </w:numPr>
        <w:tabs>
          <w:tab w:val="clear" w:pos="720"/>
        </w:tabs>
        <w:spacing w:after="60" w:line="240" w:lineRule="auto"/>
        <w:ind w:left="1134" w:hanging="436"/>
      </w:pPr>
      <w:r>
        <w:t>p</w:t>
      </w:r>
      <w:r w:rsidRPr="00E10B29">
        <w:t xml:space="preserve">acking personal effects and furniture belonging to the </w:t>
      </w:r>
      <w:r>
        <w:t>person</w:t>
      </w:r>
      <w:r w:rsidRPr="00E10B29">
        <w:t xml:space="preserve"> and </w:t>
      </w:r>
      <w:r>
        <w:t>their family</w:t>
      </w:r>
      <w:r w:rsidRPr="00E10B29">
        <w:t>;</w:t>
      </w:r>
    </w:p>
    <w:p w14:paraId="26B8F604" w14:textId="77777777" w:rsidR="00AC41AC" w:rsidRPr="00BF6FC8" w:rsidRDefault="00AC41AC" w:rsidP="00AC41AC">
      <w:pPr>
        <w:numPr>
          <w:ilvl w:val="2"/>
          <w:numId w:val="27"/>
        </w:numPr>
        <w:tabs>
          <w:tab w:val="clear" w:pos="720"/>
        </w:tabs>
        <w:spacing w:after="60" w:line="240" w:lineRule="auto"/>
        <w:ind w:left="1134" w:hanging="436"/>
      </w:pPr>
      <w:r w:rsidRPr="00BF6FC8">
        <w:lastRenderedPageBreak/>
        <w:t>necessary storage of personal effects and furniture;</w:t>
      </w:r>
    </w:p>
    <w:p w14:paraId="20C2C9CD" w14:textId="77777777" w:rsidR="00AC41AC" w:rsidRPr="00BF6FC8" w:rsidRDefault="00AC41AC" w:rsidP="00AC41AC">
      <w:pPr>
        <w:numPr>
          <w:ilvl w:val="2"/>
          <w:numId w:val="27"/>
        </w:numPr>
        <w:tabs>
          <w:tab w:val="clear" w:pos="720"/>
        </w:tabs>
        <w:spacing w:after="60" w:line="240" w:lineRule="auto"/>
        <w:ind w:left="1134" w:hanging="436"/>
      </w:pPr>
      <w:r w:rsidRPr="00BF6FC8">
        <w:t>removal costs and associated insurance of personal effects and furniture;</w:t>
      </w:r>
    </w:p>
    <w:p w14:paraId="6BC488D9" w14:textId="77777777" w:rsidR="00AC41AC" w:rsidRPr="00BF6FC8" w:rsidRDefault="00AC41AC" w:rsidP="00AC41AC">
      <w:pPr>
        <w:numPr>
          <w:ilvl w:val="2"/>
          <w:numId w:val="27"/>
        </w:numPr>
        <w:tabs>
          <w:tab w:val="clear" w:pos="720"/>
        </w:tabs>
        <w:spacing w:after="60" w:line="240" w:lineRule="auto"/>
        <w:ind w:left="1134" w:hanging="436"/>
      </w:pPr>
      <w:r w:rsidRPr="00BF6FC8">
        <w:t>unpacking of personal effects and furniture;</w:t>
      </w:r>
    </w:p>
    <w:p w14:paraId="6DC2E2B1" w14:textId="77777777" w:rsidR="00AC41AC" w:rsidRPr="00BF6FC8" w:rsidRDefault="00AC41AC" w:rsidP="00AC41AC">
      <w:pPr>
        <w:numPr>
          <w:ilvl w:val="2"/>
          <w:numId w:val="27"/>
        </w:numPr>
        <w:tabs>
          <w:tab w:val="clear" w:pos="720"/>
        </w:tabs>
        <w:spacing w:after="60" w:line="240" w:lineRule="auto"/>
        <w:ind w:left="1134" w:hanging="436"/>
      </w:pPr>
      <w:r w:rsidRPr="00BF6FC8">
        <w:t>costs of travel, accommodation and meals between the former location and the ACT;</w:t>
      </w:r>
    </w:p>
    <w:p w14:paraId="687F95DC" w14:textId="77777777" w:rsidR="00AC41AC" w:rsidRPr="00BF6FC8" w:rsidRDefault="00AC41AC" w:rsidP="00AC41AC">
      <w:pPr>
        <w:numPr>
          <w:ilvl w:val="2"/>
          <w:numId w:val="27"/>
        </w:numPr>
        <w:tabs>
          <w:tab w:val="clear" w:pos="720"/>
        </w:tabs>
        <w:spacing w:after="60" w:line="240" w:lineRule="auto"/>
        <w:ind w:left="1134" w:hanging="436"/>
      </w:pPr>
      <w:r w:rsidRPr="00BF6FC8">
        <w:t xml:space="preserve">temporary accommodation costs at the former location and in the ACT </w:t>
      </w:r>
      <w:r>
        <w:t xml:space="preserve">up </w:t>
      </w:r>
      <w:r w:rsidRPr="00BF6FC8">
        <w:t xml:space="preserve">to a maximum </w:t>
      </w:r>
      <w:r>
        <w:t xml:space="preserve">aggregate </w:t>
      </w:r>
      <w:r w:rsidRPr="00BF6FC8">
        <w:t>period of six months, or, in exceptional circumstances, nine months with the approval of the ACT Remuneration Tribunal</w:t>
      </w:r>
      <w:r>
        <w:t xml:space="preserve"> (Tribunal)</w:t>
      </w:r>
      <w:r w:rsidRPr="00BF6FC8">
        <w:t>;</w:t>
      </w:r>
    </w:p>
    <w:p w14:paraId="01A518FA" w14:textId="77777777" w:rsidR="00AC41AC" w:rsidRPr="00BF6FC8" w:rsidRDefault="00AC41AC" w:rsidP="00AC41AC">
      <w:pPr>
        <w:numPr>
          <w:ilvl w:val="2"/>
          <w:numId w:val="27"/>
        </w:numPr>
        <w:tabs>
          <w:tab w:val="clear" w:pos="720"/>
        </w:tabs>
        <w:spacing w:after="60" w:line="240" w:lineRule="auto"/>
        <w:ind w:left="1134" w:hanging="436"/>
      </w:pPr>
      <w:r w:rsidRPr="00BF6FC8">
        <w:t>costs of disconnection and reconnection of utilities;</w:t>
      </w:r>
    </w:p>
    <w:p w14:paraId="35BBF28E" w14:textId="77777777" w:rsidR="00AC41AC" w:rsidRPr="00BF6FC8" w:rsidRDefault="00AC41AC" w:rsidP="00AC41AC">
      <w:pPr>
        <w:numPr>
          <w:ilvl w:val="2"/>
          <w:numId w:val="27"/>
        </w:numPr>
        <w:tabs>
          <w:tab w:val="clear" w:pos="720"/>
        </w:tabs>
        <w:spacing w:after="60" w:line="240" w:lineRule="auto"/>
        <w:ind w:left="1134" w:hanging="436"/>
      </w:pPr>
      <w:r w:rsidRPr="00BF6FC8">
        <w:t xml:space="preserve">cost of stamp duty and legal and professional services associated with the sale of the residence at the former location and/or the purchase of a residence or lease on a block of land in the ACT; </w:t>
      </w:r>
    </w:p>
    <w:p w14:paraId="06551339" w14:textId="77777777" w:rsidR="00AC41AC" w:rsidRPr="00E10B29" w:rsidRDefault="00AC41AC" w:rsidP="00AC41AC">
      <w:pPr>
        <w:numPr>
          <w:ilvl w:val="2"/>
          <w:numId w:val="27"/>
        </w:numPr>
        <w:tabs>
          <w:tab w:val="clear" w:pos="720"/>
        </w:tabs>
        <w:spacing w:after="60" w:line="240" w:lineRule="auto"/>
        <w:ind w:left="1134" w:hanging="436"/>
      </w:pPr>
      <w:proofErr w:type="gramStart"/>
      <w:r>
        <w:t>s</w:t>
      </w:r>
      <w:r w:rsidRPr="00E10B29">
        <w:t>ubject</w:t>
      </w:r>
      <w:proofErr w:type="gramEnd"/>
      <w:r w:rsidRPr="00E10B29">
        <w:t xml:space="preserve"> to the </w:t>
      </w:r>
      <w:r>
        <w:t xml:space="preserve">specific </w:t>
      </w:r>
      <w:r w:rsidRPr="00E10B29">
        <w:t>approval of the Tribunal, any other reasonable expenses necessarily incurred in relocating to the ACT.</w:t>
      </w:r>
    </w:p>
    <w:p w14:paraId="08CF244A" w14:textId="77777777" w:rsidR="00AC41AC" w:rsidRDefault="00AC41AC" w:rsidP="00AC41AC">
      <w:pPr>
        <w:numPr>
          <w:ilvl w:val="1"/>
          <w:numId w:val="27"/>
        </w:numPr>
        <w:tabs>
          <w:tab w:val="clear" w:pos="720"/>
          <w:tab w:val="num" w:pos="0"/>
        </w:tabs>
        <w:spacing w:before="80" w:after="60" w:line="240" w:lineRule="auto"/>
        <w:ind w:left="709" w:hanging="709"/>
      </w:pPr>
      <w:r w:rsidRPr="00BF6FC8">
        <w:t>T</w:t>
      </w:r>
      <w:r>
        <w:t xml:space="preserve">he </w:t>
      </w:r>
      <w:r w:rsidRPr="00BF6FC8">
        <w:t xml:space="preserve">maximum </w:t>
      </w:r>
      <w:r>
        <w:t xml:space="preserve">relocation allowance may be exceeded if </w:t>
      </w:r>
      <w:r w:rsidRPr="00BF6FC8">
        <w:t>the Tribunal agrees</w:t>
      </w:r>
      <w:r w:rsidRPr="00335707">
        <w:rPr>
          <w:rFonts w:eastAsia="Calibri"/>
          <w:szCs w:val="24"/>
        </w:rPr>
        <w:t>—</w:t>
      </w:r>
    </w:p>
    <w:p w14:paraId="0DAFCF4D" w14:textId="77777777" w:rsidR="00AC41AC" w:rsidRDefault="00AC41AC" w:rsidP="00AC41AC">
      <w:pPr>
        <w:numPr>
          <w:ilvl w:val="2"/>
          <w:numId w:val="27"/>
        </w:numPr>
        <w:tabs>
          <w:tab w:val="clear" w:pos="720"/>
        </w:tabs>
        <w:spacing w:after="60" w:line="240" w:lineRule="auto"/>
        <w:ind w:left="1134" w:hanging="436"/>
      </w:pPr>
      <w:r w:rsidRPr="00BF6FC8">
        <w:t xml:space="preserve">there are </w:t>
      </w:r>
      <w:r w:rsidRPr="00E10B29">
        <w:t xml:space="preserve">unusual or exceptional </w:t>
      </w:r>
      <w:r w:rsidRPr="00BF6FC8">
        <w:t>circumstances</w:t>
      </w:r>
      <w:r>
        <w:t>; and</w:t>
      </w:r>
    </w:p>
    <w:p w14:paraId="2CB07B17" w14:textId="77777777" w:rsidR="00AC41AC" w:rsidRPr="00BF6FC8" w:rsidRDefault="00AC41AC" w:rsidP="00AC41AC">
      <w:pPr>
        <w:numPr>
          <w:ilvl w:val="2"/>
          <w:numId w:val="27"/>
        </w:numPr>
        <w:tabs>
          <w:tab w:val="clear" w:pos="720"/>
        </w:tabs>
        <w:spacing w:after="60" w:line="240" w:lineRule="auto"/>
        <w:ind w:left="1134" w:hanging="436"/>
      </w:pPr>
      <w:proofErr w:type="gramStart"/>
      <w:r>
        <w:t>the</w:t>
      </w:r>
      <w:proofErr w:type="gramEnd"/>
      <w:r>
        <w:t xml:space="preserve"> </w:t>
      </w:r>
      <w:r w:rsidRPr="00E10B29">
        <w:t xml:space="preserve">unusual or exceptional </w:t>
      </w:r>
      <w:r w:rsidRPr="00BF6FC8">
        <w:t xml:space="preserve">circumstances </w:t>
      </w:r>
      <w:r>
        <w:t>were</w:t>
      </w:r>
      <w:r w:rsidRPr="00BF6FC8">
        <w:t xml:space="preserve"> unforeseen or unable to be dealt with without exceeding the maximum relocation allowance.</w:t>
      </w:r>
    </w:p>
    <w:p w14:paraId="096EEB17" w14:textId="77777777" w:rsidR="00AC41AC" w:rsidRPr="00E10B29" w:rsidRDefault="00AC41AC" w:rsidP="00AC41AC">
      <w:pPr>
        <w:numPr>
          <w:ilvl w:val="1"/>
          <w:numId w:val="27"/>
        </w:numPr>
        <w:tabs>
          <w:tab w:val="clear" w:pos="720"/>
          <w:tab w:val="num" w:pos="0"/>
        </w:tabs>
        <w:spacing w:before="80" w:after="60" w:line="240" w:lineRule="auto"/>
        <w:ind w:left="709" w:hanging="709"/>
      </w:pPr>
      <w:r>
        <w:t>If</w:t>
      </w:r>
      <w:r w:rsidRPr="00E10B29">
        <w:t xml:space="preserve"> </w:t>
      </w:r>
      <w:r>
        <w:t>an executive</w:t>
      </w:r>
      <w:r w:rsidRPr="00E10B29">
        <w:t xml:space="preserve"> </w:t>
      </w:r>
      <w:r>
        <w:t>thinks</w:t>
      </w:r>
      <w:r w:rsidRPr="00E10B29">
        <w:t xml:space="preserve"> that unusual and exceptional circumstances exist, they may </w:t>
      </w:r>
      <w:r>
        <w:t>ask</w:t>
      </w:r>
      <w:r w:rsidRPr="00E10B29">
        <w:t xml:space="preserve"> the Tribunal </w:t>
      </w:r>
      <w:r>
        <w:t xml:space="preserve">to </w:t>
      </w:r>
      <w:r w:rsidRPr="00E10B29">
        <w:t xml:space="preserve">consider the matter and determine whether the maximum </w:t>
      </w:r>
      <w:r>
        <w:t xml:space="preserve">relocation </w:t>
      </w:r>
      <w:r w:rsidRPr="00E10B29">
        <w:t xml:space="preserve">allowance can be exceeded.  </w:t>
      </w:r>
      <w:r>
        <w:t>A request must be in writing and must include</w:t>
      </w:r>
      <w:r w:rsidRPr="00335707">
        <w:rPr>
          <w:rFonts w:eastAsia="Calibri"/>
          <w:szCs w:val="24"/>
        </w:rPr>
        <w:t>—</w:t>
      </w:r>
    </w:p>
    <w:p w14:paraId="7F3D7AA3" w14:textId="77777777" w:rsidR="00AC41AC" w:rsidRPr="001F472A" w:rsidRDefault="00AC41AC" w:rsidP="00AC41AC">
      <w:pPr>
        <w:numPr>
          <w:ilvl w:val="2"/>
          <w:numId w:val="27"/>
        </w:numPr>
        <w:tabs>
          <w:tab w:val="clear" w:pos="720"/>
        </w:tabs>
        <w:spacing w:after="60" w:line="240" w:lineRule="auto"/>
        <w:ind w:left="1134" w:hanging="436"/>
      </w:pPr>
      <w:r w:rsidRPr="001F472A">
        <w:t>details of the unusual or exceptional circumstances;</w:t>
      </w:r>
      <w:r>
        <w:t xml:space="preserve"> and</w:t>
      </w:r>
    </w:p>
    <w:p w14:paraId="7496C2A3" w14:textId="77777777" w:rsidR="00AC41AC" w:rsidRPr="001F472A" w:rsidRDefault="00AC41AC" w:rsidP="00AC41AC">
      <w:pPr>
        <w:numPr>
          <w:ilvl w:val="2"/>
          <w:numId w:val="27"/>
        </w:numPr>
        <w:tabs>
          <w:tab w:val="clear" w:pos="720"/>
        </w:tabs>
        <w:spacing w:after="60" w:line="240" w:lineRule="auto"/>
        <w:ind w:left="1134" w:hanging="436"/>
      </w:pPr>
      <w:r w:rsidRPr="001F472A">
        <w:t>details of the relocation;</w:t>
      </w:r>
      <w:r>
        <w:t xml:space="preserve"> and</w:t>
      </w:r>
    </w:p>
    <w:p w14:paraId="56B5D821" w14:textId="77777777" w:rsidR="00AC41AC" w:rsidRPr="001F472A" w:rsidRDefault="00AC41AC" w:rsidP="00AC41AC">
      <w:pPr>
        <w:numPr>
          <w:ilvl w:val="2"/>
          <w:numId w:val="27"/>
        </w:numPr>
        <w:tabs>
          <w:tab w:val="clear" w:pos="720"/>
        </w:tabs>
        <w:spacing w:after="60" w:line="240" w:lineRule="auto"/>
        <w:ind w:left="1134" w:hanging="436"/>
      </w:pPr>
      <w:r w:rsidRPr="001F472A">
        <w:t xml:space="preserve">expenses incurred by the </w:t>
      </w:r>
      <w:r>
        <w:t>executive</w:t>
      </w:r>
      <w:r w:rsidRPr="001F472A">
        <w:t>;</w:t>
      </w:r>
      <w:r>
        <w:t xml:space="preserve"> and</w:t>
      </w:r>
    </w:p>
    <w:p w14:paraId="19316001" w14:textId="77777777" w:rsidR="00AC41AC" w:rsidRPr="001F472A" w:rsidRDefault="00AC41AC" w:rsidP="00AC41AC">
      <w:pPr>
        <w:numPr>
          <w:ilvl w:val="2"/>
          <w:numId w:val="27"/>
        </w:numPr>
        <w:tabs>
          <w:tab w:val="clear" w:pos="720"/>
        </w:tabs>
        <w:spacing w:after="60" w:line="240" w:lineRule="auto"/>
        <w:ind w:left="1134" w:hanging="436"/>
      </w:pPr>
      <w:r w:rsidRPr="001F472A">
        <w:t xml:space="preserve">the expected total relocation expenses of the </w:t>
      </w:r>
      <w:r>
        <w:t>executive</w:t>
      </w:r>
      <w:r w:rsidRPr="001F472A">
        <w:t>;</w:t>
      </w:r>
      <w:r>
        <w:t xml:space="preserve"> and</w:t>
      </w:r>
    </w:p>
    <w:p w14:paraId="163CBD10" w14:textId="77777777" w:rsidR="00AC41AC" w:rsidRPr="001F472A" w:rsidRDefault="00AC41AC" w:rsidP="00AC41AC">
      <w:pPr>
        <w:numPr>
          <w:ilvl w:val="2"/>
          <w:numId w:val="27"/>
        </w:numPr>
        <w:tabs>
          <w:tab w:val="clear" w:pos="720"/>
        </w:tabs>
        <w:spacing w:after="60" w:line="240" w:lineRule="auto"/>
        <w:ind w:left="1134" w:hanging="436"/>
      </w:pPr>
      <w:r w:rsidRPr="001F472A">
        <w:t xml:space="preserve">the level of assistance the </w:t>
      </w:r>
      <w:r>
        <w:t>executive</w:t>
      </w:r>
      <w:r w:rsidRPr="001F472A">
        <w:t xml:space="preserve"> considers should be provided; and</w:t>
      </w:r>
    </w:p>
    <w:p w14:paraId="332DD938" w14:textId="77777777" w:rsidR="00AC41AC" w:rsidRPr="001F472A" w:rsidRDefault="00AC41AC" w:rsidP="00AC41AC">
      <w:pPr>
        <w:numPr>
          <w:ilvl w:val="2"/>
          <w:numId w:val="27"/>
        </w:numPr>
        <w:tabs>
          <w:tab w:val="clear" w:pos="720"/>
        </w:tabs>
        <w:spacing w:after="60" w:line="240" w:lineRule="auto"/>
        <w:ind w:left="1134" w:hanging="436"/>
      </w:pPr>
      <w:proofErr w:type="gramStart"/>
      <w:r w:rsidRPr="001F472A">
        <w:t>any</w:t>
      </w:r>
      <w:proofErr w:type="gramEnd"/>
      <w:r w:rsidRPr="001F472A">
        <w:t xml:space="preserve"> other relevant information.</w:t>
      </w:r>
    </w:p>
    <w:p w14:paraId="00F2FAFC" w14:textId="77777777" w:rsidR="00AC41AC" w:rsidRDefault="00AC41AC" w:rsidP="00AC41AC">
      <w:pPr>
        <w:numPr>
          <w:ilvl w:val="1"/>
          <w:numId w:val="27"/>
        </w:numPr>
        <w:tabs>
          <w:tab w:val="clear" w:pos="720"/>
          <w:tab w:val="num" w:pos="0"/>
        </w:tabs>
        <w:spacing w:before="80" w:after="60" w:line="240" w:lineRule="auto"/>
        <w:ind w:left="709" w:hanging="709"/>
      </w:pPr>
      <w:r>
        <w:t>R</w:t>
      </w:r>
      <w:r w:rsidRPr="00423475">
        <w:t>elocation allowance</w:t>
      </w:r>
      <w:r w:rsidRPr="00BF6FC8">
        <w:t xml:space="preserve"> does not apply to any expenses incurred at the conclusion of employment.</w:t>
      </w:r>
    </w:p>
    <w:p w14:paraId="04934D86" w14:textId="77777777" w:rsidR="00AC41AC" w:rsidRPr="0040603C" w:rsidRDefault="00AC41AC" w:rsidP="00AC41AC">
      <w:pPr>
        <w:pStyle w:val="Heading3"/>
        <w:keepLines w:val="0"/>
        <w:numPr>
          <w:ilvl w:val="0"/>
          <w:numId w:val="27"/>
        </w:numPr>
        <w:ind w:left="709" w:hanging="709"/>
        <w:rPr>
          <w:rFonts w:cs="Arial"/>
          <w:szCs w:val="26"/>
        </w:rPr>
      </w:pPr>
      <w:r>
        <w:rPr>
          <w:rFonts w:cs="Arial"/>
          <w:szCs w:val="26"/>
        </w:rPr>
        <w:t>Other entitlements</w:t>
      </w:r>
    </w:p>
    <w:p w14:paraId="2211B518" w14:textId="77777777" w:rsidR="00AC41AC" w:rsidRPr="00746C96" w:rsidRDefault="00AC41AC" w:rsidP="00AC41AC">
      <w:pPr>
        <w:numPr>
          <w:ilvl w:val="1"/>
          <w:numId w:val="27"/>
        </w:numPr>
        <w:tabs>
          <w:tab w:val="clear" w:pos="720"/>
        </w:tabs>
        <w:spacing w:before="80" w:after="60" w:line="240" w:lineRule="auto"/>
        <w:ind w:left="709" w:hanging="709"/>
        <w:rPr>
          <w:szCs w:val="24"/>
          <w:lang w:val="en-US"/>
        </w:rPr>
      </w:pPr>
      <w:r>
        <w:rPr>
          <w:szCs w:val="24"/>
        </w:rPr>
        <w:t xml:space="preserve">For the avoidance of doubt, under section 113 and 115 of the </w:t>
      </w:r>
      <w:r w:rsidRPr="00746C96">
        <w:rPr>
          <w:i/>
          <w:szCs w:val="24"/>
        </w:rPr>
        <w:t>Public Sector Management Standards 2016</w:t>
      </w:r>
      <w:r>
        <w:rPr>
          <w:szCs w:val="24"/>
        </w:rPr>
        <w:t xml:space="preserve">, the following provisions of the </w:t>
      </w:r>
      <w:r w:rsidRPr="00746C96">
        <w:rPr>
          <w:i/>
          <w:szCs w:val="24"/>
        </w:rPr>
        <w:t>Public Sector Management Standards 2006 (repealed)</w:t>
      </w:r>
      <w:r>
        <w:rPr>
          <w:szCs w:val="24"/>
        </w:rPr>
        <w:t xml:space="preserve"> continue to apply to executives:</w:t>
      </w:r>
    </w:p>
    <w:p w14:paraId="1C5D2D86" w14:textId="77777777" w:rsidR="00AC41AC" w:rsidRPr="001F472A" w:rsidRDefault="00AC41AC" w:rsidP="00AC41AC">
      <w:pPr>
        <w:numPr>
          <w:ilvl w:val="2"/>
          <w:numId w:val="27"/>
        </w:numPr>
        <w:tabs>
          <w:tab w:val="clear" w:pos="720"/>
        </w:tabs>
        <w:spacing w:after="60" w:line="240" w:lineRule="auto"/>
        <w:ind w:left="1134" w:hanging="436"/>
      </w:pPr>
      <w:r>
        <w:t>part 3.6 (recognition of prior service on appointment or engagement);</w:t>
      </w:r>
    </w:p>
    <w:p w14:paraId="3DA83307" w14:textId="77777777" w:rsidR="00AC41AC" w:rsidRPr="001F472A" w:rsidRDefault="00AC41AC" w:rsidP="00AC41AC">
      <w:pPr>
        <w:numPr>
          <w:ilvl w:val="2"/>
          <w:numId w:val="27"/>
        </w:numPr>
        <w:tabs>
          <w:tab w:val="clear" w:pos="720"/>
        </w:tabs>
        <w:spacing w:after="60" w:line="240" w:lineRule="auto"/>
        <w:ind w:left="1134" w:hanging="436"/>
      </w:pPr>
      <w:r>
        <w:t>part 4.1 (continuity of service);</w:t>
      </w:r>
    </w:p>
    <w:p w14:paraId="78BA5E5B" w14:textId="77777777" w:rsidR="00AC41AC" w:rsidRPr="001F472A" w:rsidRDefault="00AC41AC" w:rsidP="00AC41AC">
      <w:pPr>
        <w:numPr>
          <w:ilvl w:val="2"/>
          <w:numId w:val="27"/>
        </w:numPr>
        <w:tabs>
          <w:tab w:val="clear" w:pos="720"/>
        </w:tabs>
        <w:spacing w:after="60" w:line="240" w:lineRule="auto"/>
        <w:ind w:left="1134" w:hanging="436"/>
      </w:pPr>
      <w:r>
        <w:t>part 5.5 (payment in lieu of entitlements on cessation of employment or death);</w:t>
      </w:r>
    </w:p>
    <w:p w14:paraId="20C2C43E" w14:textId="77777777" w:rsidR="00AC41AC" w:rsidRPr="001F472A" w:rsidRDefault="00AC41AC" w:rsidP="00AC41AC">
      <w:pPr>
        <w:numPr>
          <w:ilvl w:val="2"/>
          <w:numId w:val="27"/>
        </w:numPr>
        <w:tabs>
          <w:tab w:val="clear" w:pos="720"/>
        </w:tabs>
        <w:spacing w:after="60" w:line="240" w:lineRule="auto"/>
        <w:ind w:left="1134" w:hanging="436"/>
      </w:pPr>
      <w:proofErr w:type="gramStart"/>
      <w:r>
        <w:t>part</w:t>
      </w:r>
      <w:proofErr w:type="gramEnd"/>
      <w:r>
        <w:t xml:space="preserve"> 9.6 (executive employee and statutory office-holder leave and other entitlements).</w:t>
      </w:r>
    </w:p>
    <w:p w14:paraId="6AEF49AD" w14:textId="77777777" w:rsidR="00AC41AC" w:rsidRPr="00E320F8" w:rsidRDefault="00AC41AC" w:rsidP="00AC41AC">
      <w:pPr>
        <w:pStyle w:val="Heading3"/>
        <w:numPr>
          <w:ilvl w:val="0"/>
          <w:numId w:val="27"/>
        </w:numPr>
        <w:tabs>
          <w:tab w:val="clear" w:pos="720"/>
        </w:tabs>
        <w:ind w:left="709"/>
      </w:pPr>
      <w:r w:rsidRPr="00E320F8">
        <w:t>Definitions</w:t>
      </w:r>
    </w:p>
    <w:p w14:paraId="78EA52CD" w14:textId="77777777" w:rsidR="00AC41AC" w:rsidRDefault="00AC41AC" w:rsidP="00AC41AC">
      <w:pPr>
        <w:numPr>
          <w:ilvl w:val="1"/>
          <w:numId w:val="27"/>
        </w:numPr>
        <w:tabs>
          <w:tab w:val="clear" w:pos="720"/>
          <w:tab w:val="num" w:pos="0"/>
        </w:tabs>
        <w:spacing w:before="80" w:after="60" w:line="240" w:lineRule="auto"/>
        <w:ind w:left="709" w:hanging="709"/>
      </w:pPr>
      <w:r w:rsidRPr="003C55D8">
        <w:t xml:space="preserve">In this </w:t>
      </w:r>
      <w:r>
        <w:t>Determination</w:t>
      </w:r>
      <w:r w:rsidRPr="003C55D8">
        <w:t>:</w:t>
      </w:r>
    </w:p>
    <w:p w14:paraId="50778479" w14:textId="77777777" w:rsidR="00AC41AC" w:rsidRPr="00335707" w:rsidRDefault="00AC41AC" w:rsidP="00AC41AC">
      <w:pPr>
        <w:spacing w:before="80"/>
        <w:ind w:left="709"/>
        <w:jc w:val="both"/>
      </w:pPr>
      <w:proofErr w:type="gramStart"/>
      <w:r w:rsidRPr="00335707">
        <w:rPr>
          <w:b/>
          <w:bCs/>
          <w:i/>
          <w:iCs/>
        </w:rPr>
        <w:t>agreed</w:t>
      </w:r>
      <w:proofErr w:type="gramEnd"/>
      <w:r w:rsidRPr="00335707">
        <w:rPr>
          <w:b/>
          <w:bCs/>
          <w:i/>
          <w:iCs/>
        </w:rPr>
        <w:t xml:space="preserve"> superannuation fund</w:t>
      </w:r>
      <w:r w:rsidRPr="00335707">
        <w:t xml:space="preserve"> means a fund complying with the requirements of:</w:t>
      </w:r>
    </w:p>
    <w:p w14:paraId="1421F57E" w14:textId="77777777" w:rsidR="00AC41AC" w:rsidRPr="00335707" w:rsidRDefault="00AC41AC" w:rsidP="00AC41AC">
      <w:pPr>
        <w:pStyle w:val="MediumGrid1-Accent21"/>
        <w:numPr>
          <w:ilvl w:val="0"/>
          <w:numId w:val="28"/>
        </w:numPr>
        <w:spacing w:after="60"/>
        <w:jc w:val="both"/>
      </w:pPr>
      <w:r w:rsidRPr="00335707">
        <w:t xml:space="preserve">the </w:t>
      </w:r>
      <w:r w:rsidRPr="00335707">
        <w:rPr>
          <w:i/>
        </w:rPr>
        <w:t>Income Tax Assessment Act 1936</w:t>
      </w:r>
      <w:r w:rsidRPr="00335707">
        <w:t xml:space="preserve"> (</w:t>
      </w:r>
      <w:proofErr w:type="spellStart"/>
      <w:r w:rsidRPr="00335707">
        <w:t>Cth</w:t>
      </w:r>
      <w:proofErr w:type="spellEnd"/>
      <w:r w:rsidRPr="00335707">
        <w:t>); and</w:t>
      </w:r>
    </w:p>
    <w:p w14:paraId="75D3ACF3" w14:textId="77777777" w:rsidR="00AC41AC" w:rsidRPr="00335707" w:rsidRDefault="00AC41AC" w:rsidP="00AC41AC">
      <w:pPr>
        <w:pStyle w:val="MediumGrid1-Accent21"/>
        <w:numPr>
          <w:ilvl w:val="0"/>
          <w:numId w:val="28"/>
        </w:numPr>
        <w:spacing w:before="80"/>
        <w:jc w:val="both"/>
      </w:pPr>
      <w:proofErr w:type="gramStart"/>
      <w:r w:rsidRPr="00335707">
        <w:t>the</w:t>
      </w:r>
      <w:proofErr w:type="gramEnd"/>
      <w:r w:rsidRPr="00335707">
        <w:t xml:space="preserve"> </w:t>
      </w:r>
      <w:r w:rsidRPr="00335707">
        <w:rPr>
          <w:i/>
        </w:rPr>
        <w:t>Superannuation Industry (Supervision) Act 1993</w:t>
      </w:r>
      <w:r w:rsidRPr="00335707">
        <w:t xml:space="preserve"> (</w:t>
      </w:r>
      <w:proofErr w:type="spellStart"/>
      <w:r w:rsidRPr="00335707">
        <w:t>Cth</w:t>
      </w:r>
      <w:proofErr w:type="spellEnd"/>
      <w:r w:rsidRPr="00335707">
        <w:t>).</w:t>
      </w:r>
    </w:p>
    <w:p w14:paraId="549EDFBC" w14:textId="77777777" w:rsidR="00AC41AC" w:rsidRDefault="00AC41AC" w:rsidP="00AC41AC">
      <w:pPr>
        <w:spacing w:before="80"/>
        <w:ind w:left="709"/>
        <w:jc w:val="both"/>
      </w:pPr>
      <w:r>
        <w:rPr>
          <w:b/>
          <w:i/>
        </w:rPr>
        <w:t xml:space="preserve">CSS </w:t>
      </w:r>
      <w:r>
        <w:t xml:space="preserve">means the </w:t>
      </w:r>
      <w:r w:rsidRPr="0075183B">
        <w:t>Comm</w:t>
      </w:r>
      <w:r>
        <w:t>onwealth Superannuation Scheme.</w:t>
      </w:r>
    </w:p>
    <w:p w14:paraId="6DFA1A11" w14:textId="77777777" w:rsidR="00AC41AC" w:rsidRPr="00335707" w:rsidRDefault="00AC41AC" w:rsidP="00AC41AC">
      <w:pPr>
        <w:spacing w:before="80"/>
        <w:ind w:left="709"/>
        <w:jc w:val="both"/>
      </w:pPr>
      <w:proofErr w:type="gramStart"/>
      <w:r w:rsidRPr="00335707">
        <w:rPr>
          <w:b/>
          <w:bCs/>
          <w:i/>
        </w:rPr>
        <w:lastRenderedPageBreak/>
        <w:t>employer</w:t>
      </w:r>
      <w:proofErr w:type="gramEnd"/>
      <w:r w:rsidRPr="00335707">
        <w:t xml:space="preserve"> means the Australian Capital Territory and includes any person authorised to act on behalf of the Australian Capital Territory.</w:t>
      </w:r>
    </w:p>
    <w:p w14:paraId="2EC6F829" w14:textId="77777777" w:rsidR="00AC41AC" w:rsidRPr="00335707" w:rsidRDefault="00AC41AC" w:rsidP="00AC41AC">
      <w:pPr>
        <w:spacing w:before="80"/>
        <w:ind w:left="709"/>
        <w:jc w:val="both"/>
        <w:rPr>
          <w:bCs/>
          <w:iCs/>
        </w:rPr>
      </w:pPr>
      <w:proofErr w:type="gramStart"/>
      <w:r w:rsidRPr="00335707">
        <w:rPr>
          <w:b/>
          <w:bCs/>
          <w:i/>
          <w:iCs/>
        </w:rPr>
        <w:t>executive</w:t>
      </w:r>
      <w:proofErr w:type="gramEnd"/>
      <w:r w:rsidRPr="00335707">
        <w:rPr>
          <w:b/>
          <w:bCs/>
          <w:i/>
          <w:iCs/>
        </w:rPr>
        <w:t xml:space="preserve"> </w:t>
      </w:r>
      <w:r w:rsidRPr="00335707">
        <w:rPr>
          <w:bCs/>
          <w:iCs/>
        </w:rPr>
        <w:t xml:space="preserve">means </w:t>
      </w:r>
      <w:r>
        <w:rPr>
          <w:bCs/>
          <w:iCs/>
        </w:rPr>
        <w:t xml:space="preserve">the Head of Service, a Director-General or </w:t>
      </w:r>
      <w:r w:rsidRPr="00335707">
        <w:rPr>
          <w:bCs/>
          <w:iCs/>
        </w:rPr>
        <w:t xml:space="preserve">an </w:t>
      </w:r>
      <w:r>
        <w:rPr>
          <w:bCs/>
          <w:iCs/>
        </w:rPr>
        <w:t>ACTPS E</w:t>
      </w:r>
      <w:r w:rsidRPr="00335707">
        <w:rPr>
          <w:bCs/>
          <w:iCs/>
        </w:rPr>
        <w:t>xecutive.</w:t>
      </w:r>
    </w:p>
    <w:p w14:paraId="222B0BA5" w14:textId="77777777" w:rsidR="00AC41AC" w:rsidRPr="00335707" w:rsidRDefault="00AC41AC" w:rsidP="00AC41AC">
      <w:pPr>
        <w:spacing w:before="80"/>
        <w:ind w:left="709"/>
        <w:jc w:val="both"/>
      </w:pPr>
      <w:proofErr w:type="gramStart"/>
      <w:r w:rsidRPr="00335707">
        <w:rPr>
          <w:b/>
          <w:bCs/>
          <w:i/>
          <w:iCs/>
        </w:rPr>
        <w:t>fringe</w:t>
      </w:r>
      <w:proofErr w:type="gramEnd"/>
      <w:r w:rsidRPr="00335707">
        <w:rPr>
          <w:b/>
          <w:bCs/>
          <w:i/>
        </w:rPr>
        <w:t xml:space="preserve"> benefits tax</w:t>
      </w:r>
      <w:r w:rsidRPr="00335707">
        <w:t xml:space="preserve"> means the tax assessed under the </w:t>
      </w:r>
      <w:r w:rsidRPr="00335707">
        <w:rPr>
          <w:i/>
        </w:rPr>
        <w:t>Fringe Benefits Tax Assessment Act 1986</w:t>
      </w:r>
      <w:r w:rsidRPr="00335707">
        <w:t>.</w:t>
      </w:r>
    </w:p>
    <w:p w14:paraId="686A8F1B" w14:textId="77777777" w:rsidR="00AC41AC" w:rsidRDefault="00AC41AC" w:rsidP="00AC41AC">
      <w:pPr>
        <w:spacing w:before="80"/>
        <w:ind w:left="709"/>
        <w:jc w:val="both"/>
      </w:pPr>
      <w:r>
        <w:rPr>
          <w:b/>
          <w:i/>
        </w:rPr>
        <w:t xml:space="preserve">PSS </w:t>
      </w:r>
      <w:r>
        <w:t xml:space="preserve">means the </w:t>
      </w:r>
      <w:r w:rsidRPr="0075183B">
        <w:t>Publi</w:t>
      </w:r>
      <w:r>
        <w:t>c Sector Superannuation Scheme.</w:t>
      </w:r>
    </w:p>
    <w:p w14:paraId="5B00FAAA" w14:textId="77777777" w:rsidR="00AC41AC" w:rsidRPr="00C74636" w:rsidRDefault="00AC41AC" w:rsidP="00AC41AC">
      <w:pPr>
        <w:spacing w:before="80" w:after="60"/>
        <w:ind w:left="709"/>
        <w:jc w:val="both"/>
      </w:pPr>
      <w:proofErr w:type="gramStart"/>
      <w:r w:rsidRPr="00335707">
        <w:rPr>
          <w:b/>
          <w:i/>
        </w:rPr>
        <w:t>total</w:t>
      </w:r>
      <w:proofErr w:type="gramEnd"/>
      <w:r w:rsidRPr="00335707">
        <w:rPr>
          <w:b/>
          <w:i/>
        </w:rPr>
        <w:t xml:space="preserve"> remuneration package</w:t>
      </w:r>
      <w:r w:rsidRPr="00335707">
        <w:t xml:space="preserve"> includes remuneration set out in Table 2.1, all employer provided benefits, and all </w:t>
      </w:r>
      <w:r w:rsidRPr="00555703">
        <w:t>allowances</w:t>
      </w:r>
      <w:r w:rsidRPr="00335707">
        <w:t xml:space="preserve">.  </w:t>
      </w:r>
      <w:r w:rsidRPr="00C74636">
        <w:t>The value of an allowance or entitlement set out in this Determination is fixed and cannot be transferred to another other component of the total remuneration package.</w:t>
      </w:r>
    </w:p>
    <w:p w14:paraId="4F9D2F43" w14:textId="77777777" w:rsidR="00AC41AC" w:rsidRPr="005E76DE" w:rsidRDefault="00AC41AC" w:rsidP="00AC41AC">
      <w:pPr>
        <w:pStyle w:val="Heading3"/>
        <w:numPr>
          <w:ilvl w:val="0"/>
          <w:numId w:val="27"/>
        </w:numPr>
        <w:tabs>
          <w:tab w:val="clear" w:pos="720"/>
        </w:tabs>
        <w:ind w:left="709"/>
      </w:pPr>
      <w:r>
        <w:t>R</w:t>
      </w:r>
      <w:r w:rsidRPr="005E76DE">
        <w:t xml:space="preserve">evocation of </w:t>
      </w:r>
      <w:r>
        <w:t>p</w:t>
      </w:r>
      <w:r w:rsidRPr="005E76DE">
        <w:t>revious Determination</w:t>
      </w:r>
    </w:p>
    <w:p w14:paraId="5C2AFF92" w14:textId="77777777" w:rsidR="00AC41AC" w:rsidRDefault="00AC41AC" w:rsidP="00AC41AC">
      <w:pPr>
        <w:numPr>
          <w:ilvl w:val="1"/>
          <w:numId w:val="27"/>
        </w:numPr>
        <w:tabs>
          <w:tab w:val="clear" w:pos="720"/>
        </w:tabs>
        <w:spacing w:before="80" w:after="60" w:line="240" w:lineRule="auto"/>
        <w:ind w:left="709" w:hanging="709"/>
      </w:pPr>
      <w:r w:rsidRPr="00335707">
        <w:t xml:space="preserve">Determination </w:t>
      </w:r>
      <w:r>
        <w:t>3</w:t>
      </w:r>
      <w:r w:rsidRPr="00335707">
        <w:t xml:space="preserve"> of 201</w:t>
      </w:r>
      <w:r>
        <w:t>8</w:t>
      </w:r>
      <w:r w:rsidRPr="00335707">
        <w:t xml:space="preserve"> is revoked.</w:t>
      </w:r>
      <w:bookmarkEnd w:id="49"/>
    </w:p>
    <w:p w14:paraId="789B62E5" w14:textId="77777777" w:rsidR="00AC41AC" w:rsidRDefault="00AC41AC" w:rsidP="00AC41AC">
      <w:pPr>
        <w:spacing w:before="80" w:after="60"/>
      </w:pPr>
    </w:p>
    <w:tbl>
      <w:tblPr>
        <w:tblW w:w="0" w:type="auto"/>
        <w:tblLook w:val="04A0" w:firstRow="1" w:lastRow="0" w:firstColumn="1" w:lastColumn="0" w:noHBand="0" w:noVBand="1"/>
      </w:tblPr>
      <w:tblGrid>
        <w:gridCol w:w="4529"/>
        <w:gridCol w:w="4488"/>
      </w:tblGrid>
      <w:tr w:rsidR="00AC41AC" w:rsidRPr="006A51E8" w14:paraId="1E48AC23" w14:textId="77777777" w:rsidTr="00AC7BE2">
        <w:tc>
          <w:tcPr>
            <w:tcW w:w="4529" w:type="dxa"/>
          </w:tcPr>
          <w:p w14:paraId="7C2DE9BE" w14:textId="77777777" w:rsidR="00AC41AC" w:rsidRPr="000F41B0" w:rsidRDefault="00AC41AC" w:rsidP="00AC7BE2">
            <w:pPr>
              <w:tabs>
                <w:tab w:val="left" w:pos="4253"/>
                <w:tab w:val="left" w:leader="dot" w:pos="8222"/>
              </w:tabs>
              <w:ind w:left="-108"/>
              <w:rPr>
                <w:szCs w:val="24"/>
              </w:rPr>
            </w:pPr>
          </w:p>
          <w:p w14:paraId="086D1649" w14:textId="77777777" w:rsidR="00AC41AC" w:rsidRPr="000F41B0" w:rsidRDefault="00AC41AC" w:rsidP="00AC7BE2">
            <w:pPr>
              <w:tabs>
                <w:tab w:val="left" w:pos="4253"/>
                <w:tab w:val="left" w:pos="7230"/>
                <w:tab w:val="left" w:leader="dot" w:pos="8222"/>
              </w:tabs>
              <w:ind w:left="-108"/>
              <w:rPr>
                <w:szCs w:val="24"/>
              </w:rPr>
            </w:pPr>
            <w:r w:rsidRPr="000F41B0">
              <w:rPr>
                <w:szCs w:val="24"/>
              </w:rPr>
              <w:t>Dr Colin Adrian</w:t>
            </w:r>
            <w:r w:rsidRPr="000F41B0">
              <w:rPr>
                <w:szCs w:val="24"/>
              </w:rPr>
              <w:tab/>
            </w:r>
          </w:p>
          <w:p w14:paraId="5BFCB686" w14:textId="77777777" w:rsidR="00AC41AC" w:rsidRPr="000F41B0" w:rsidRDefault="00AC41AC" w:rsidP="00AC7BE2">
            <w:pPr>
              <w:tabs>
                <w:tab w:val="left" w:pos="7230"/>
              </w:tabs>
              <w:ind w:left="-108"/>
              <w:rPr>
                <w:szCs w:val="24"/>
              </w:rPr>
            </w:pPr>
            <w:r w:rsidRPr="000F41B0">
              <w:rPr>
                <w:szCs w:val="24"/>
              </w:rPr>
              <w:t>Chair</w:t>
            </w:r>
          </w:p>
          <w:p w14:paraId="08F321E1" w14:textId="77777777" w:rsidR="00AC41AC" w:rsidRPr="000F41B0" w:rsidRDefault="00AC41AC" w:rsidP="00AC7BE2">
            <w:pPr>
              <w:tabs>
                <w:tab w:val="left" w:pos="4253"/>
                <w:tab w:val="left" w:leader="dot" w:pos="8222"/>
              </w:tabs>
              <w:ind w:left="-108"/>
              <w:rPr>
                <w:szCs w:val="24"/>
              </w:rPr>
            </w:pPr>
          </w:p>
        </w:tc>
        <w:tc>
          <w:tcPr>
            <w:tcW w:w="4488" w:type="dxa"/>
          </w:tcPr>
          <w:p w14:paraId="72675721" w14:textId="77777777" w:rsidR="00AC41AC" w:rsidRDefault="00AC41AC" w:rsidP="00AC7BE2">
            <w:pPr>
              <w:tabs>
                <w:tab w:val="left" w:pos="3059"/>
                <w:tab w:val="left" w:pos="7230"/>
              </w:tabs>
            </w:pPr>
          </w:p>
          <w:p w14:paraId="01867525" w14:textId="77777777" w:rsidR="00AC41AC" w:rsidRPr="006A51E8" w:rsidRDefault="00AC41AC" w:rsidP="00AC7BE2">
            <w:pPr>
              <w:tabs>
                <w:tab w:val="left" w:pos="3059"/>
                <w:tab w:val="left" w:pos="7230"/>
              </w:tabs>
              <w:spacing w:before="120"/>
            </w:pPr>
            <w:r>
              <w:t xml:space="preserve">  </w:t>
            </w:r>
            <w:r w:rsidRPr="00A9481F">
              <w:t>...............................</w:t>
            </w:r>
            <w:r>
              <w:t>.................</w:t>
            </w:r>
          </w:p>
        </w:tc>
      </w:tr>
      <w:tr w:rsidR="00AC41AC" w:rsidRPr="006A51E8" w14:paraId="30B644B0" w14:textId="77777777" w:rsidTr="00AC7BE2">
        <w:tc>
          <w:tcPr>
            <w:tcW w:w="4529" w:type="dxa"/>
          </w:tcPr>
          <w:p w14:paraId="65008E2F" w14:textId="77777777" w:rsidR="00AC41AC" w:rsidRPr="000F41B0" w:rsidRDefault="00AC41AC" w:rsidP="00AC7BE2">
            <w:pPr>
              <w:tabs>
                <w:tab w:val="left" w:pos="4253"/>
                <w:tab w:val="left" w:pos="7230"/>
                <w:tab w:val="left" w:leader="dot" w:pos="8222"/>
              </w:tabs>
              <w:ind w:left="-108"/>
              <w:rPr>
                <w:szCs w:val="24"/>
              </w:rPr>
            </w:pPr>
          </w:p>
          <w:p w14:paraId="615B93C0" w14:textId="77777777" w:rsidR="00AC41AC" w:rsidRPr="000F41B0" w:rsidRDefault="00AC41AC" w:rsidP="00AC7BE2">
            <w:pPr>
              <w:tabs>
                <w:tab w:val="left" w:pos="4253"/>
                <w:tab w:val="left" w:pos="7230"/>
                <w:tab w:val="left" w:leader="dot" w:pos="8222"/>
              </w:tabs>
              <w:ind w:left="-108"/>
              <w:rPr>
                <w:szCs w:val="24"/>
              </w:rPr>
            </w:pPr>
            <w:r w:rsidRPr="000F41B0">
              <w:rPr>
                <w:szCs w:val="24"/>
              </w:rPr>
              <w:t xml:space="preserve">Mr James </w:t>
            </w:r>
            <w:proofErr w:type="spellStart"/>
            <w:r w:rsidRPr="000F41B0">
              <w:rPr>
                <w:szCs w:val="24"/>
              </w:rPr>
              <w:t>Smythe</w:t>
            </w:r>
            <w:proofErr w:type="spellEnd"/>
            <w:r w:rsidRPr="000F41B0">
              <w:rPr>
                <w:szCs w:val="24"/>
              </w:rPr>
              <w:t xml:space="preserve"> PSM</w:t>
            </w:r>
            <w:r w:rsidRPr="000F41B0">
              <w:rPr>
                <w:szCs w:val="24"/>
              </w:rPr>
              <w:tab/>
            </w:r>
          </w:p>
          <w:p w14:paraId="114019D9" w14:textId="77777777" w:rsidR="00AC41AC" w:rsidRPr="000F41B0" w:rsidRDefault="00AC41AC" w:rsidP="00AC7BE2">
            <w:pPr>
              <w:tabs>
                <w:tab w:val="left" w:pos="7230"/>
              </w:tabs>
              <w:ind w:left="-108"/>
              <w:rPr>
                <w:szCs w:val="24"/>
              </w:rPr>
            </w:pPr>
            <w:r w:rsidRPr="000F41B0">
              <w:rPr>
                <w:szCs w:val="24"/>
              </w:rPr>
              <w:t>Member</w:t>
            </w:r>
          </w:p>
          <w:p w14:paraId="632C5F4A" w14:textId="77777777" w:rsidR="00AC41AC" w:rsidRPr="000F41B0" w:rsidRDefault="00AC41AC" w:rsidP="00AC7BE2">
            <w:pPr>
              <w:tabs>
                <w:tab w:val="left" w:pos="4253"/>
                <w:tab w:val="left" w:leader="dot" w:pos="8222"/>
              </w:tabs>
              <w:ind w:left="-108"/>
              <w:rPr>
                <w:szCs w:val="24"/>
              </w:rPr>
            </w:pPr>
          </w:p>
        </w:tc>
        <w:tc>
          <w:tcPr>
            <w:tcW w:w="4488" w:type="dxa"/>
          </w:tcPr>
          <w:p w14:paraId="38508255" w14:textId="77777777" w:rsidR="00AC41AC" w:rsidRDefault="00AC41AC" w:rsidP="00AC7BE2">
            <w:pPr>
              <w:tabs>
                <w:tab w:val="left" w:pos="2892"/>
                <w:tab w:val="left" w:pos="7230"/>
              </w:tabs>
            </w:pPr>
          </w:p>
          <w:p w14:paraId="03A4D8AA" w14:textId="77777777" w:rsidR="00AC41AC" w:rsidRDefault="00AC41AC" w:rsidP="00AC7BE2">
            <w:pPr>
              <w:tabs>
                <w:tab w:val="left" w:pos="2892"/>
                <w:tab w:val="left" w:pos="7230"/>
              </w:tabs>
            </w:pPr>
          </w:p>
          <w:p w14:paraId="6618A6CE" w14:textId="77777777" w:rsidR="00AC41AC" w:rsidRDefault="00AC41AC" w:rsidP="00AC7BE2">
            <w:pPr>
              <w:tabs>
                <w:tab w:val="left" w:pos="2892"/>
                <w:tab w:val="left" w:pos="7230"/>
              </w:tabs>
            </w:pPr>
          </w:p>
          <w:p w14:paraId="5AC41DC0" w14:textId="77777777" w:rsidR="00AC41AC" w:rsidRPr="006A51E8" w:rsidRDefault="00AC41AC" w:rsidP="00AC7BE2">
            <w:pPr>
              <w:tabs>
                <w:tab w:val="left" w:pos="3059"/>
                <w:tab w:val="left" w:pos="7230"/>
              </w:tabs>
            </w:pPr>
            <w:r>
              <w:t xml:space="preserve">  </w:t>
            </w:r>
            <w:r w:rsidRPr="00A9481F">
              <w:t>...............................</w:t>
            </w:r>
            <w:r>
              <w:t>.................</w:t>
            </w:r>
          </w:p>
        </w:tc>
      </w:tr>
      <w:tr w:rsidR="00AC41AC" w:rsidRPr="006A51E8" w14:paraId="4FAFF391" w14:textId="77777777" w:rsidTr="00AC7BE2">
        <w:tc>
          <w:tcPr>
            <w:tcW w:w="4529" w:type="dxa"/>
          </w:tcPr>
          <w:p w14:paraId="5B75EA07" w14:textId="77777777" w:rsidR="00AC41AC" w:rsidRPr="000F41B0" w:rsidRDefault="00AC41AC" w:rsidP="00AC7BE2">
            <w:pPr>
              <w:tabs>
                <w:tab w:val="left" w:pos="4253"/>
                <w:tab w:val="left" w:pos="7230"/>
                <w:tab w:val="left" w:leader="dot" w:pos="8222"/>
              </w:tabs>
              <w:ind w:left="-108"/>
              <w:rPr>
                <w:szCs w:val="24"/>
              </w:rPr>
            </w:pPr>
          </w:p>
          <w:p w14:paraId="55A0036E" w14:textId="77777777" w:rsidR="00AC41AC" w:rsidRDefault="00AC41AC" w:rsidP="00AC7BE2">
            <w:pPr>
              <w:tabs>
                <w:tab w:val="left" w:pos="4253"/>
                <w:tab w:val="left" w:pos="7230"/>
                <w:tab w:val="left" w:leader="dot" w:pos="8222"/>
              </w:tabs>
              <w:ind w:left="-108"/>
              <w:rPr>
                <w:szCs w:val="24"/>
              </w:rPr>
            </w:pPr>
          </w:p>
          <w:p w14:paraId="76B07A95" w14:textId="77777777" w:rsidR="00AC41AC" w:rsidRPr="000F41B0" w:rsidRDefault="00AC41AC" w:rsidP="00AC7BE2">
            <w:pPr>
              <w:tabs>
                <w:tab w:val="left" w:pos="4253"/>
                <w:tab w:val="left" w:pos="7230"/>
                <w:tab w:val="left" w:leader="dot" w:pos="8222"/>
              </w:tabs>
              <w:ind w:left="-108"/>
              <w:rPr>
                <w:szCs w:val="24"/>
              </w:rPr>
            </w:pPr>
            <w:r>
              <w:rPr>
                <w:szCs w:val="24"/>
              </w:rPr>
              <w:t>Ms Sandra Lambert AM</w:t>
            </w:r>
            <w:r w:rsidRPr="000F41B0">
              <w:rPr>
                <w:szCs w:val="24"/>
              </w:rPr>
              <w:tab/>
            </w:r>
          </w:p>
          <w:p w14:paraId="6B5BAE59" w14:textId="77777777" w:rsidR="00AC41AC" w:rsidRPr="000F41B0" w:rsidRDefault="00AC41AC" w:rsidP="00AC7BE2">
            <w:pPr>
              <w:tabs>
                <w:tab w:val="left" w:pos="7230"/>
              </w:tabs>
              <w:ind w:left="-108"/>
              <w:rPr>
                <w:szCs w:val="24"/>
              </w:rPr>
            </w:pPr>
            <w:r w:rsidRPr="000F41B0">
              <w:rPr>
                <w:szCs w:val="24"/>
              </w:rPr>
              <w:t>Member</w:t>
            </w:r>
          </w:p>
          <w:p w14:paraId="373C6EDD" w14:textId="77777777" w:rsidR="00AC41AC" w:rsidRPr="000F41B0" w:rsidRDefault="00AC41AC" w:rsidP="00AC7BE2">
            <w:pPr>
              <w:tabs>
                <w:tab w:val="left" w:pos="4253"/>
                <w:tab w:val="left" w:leader="dot" w:pos="8222"/>
              </w:tabs>
              <w:ind w:left="-108"/>
              <w:rPr>
                <w:szCs w:val="24"/>
              </w:rPr>
            </w:pPr>
          </w:p>
        </w:tc>
        <w:tc>
          <w:tcPr>
            <w:tcW w:w="4488" w:type="dxa"/>
          </w:tcPr>
          <w:p w14:paraId="2475E8BB" w14:textId="77777777" w:rsidR="00AC41AC" w:rsidRDefault="00AC41AC" w:rsidP="00AC7BE2">
            <w:pPr>
              <w:tabs>
                <w:tab w:val="left" w:pos="3059"/>
                <w:tab w:val="left" w:pos="7230"/>
              </w:tabs>
            </w:pPr>
          </w:p>
          <w:p w14:paraId="5A6E1C9B" w14:textId="77777777" w:rsidR="00AC41AC" w:rsidRDefault="00AC41AC" w:rsidP="00AC7BE2">
            <w:pPr>
              <w:tabs>
                <w:tab w:val="left" w:pos="4026"/>
                <w:tab w:val="left" w:pos="7230"/>
              </w:tabs>
            </w:pPr>
          </w:p>
          <w:p w14:paraId="4D4C5BDF" w14:textId="77777777" w:rsidR="00AC41AC" w:rsidRDefault="00AC41AC" w:rsidP="00AC7BE2">
            <w:pPr>
              <w:tabs>
                <w:tab w:val="left" w:pos="4026"/>
                <w:tab w:val="left" w:pos="7230"/>
              </w:tabs>
            </w:pPr>
          </w:p>
          <w:p w14:paraId="056D53A1" w14:textId="77777777" w:rsidR="00AC41AC" w:rsidRDefault="00AC41AC" w:rsidP="00AC7BE2">
            <w:pPr>
              <w:tabs>
                <w:tab w:val="left" w:pos="4026"/>
                <w:tab w:val="left" w:pos="7230"/>
              </w:tabs>
            </w:pPr>
          </w:p>
          <w:p w14:paraId="4E2E0441" w14:textId="77777777" w:rsidR="00AC41AC" w:rsidRDefault="00AC41AC" w:rsidP="00AC7BE2">
            <w:pPr>
              <w:tabs>
                <w:tab w:val="left" w:pos="3059"/>
                <w:tab w:val="left" w:pos="7230"/>
              </w:tabs>
            </w:pPr>
            <w:r>
              <w:t xml:space="preserve">  </w:t>
            </w:r>
            <w:r w:rsidRPr="00A9481F">
              <w:t>...............................</w:t>
            </w:r>
            <w:r>
              <w:t>.................</w:t>
            </w:r>
          </w:p>
          <w:p w14:paraId="5666175D" w14:textId="77777777" w:rsidR="00AC41AC" w:rsidRDefault="00AC41AC" w:rsidP="00AC7BE2">
            <w:pPr>
              <w:tabs>
                <w:tab w:val="left" w:pos="3059"/>
                <w:tab w:val="left" w:pos="7230"/>
              </w:tabs>
            </w:pPr>
          </w:p>
          <w:p w14:paraId="259B3E40" w14:textId="77777777" w:rsidR="00AC41AC" w:rsidRPr="006A51E8" w:rsidRDefault="00AC41AC" w:rsidP="00AC7BE2">
            <w:pPr>
              <w:tabs>
                <w:tab w:val="left" w:pos="3059"/>
                <w:tab w:val="left" w:pos="7230"/>
              </w:tabs>
            </w:pPr>
          </w:p>
        </w:tc>
      </w:tr>
    </w:tbl>
    <w:p w14:paraId="2C1FE51B" w14:textId="77777777" w:rsidR="00AC41AC" w:rsidRPr="007C241C" w:rsidRDefault="00AC41AC" w:rsidP="00AC41AC">
      <w:pPr>
        <w:pStyle w:val="Heading3"/>
        <w:jc w:val="right"/>
        <w:rPr>
          <w:b w:val="0"/>
        </w:rPr>
      </w:pPr>
      <w:r w:rsidRPr="007C241C">
        <w:rPr>
          <w:b w:val="0"/>
        </w:rPr>
        <w:t>29 June 2018</w:t>
      </w:r>
    </w:p>
    <w:p w14:paraId="5EA51812" w14:textId="77777777" w:rsidR="00AC41AC" w:rsidRPr="00335707" w:rsidRDefault="00AC41AC" w:rsidP="00AC41AC">
      <w:pPr>
        <w:spacing w:before="80" w:after="60"/>
      </w:pPr>
    </w:p>
    <w:p w14:paraId="6753B42E" w14:textId="77777777" w:rsidR="000F09C1" w:rsidRPr="0014523F" w:rsidRDefault="000F09C1" w:rsidP="0014523F">
      <w:pPr>
        <w:rPr>
          <w:b/>
          <w:color w:val="0070C0"/>
          <w:sz w:val="24"/>
          <w:szCs w:val="24"/>
        </w:rPr>
      </w:pPr>
    </w:p>
    <w:sectPr w:rsidR="000F09C1" w:rsidRPr="0014523F" w:rsidSect="008126BC">
      <w:headerReference w:type="first" r:id="rId45"/>
      <w:footerReference w:type="first" r:id="rId46"/>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29AB8D" w14:textId="77777777" w:rsidR="00AC7BE2" w:rsidRDefault="00AC7BE2" w:rsidP="004D3B7E">
      <w:pPr>
        <w:spacing w:after="0" w:line="240" w:lineRule="auto"/>
      </w:pPr>
      <w:r>
        <w:separator/>
      </w:r>
    </w:p>
  </w:endnote>
  <w:endnote w:type="continuationSeparator" w:id="0">
    <w:p w14:paraId="112957E0" w14:textId="77777777" w:rsidR="00AC7BE2" w:rsidRDefault="00AC7BE2" w:rsidP="004D3B7E">
      <w:pPr>
        <w:spacing w:after="0" w:line="240" w:lineRule="auto"/>
      </w:pPr>
      <w:r>
        <w:continuationSeparator/>
      </w:r>
    </w:p>
  </w:endnote>
  <w:endnote w:type="continuationNotice" w:id="1">
    <w:p w14:paraId="400108A9" w14:textId="77777777" w:rsidR="00AC7BE2" w:rsidRDefault="00AC7B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4768411"/>
      <w:docPartObj>
        <w:docPartGallery w:val="Page Numbers (Bottom of Page)"/>
        <w:docPartUnique/>
      </w:docPartObj>
    </w:sdtPr>
    <w:sdtEndPr/>
    <w:sdtContent>
      <w:sdt>
        <w:sdtPr>
          <w:id w:val="1728636285"/>
          <w:docPartObj>
            <w:docPartGallery w:val="Page Numbers (Top of Page)"/>
            <w:docPartUnique/>
          </w:docPartObj>
        </w:sdtPr>
        <w:sdtEndPr/>
        <w:sdtContent>
          <w:p w14:paraId="207CD1DF" w14:textId="3F5A497C" w:rsidR="00AC7BE2" w:rsidRDefault="00AC7BE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C8495B">
              <w:rPr>
                <w:b/>
                <w:bCs/>
                <w:noProof/>
              </w:rPr>
              <w:t>4</w:t>
            </w:r>
            <w:r>
              <w:rPr>
                <w:b/>
                <w:bCs/>
                <w:sz w:val="24"/>
                <w:szCs w:val="24"/>
              </w:rPr>
              <w:fldChar w:fldCharType="end"/>
            </w:r>
            <w:r>
              <w:t xml:space="preserve"> of </w:t>
            </w:r>
            <w:r>
              <w:rPr>
                <w:b/>
                <w:bCs/>
                <w:sz w:val="24"/>
                <w:szCs w:val="24"/>
              </w:rPr>
              <w:t>41</w:t>
            </w:r>
          </w:p>
        </w:sdtContent>
      </w:sdt>
    </w:sdtContent>
  </w:sdt>
  <w:p w14:paraId="079520FC" w14:textId="77777777" w:rsidR="00AC7BE2" w:rsidRDefault="00AC7BE2" w:rsidP="00AC7B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11179" w14:textId="4D7DF993" w:rsidR="00C8495B" w:rsidRDefault="00C8495B">
    <w:pPr>
      <w:pStyle w:val="Footer"/>
      <w:jc w:val="right"/>
    </w:pPr>
  </w:p>
  <w:p w14:paraId="058D42F3" w14:textId="77777777" w:rsidR="00AC7BE2" w:rsidRDefault="00AC7BE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1929742"/>
      <w:docPartObj>
        <w:docPartGallery w:val="Page Numbers (Bottom of Page)"/>
        <w:docPartUnique/>
      </w:docPartObj>
    </w:sdtPr>
    <w:sdtEndPr>
      <w:rPr>
        <w:noProof/>
      </w:rPr>
    </w:sdtEndPr>
    <w:sdtContent>
      <w:p w14:paraId="0FE035F8" w14:textId="6EFEAFC5" w:rsidR="008126BC" w:rsidRDefault="008126BC">
        <w:pPr>
          <w:pStyle w:val="Footer"/>
          <w:jc w:val="right"/>
        </w:pPr>
        <w:r>
          <w:fldChar w:fldCharType="begin"/>
        </w:r>
        <w:r>
          <w:instrText xml:space="preserve"> PAGE   \* MERGEFORMAT </w:instrText>
        </w:r>
        <w:r>
          <w:fldChar w:fldCharType="separate"/>
        </w:r>
        <w:r w:rsidR="00C8495B">
          <w:rPr>
            <w:noProof/>
          </w:rPr>
          <w:t>3</w:t>
        </w:r>
        <w:r>
          <w:rPr>
            <w:noProof/>
          </w:rPr>
          <w:fldChar w:fldCharType="end"/>
        </w:r>
      </w:p>
    </w:sdtContent>
  </w:sdt>
  <w:p w14:paraId="497CF885" w14:textId="77777777" w:rsidR="00AC7BE2" w:rsidRDefault="00AC7BE2" w:rsidP="00AC7BE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8147747"/>
      <w:docPartObj>
        <w:docPartGallery w:val="Page Numbers (Bottom of Page)"/>
        <w:docPartUnique/>
      </w:docPartObj>
    </w:sdtPr>
    <w:sdtEndPr>
      <w:rPr>
        <w:noProof/>
      </w:rPr>
    </w:sdtEndPr>
    <w:sdtContent>
      <w:p w14:paraId="1D0CDB4B" w14:textId="77777777" w:rsidR="00C8495B" w:rsidRDefault="00C849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458678" w14:textId="77777777" w:rsidR="00C8495B" w:rsidRDefault="00C849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47EF90" w14:textId="77777777" w:rsidR="00AC7BE2" w:rsidRDefault="00AC7BE2" w:rsidP="004D3B7E">
      <w:pPr>
        <w:spacing w:after="0" w:line="240" w:lineRule="auto"/>
      </w:pPr>
      <w:r>
        <w:separator/>
      </w:r>
    </w:p>
  </w:footnote>
  <w:footnote w:type="continuationSeparator" w:id="0">
    <w:p w14:paraId="3115E967" w14:textId="77777777" w:rsidR="00AC7BE2" w:rsidRDefault="00AC7BE2" w:rsidP="004D3B7E">
      <w:pPr>
        <w:spacing w:after="0" w:line="240" w:lineRule="auto"/>
      </w:pPr>
      <w:r>
        <w:continuationSeparator/>
      </w:r>
    </w:p>
  </w:footnote>
  <w:footnote w:type="continuationNotice" w:id="1">
    <w:p w14:paraId="333E84BD" w14:textId="77777777" w:rsidR="00AC7BE2" w:rsidRDefault="00AC7BE2">
      <w:pPr>
        <w:spacing w:after="0" w:line="240" w:lineRule="auto"/>
      </w:pPr>
    </w:p>
  </w:footnote>
  <w:footnote w:id="2">
    <w:p w14:paraId="02E9529D" w14:textId="77777777" w:rsidR="00AC7BE2" w:rsidRPr="00A06022" w:rsidRDefault="00AC7BE2" w:rsidP="001F5001">
      <w:pPr>
        <w:rPr>
          <w:sz w:val="20"/>
          <w:szCs w:val="20"/>
          <w:lang w:val="en-US"/>
        </w:rPr>
      </w:pPr>
      <w:r w:rsidRPr="00A06022">
        <w:rPr>
          <w:rStyle w:val="FootnoteReference"/>
          <w:sz w:val="20"/>
          <w:szCs w:val="20"/>
        </w:rPr>
        <w:footnoteRef/>
      </w:r>
      <w:r w:rsidRPr="00A06022">
        <w:rPr>
          <w:sz w:val="20"/>
          <w:szCs w:val="20"/>
        </w:rPr>
        <w:t xml:space="preserve"> </w:t>
      </w:r>
      <w:r w:rsidRPr="0050318B">
        <w:rPr>
          <w:i/>
          <w:sz w:val="20"/>
          <w:szCs w:val="20"/>
          <w:lang w:val="en-US"/>
        </w:rPr>
        <w:t>Remuneration Tribunal Act 1995</w:t>
      </w:r>
      <w:r w:rsidRPr="00A06022">
        <w:rPr>
          <w:sz w:val="20"/>
          <w:szCs w:val="20"/>
          <w:lang w:val="en-US"/>
        </w:rPr>
        <w:t>, Part 3.</w:t>
      </w:r>
    </w:p>
  </w:footnote>
  <w:footnote w:id="3">
    <w:p w14:paraId="722F643A" w14:textId="7452F553" w:rsidR="00AC7BE2" w:rsidRPr="004E1E4D" w:rsidRDefault="00AC7BE2" w:rsidP="00A5622B">
      <w:pPr>
        <w:pStyle w:val="FootnoteText"/>
        <w:rPr>
          <w:color w:val="FF0000"/>
        </w:rPr>
      </w:pPr>
      <w:r w:rsidRPr="00CC48AA">
        <w:rPr>
          <w:rStyle w:val="FootnoteReference"/>
        </w:rPr>
        <w:footnoteRef/>
      </w:r>
      <w:r w:rsidRPr="00CC48AA">
        <w:t xml:space="preserve"> </w:t>
      </w:r>
      <w:r w:rsidRPr="00F57E91">
        <w:t xml:space="preserve">Figures as at 30 July 2018 may include a small number of individuals performing higher duties arrangements to cover executives on leave. </w:t>
      </w:r>
    </w:p>
  </w:footnote>
  <w:footnote w:id="4">
    <w:p w14:paraId="3CC502AA" w14:textId="21B88EAE" w:rsidR="00AC7BE2" w:rsidRPr="00F04114" w:rsidRDefault="00AC7BE2" w:rsidP="00F04114">
      <w:pPr>
        <w:pStyle w:val="FootnoteText"/>
        <w:rPr>
          <w:color w:val="FF0000"/>
          <w:lang w:val="en-AU"/>
        </w:rPr>
      </w:pPr>
      <w:r w:rsidRPr="009057E6">
        <w:rPr>
          <w:rStyle w:val="FootnoteReference"/>
          <w:color w:val="000000" w:themeColor="text1"/>
        </w:rPr>
        <w:footnoteRef/>
      </w:r>
      <w:r w:rsidRPr="009057E6">
        <w:rPr>
          <w:color w:val="000000" w:themeColor="text1"/>
        </w:rPr>
        <w:t xml:space="preserve"> </w:t>
      </w:r>
      <w:r w:rsidRPr="009057E6">
        <w:rPr>
          <w:color w:val="000000" w:themeColor="text1"/>
          <w:lang w:val="en-AU"/>
        </w:rPr>
        <w:t>The gender pay gap is the difference between the earnings of women and men. A negative percentage means that women earn more than men</w:t>
      </w:r>
      <w:r>
        <w:rPr>
          <w:color w:val="000000" w:themeColor="text1"/>
          <w:lang w:val="en-AU"/>
        </w:rPr>
        <w:t xml:space="preserve">; </w:t>
      </w:r>
      <w:r w:rsidRPr="009057E6">
        <w:rPr>
          <w:color w:val="000000" w:themeColor="text1"/>
          <w:lang w:val="en-AU"/>
        </w:rPr>
        <w:t>a positive percentage means that men earn more than women</w:t>
      </w:r>
      <w:r w:rsidRPr="009057E6">
        <w:rPr>
          <w:color w:val="000000" w:themeColor="text1"/>
        </w:rPr>
        <w:t>.</w:t>
      </w:r>
      <w:r w:rsidRPr="009057E6">
        <w:rPr>
          <w:color w:val="000000" w:themeColor="text1"/>
          <w:lang w:val="en-AU"/>
        </w:rPr>
        <w:t xml:space="preserve"> As at June 201</w:t>
      </w:r>
      <w:r>
        <w:rPr>
          <w:color w:val="000000" w:themeColor="text1"/>
          <w:lang w:val="en-AU"/>
        </w:rPr>
        <w:t>8</w:t>
      </w:r>
      <w:r w:rsidRPr="009057E6">
        <w:rPr>
          <w:color w:val="000000" w:themeColor="text1"/>
          <w:lang w:val="en-AU"/>
        </w:rPr>
        <w:t xml:space="preserve">, the gender pay gap for ACTPS executives was -1.6% indicating that for every dollar earned by a male executive, females earned $1.02. </w:t>
      </w:r>
    </w:p>
    <w:p w14:paraId="6D04038E" w14:textId="77777777" w:rsidR="00AC7BE2" w:rsidRPr="002643D4" w:rsidRDefault="00AC7BE2" w:rsidP="00F04114">
      <w:pPr>
        <w:pStyle w:val="FootnoteText"/>
        <w:rPr>
          <w:lang w:val="en-AU"/>
        </w:rPr>
      </w:pPr>
    </w:p>
  </w:footnote>
  <w:footnote w:id="5">
    <w:p w14:paraId="33D8D881" w14:textId="77777777" w:rsidR="00AC7BE2" w:rsidRPr="00E15F36" w:rsidRDefault="00AC7BE2" w:rsidP="006369DE">
      <w:pPr>
        <w:pStyle w:val="FootnoteText"/>
        <w:rPr>
          <w:lang w:val="en-AU"/>
        </w:rPr>
      </w:pPr>
      <w:r>
        <w:rPr>
          <w:rStyle w:val="FootnoteReference"/>
        </w:rPr>
        <w:footnoteRef/>
      </w:r>
      <w:r>
        <w:t xml:space="preserve"> The executive classification structure was </w:t>
      </w:r>
      <w:r w:rsidRPr="005D7E9D">
        <w:t xml:space="preserve">formalised </w:t>
      </w:r>
      <w:r>
        <w:t xml:space="preserve">in </w:t>
      </w:r>
      <w:r w:rsidRPr="005D7E9D">
        <w:t>legislati</w:t>
      </w:r>
      <w:r>
        <w:t>on</w:t>
      </w:r>
      <w:r w:rsidRPr="005D7E9D">
        <w:t xml:space="preserve"> in 1994</w:t>
      </w:r>
      <w:r>
        <w:t>.</w:t>
      </w:r>
    </w:p>
  </w:footnote>
  <w:footnote w:id="6">
    <w:p w14:paraId="1E51F699" w14:textId="2BF00AEC" w:rsidR="00AC7BE2" w:rsidRPr="00A95913" w:rsidRDefault="00AC7BE2">
      <w:pPr>
        <w:pStyle w:val="FootnoteText"/>
        <w:rPr>
          <w:lang w:val="en-AU"/>
        </w:rPr>
      </w:pPr>
      <w:r>
        <w:rPr>
          <w:rStyle w:val="FootnoteReference"/>
        </w:rPr>
        <w:footnoteRef/>
      </w:r>
      <w:r>
        <w:t xml:space="preserve"> </w:t>
      </w:r>
      <w:r>
        <w:rPr>
          <w:lang w:val="en-AU"/>
        </w:rPr>
        <w:t>See discussion in the ‘executive contracts’ section of this report.</w:t>
      </w:r>
    </w:p>
  </w:footnote>
  <w:footnote w:id="7">
    <w:p w14:paraId="5FF142CF" w14:textId="77777777" w:rsidR="00AC7BE2" w:rsidRPr="00224BFE" w:rsidRDefault="00AC7BE2" w:rsidP="003F3C5F">
      <w:pPr>
        <w:pStyle w:val="FootnoteText"/>
        <w:rPr>
          <w:lang w:val="en-AU"/>
        </w:rPr>
      </w:pPr>
      <w:r w:rsidRPr="00224BFE">
        <w:rPr>
          <w:rStyle w:val="FootnoteReference"/>
        </w:rPr>
        <w:footnoteRef/>
      </w:r>
      <w:r w:rsidRPr="00224BFE">
        <w:t xml:space="preserve"> </w:t>
      </w:r>
      <w:r>
        <w:t xml:space="preserve">The </w:t>
      </w:r>
      <w:r w:rsidRPr="00224BFE">
        <w:rPr>
          <w:rFonts w:ascii="Calibri" w:hAnsi="Calibri"/>
          <w:color w:val="000000"/>
        </w:rPr>
        <w:t xml:space="preserve">PSM Standards are available on the Legislation Register at: </w:t>
      </w:r>
      <w:hyperlink r:id="rId1" w:history="1">
        <w:r w:rsidRPr="00224BFE">
          <w:rPr>
            <w:rStyle w:val="Hyperlink"/>
            <w:rFonts w:ascii="Calibri" w:hAnsi="Calibri"/>
          </w:rPr>
          <w:t>http://www.legislation.act.gov.au/di/2016-251/default.asp</w:t>
        </w:r>
      </w:hyperlink>
      <w:r w:rsidRPr="00224BFE">
        <w:rPr>
          <w:rFonts w:ascii="Calibri" w:hAnsi="Calibri"/>
          <w:color w:val="000000"/>
        </w:rPr>
        <w:t xml:space="preserve"> (see section 50 and Part 12)</w:t>
      </w:r>
    </w:p>
  </w:footnote>
  <w:footnote w:id="8">
    <w:p w14:paraId="782C9F73" w14:textId="625CE30F" w:rsidR="00AC7BE2" w:rsidRPr="00982E7D" w:rsidRDefault="00AC7BE2">
      <w:pPr>
        <w:pStyle w:val="FootnoteText"/>
        <w:rPr>
          <w:lang w:val="en-AU"/>
        </w:rPr>
      </w:pPr>
      <w:r>
        <w:rPr>
          <w:rStyle w:val="FootnoteReference"/>
        </w:rPr>
        <w:footnoteRef/>
      </w:r>
      <w:r>
        <w:t xml:space="preserve"> Th</w:t>
      </w:r>
      <w:r w:rsidRPr="00982E7D">
        <w:t xml:space="preserve">e Victorian Public Sector Commission Review of Victoria’s Executive </w:t>
      </w:r>
      <w:r>
        <w:t>Officer Employment and Remuneration Framework, p. 33</w:t>
      </w:r>
    </w:p>
  </w:footnote>
  <w:footnote w:id="9">
    <w:p w14:paraId="6933F923" w14:textId="77777777" w:rsidR="00AC7BE2" w:rsidRPr="00561A8C" w:rsidRDefault="00AC7BE2" w:rsidP="007304B0">
      <w:pPr>
        <w:pStyle w:val="FootnoteText"/>
        <w:rPr>
          <w:lang w:val="en-AU"/>
        </w:rPr>
      </w:pPr>
      <w:r>
        <w:rPr>
          <w:rStyle w:val="FootnoteReference"/>
        </w:rPr>
        <w:footnoteRef/>
      </w:r>
      <w:r>
        <w:t xml:space="preserve"> </w:t>
      </w:r>
      <w:r>
        <w:rPr>
          <w:lang w:val="en-AU"/>
        </w:rPr>
        <w:t>Ibid</w:t>
      </w:r>
    </w:p>
  </w:footnote>
  <w:footnote w:id="10">
    <w:p w14:paraId="1D8038F9" w14:textId="77777777" w:rsidR="00AC7BE2" w:rsidRDefault="00AC7BE2" w:rsidP="008F2DE3">
      <w:pPr>
        <w:pStyle w:val="FootnoteText"/>
      </w:pPr>
      <w:r>
        <w:rPr>
          <w:rStyle w:val="FootnoteReference"/>
        </w:rPr>
        <w:footnoteRef/>
      </w:r>
      <w:r>
        <w:t xml:space="preserve"> </w:t>
      </w:r>
      <w:r w:rsidRPr="00BC2AA4">
        <w:t xml:space="preserve">Section 56, </w:t>
      </w:r>
      <w:r w:rsidRPr="00BC2AA4">
        <w:rPr>
          <w:i/>
        </w:rPr>
        <w:t>Public Sector Management Standards 2016</w:t>
      </w:r>
      <w:r w:rsidRPr="00BC2AA4">
        <w:t xml:space="preserve">: </w:t>
      </w:r>
      <w:hyperlink r:id="rId2" w:history="1">
        <w:r w:rsidRPr="00D65526">
          <w:rPr>
            <w:rStyle w:val="Hyperlink"/>
          </w:rPr>
          <w:t>http://www.legislation.act.gov.au/di/2016-251/current/pdf/2016-251.pdf</w:t>
        </w:r>
      </w:hyperlink>
      <w:r>
        <w:t xml:space="preserve"> </w:t>
      </w:r>
    </w:p>
  </w:footnote>
  <w:footnote w:id="11">
    <w:p w14:paraId="1A537A0B" w14:textId="5855B4C0" w:rsidR="00AC7BE2" w:rsidRPr="001804FA" w:rsidRDefault="00AC7BE2" w:rsidP="00741505">
      <w:pPr>
        <w:pStyle w:val="FootnoteText"/>
        <w:rPr>
          <w:lang w:val="en-AU"/>
        </w:rPr>
      </w:pPr>
      <w:r w:rsidRPr="001804FA">
        <w:rPr>
          <w:rStyle w:val="FootnoteReference"/>
        </w:rPr>
        <w:footnoteRef/>
      </w:r>
      <w:r w:rsidRPr="001804FA">
        <w:t xml:space="preserve"> 2017 APSC </w:t>
      </w:r>
      <w:r w:rsidRPr="001804FA">
        <w:rPr>
          <w:lang w:val="en-AU"/>
        </w:rPr>
        <w:t>Remuneration Report</w:t>
      </w:r>
      <w:r>
        <w:rPr>
          <w:lang w:val="en-AU"/>
        </w:rPr>
        <w:t xml:space="preserve">, </w:t>
      </w:r>
      <w:r w:rsidRPr="00CA7EB2">
        <w:rPr>
          <w:rStyle w:val="Hyperlink"/>
        </w:rPr>
        <w:t>https://www.apsc.gov.au/sites/g/files/net5296/f/18330_apsc_-_remuneration_report-accessible-v3.pdf</w:t>
      </w:r>
    </w:p>
  </w:footnote>
  <w:footnote w:id="12">
    <w:p w14:paraId="14CDB4A7" w14:textId="3974C9AD" w:rsidR="00AC7BE2" w:rsidRPr="001804FA" w:rsidRDefault="00AC7BE2" w:rsidP="00741505">
      <w:pPr>
        <w:pStyle w:val="FootnoteText"/>
        <w:rPr>
          <w:lang w:val="en-AU"/>
        </w:rPr>
      </w:pPr>
      <w:r w:rsidRPr="001804FA">
        <w:rPr>
          <w:rStyle w:val="FootnoteReference"/>
        </w:rPr>
        <w:footnoteRef/>
      </w:r>
      <w:r w:rsidRPr="001804FA">
        <w:t xml:space="preserve"> </w:t>
      </w:r>
      <w:r>
        <w:t xml:space="preserve">Victorian Public Sector Commission, </w:t>
      </w:r>
      <w:hyperlink r:id="rId3" w:history="1">
        <w:r w:rsidRPr="00623AE0">
          <w:rPr>
            <w:rStyle w:val="Hyperlink"/>
          </w:rPr>
          <w:t>https://vpsc.vic.gov.au/executive-remuneration/victorian-public-service-executive-remuneration</w:t>
        </w:r>
      </w:hyperlink>
      <w:r>
        <w:t xml:space="preserve"> </w:t>
      </w:r>
    </w:p>
  </w:footnote>
  <w:footnote w:id="13">
    <w:p w14:paraId="1ADA93DD" w14:textId="40467D5B" w:rsidR="00AC7BE2" w:rsidRPr="00220BD5" w:rsidRDefault="00AC7BE2">
      <w:pPr>
        <w:pStyle w:val="FootnoteText"/>
        <w:rPr>
          <w:lang w:val="en-AU"/>
        </w:rPr>
      </w:pPr>
      <w:r>
        <w:rPr>
          <w:rStyle w:val="FootnoteReference"/>
        </w:rPr>
        <w:footnoteRef/>
      </w:r>
      <w:r>
        <w:t xml:space="preserve"> </w:t>
      </w:r>
      <w:r>
        <w:rPr>
          <w:lang w:val="en-AU"/>
        </w:rPr>
        <w:t xml:space="preserve">Part 3B of the </w:t>
      </w:r>
      <w:r w:rsidRPr="0050318B">
        <w:rPr>
          <w:i/>
          <w:lang w:val="en-AU"/>
        </w:rPr>
        <w:t>Statutory and Other Offices Remuneration Act 1975</w:t>
      </w:r>
      <w:r>
        <w:rPr>
          <w:lang w:val="en-AU"/>
        </w:rPr>
        <w:t xml:space="preserve"> (NSW)</w:t>
      </w:r>
    </w:p>
  </w:footnote>
  <w:footnote w:id="14">
    <w:p w14:paraId="35672361" w14:textId="46E09159" w:rsidR="00AC7BE2" w:rsidRPr="00584F2A" w:rsidRDefault="00AC7BE2" w:rsidP="00015E1D">
      <w:pPr>
        <w:pStyle w:val="FootnoteText"/>
        <w:rPr>
          <w:lang w:val="en-AU"/>
        </w:rPr>
      </w:pPr>
      <w:r>
        <w:rPr>
          <w:rStyle w:val="FootnoteReference"/>
        </w:rPr>
        <w:footnoteRef/>
      </w:r>
      <w:r>
        <w:t xml:space="preserve"> </w:t>
      </w:r>
      <w:r w:rsidRPr="00F921C8">
        <w:rPr>
          <w:lang w:val="en-AU"/>
        </w:rPr>
        <w:t>ACTPS Director-General and Executive Handbook</w:t>
      </w:r>
      <w:r>
        <w:rPr>
          <w:lang w:val="en-AU"/>
        </w:rPr>
        <w:t xml:space="preserve">: </w:t>
      </w:r>
      <w:hyperlink r:id="rId4" w:history="1">
        <w:r w:rsidRPr="00623AE0">
          <w:rPr>
            <w:rStyle w:val="Hyperlink"/>
            <w:lang w:val="en-AU"/>
          </w:rPr>
          <w:t>https://www.cmtedd.act.gov.au/__data/assets/pdf_file/0007/889558/Executive-Handbook-with-vehicles-August-2017.pdf</w:t>
        </w:r>
      </w:hyperlink>
      <w:r>
        <w:rPr>
          <w:lang w:val="en-AU"/>
        </w:rPr>
        <w:t xml:space="preserve">. </w:t>
      </w:r>
    </w:p>
  </w:footnote>
  <w:footnote w:id="15">
    <w:p w14:paraId="60D00E20" w14:textId="18DDE9E0" w:rsidR="00AC7BE2" w:rsidRPr="005511BF" w:rsidRDefault="00AC7BE2" w:rsidP="007F239D">
      <w:pPr>
        <w:pStyle w:val="FootnoteText"/>
        <w:rPr>
          <w:lang w:val="en-AU"/>
        </w:rPr>
      </w:pPr>
      <w:r w:rsidRPr="005511BF">
        <w:rPr>
          <w:rStyle w:val="FootnoteReference"/>
        </w:rPr>
        <w:footnoteRef/>
      </w:r>
      <w:r>
        <w:t xml:space="preserve"> </w:t>
      </w:r>
      <w:r w:rsidRPr="003669F6">
        <w:t xml:space="preserve">Government Submission from </w:t>
      </w:r>
      <w:r>
        <w:t xml:space="preserve">the </w:t>
      </w:r>
      <w:r w:rsidRPr="003669F6">
        <w:t xml:space="preserve">Chief Minister, </w:t>
      </w:r>
      <w:r>
        <w:t>F</w:t>
      </w:r>
      <w:r w:rsidRPr="003669F6">
        <w:t>ebruary 2018</w:t>
      </w:r>
      <w:r w:rsidRPr="005511BF">
        <w:t xml:space="preserve"> </w:t>
      </w:r>
      <w:hyperlink r:id="rId5" w:history="1">
        <w:r w:rsidRPr="00AA4F55">
          <w:rPr>
            <w:rStyle w:val="Hyperlink"/>
          </w:rPr>
          <w:t>https://www.remunerationtribunal.act.gov.au/__data/assets/pdf_file/0006/1174659/government-submission-barr-feb18.pdf</w:t>
        </w:r>
      </w:hyperlink>
      <w:r>
        <w:t xml:space="preserve"> </w:t>
      </w:r>
    </w:p>
  </w:footnote>
  <w:footnote w:id="16">
    <w:p w14:paraId="2DDB56A1" w14:textId="202B58A4" w:rsidR="00AC7BE2" w:rsidRPr="00F775E1" w:rsidRDefault="00AC7BE2" w:rsidP="00350474">
      <w:pPr>
        <w:pStyle w:val="FootnoteText"/>
        <w:rPr>
          <w:lang w:val="en-AU"/>
        </w:rPr>
      </w:pPr>
      <w:r w:rsidRPr="0051256C">
        <w:rPr>
          <w:rStyle w:val="FootnoteReference"/>
        </w:rPr>
        <w:footnoteRef/>
      </w:r>
      <w:r w:rsidRPr="0051256C">
        <w:t xml:space="preserve"> </w:t>
      </w:r>
      <w:r w:rsidRPr="0051256C">
        <w:rPr>
          <w:lang w:val="en-AU"/>
        </w:rPr>
        <w:t>Determination 3 of 2018 provided a 2.5% increase from 1 July 2018. Determination 9 of 2018 provided remuneration against the four new levels within the classification structure.</w:t>
      </w:r>
    </w:p>
  </w:footnote>
  <w:footnote w:id="17">
    <w:p w14:paraId="2E0424B7" w14:textId="73BD6B08" w:rsidR="00AC7BE2" w:rsidRPr="0000249E" w:rsidRDefault="00AC7BE2">
      <w:pPr>
        <w:pStyle w:val="FootnoteText"/>
        <w:rPr>
          <w:lang w:val="en-AU"/>
        </w:rPr>
      </w:pPr>
      <w:r>
        <w:rPr>
          <w:rStyle w:val="FootnoteReference"/>
        </w:rPr>
        <w:footnoteRef/>
      </w:r>
      <w:r>
        <w:t xml:space="preserve"> </w:t>
      </w:r>
      <w:r w:rsidRPr="0000249E">
        <w:t xml:space="preserve">APS Remuneration Report 2017 p.52-55: </w:t>
      </w:r>
      <w:hyperlink r:id="rId6" w:history="1">
        <w:r w:rsidRPr="003E3CEF">
          <w:rPr>
            <w:rStyle w:val="Hyperlink"/>
          </w:rPr>
          <w:t>https://www.apsc.gov.au/sites/g/files/net5296/f/18330_apsc_-_remuneration_report-accessible-v3.pdf</w:t>
        </w:r>
      </w:hyperlink>
      <w:r>
        <w:t xml:space="preserve"> </w:t>
      </w:r>
    </w:p>
  </w:footnote>
  <w:footnote w:id="18">
    <w:p w14:paraId="58DBF4A0" w14:textId="69A80903" w:rsidR="00AC7BE2" w:rsidRPr="0000249E" w:rsidRDefault="00AC7BE2">
      <w:pPr>
        <w:pStyle w:val="FootnoteText"/>
        <w:rPr>
          <w:lang w:val="en-AU"/>
        </w:rPr>
      </w:pPr>
      <w:r>
        <w:rPr>
          <w:rStyle w:val="FootnoteReference"/>
        </w:rPr>
        <w:footnoteRef/>
      </w:r>
      <w:r>
        <w:t xml:space="preserve"> </w:t>
      </w:r>
      <w:r w:rsidRPr="0000249E">
        <w:t xml:space="preserve">2018 - 2019 NSW Public Service Senior Executive Remuneration Framework, Appendix 1 Senior executive base remuneration formulas and discretionary remuneration ranges (effective 1 July 2018), </w:t>
      </w:r>
      <w:hyperlink r:id="rId7" w:history="1">
        <w:r w:rsidRPr="003E3CEF">
          <w:rPr>
            <w:rStyle w:val="Hyperlink"/>
          </w:rPr>
          <w:t>https://www.psc.nsw.gov.au/employmentportal/compensation-and-benefits/2018/19-senior-executive-remuneration-management-framework/remuneration-framework-2018-2019</w:t>
        </w:r>
      </w:hyperlink>
      <w:r>
        <w:t xml:space="preserve"> </w:t>
      </w:r>
    </w:p>
  </w:footnote>
  <w:footnote w:id="19">
    <w:p w14:paraId="60ED0A88" w14:textId="77777777" w:rsidR="00AC7BE2" w:rsidRDefault="00AC7BE2">
      <w:pPr>
        <w:pStyle w:val="FootnoteText"/>
      </w:pPr>
    </w:p>
    <w:p w14:paraId="5973C73A" w14:textId="6216EFED" w:rsidR="00AC7BE2" w:rsidRPr="0000249E" w:rsidRDefault="00AC7BE2">
      <w:pPr>
        <w:pStyle w:val="FootnoteText"/>
        <w:rPr>
          <w:lang w:val="en-AU"/>
        </w:rPr>
      </w:pPr>
      <w:r>
        <w:rPr>
          <w:rStyle w:val="FootnoteReference"/>
        </w:rPr>
        <w:footnoteRef/>
      </w:r>
      <w:r>
        <w:t xml:space="preserve"> </w:t>
      </w:r>
      <w:r w:rsidRPr="0000249E">
        <w:t xml:space="preserve">  </w:t>
      </w:r>
      <w:r w:rsidRPr="00EA6286">
        <w:t>The ACTPS SES Band 4 includes the Directors-General of ACTPS Directorates. APS SES Band 4 remuneration is determined by the Commonwealth Remuneration</w:t>
      </w:r>
      <w:r>
        <w:t xml:space="preserve">, </w:t>
      </w:r>
      <w:r w:rsidRPr="00EA6286">
        <w:t>Tribunal</w:t>
      </w:r>
      <w:r>
        <w:t xml:space="preserve">: </w:t>
      </w:r>
      <w:hyperlink r:id="rId8" w:history="1">
        <w:r w:rsidRPr="003E3CEF">
          <w:rPr>
            <w:rStyle w:val="Hyperlink"/>
          </w:rPr>
          <w:t>https://remtribunal.gov.au/media/documents/2019/2018-compilations/secretaries/remunenal-departmental-secretaries-classification-structure-and-terms-and-conditions-determination-2018-compilation-no.-1/Secretaries-Determination-2018-Compilation-No.-1.pdf</w:t>
        </w:r>
      </w:hyperlink>
      <w:r>
        <w:rPr>
          <w:rStyle w:val="Hyperlink"/>
        </w:rPr>
        <w:t>.</w:t>
      </w:r>
      <w:r>
        <w:t xml:space="preserve"> The </w:t>
      </w:r>
      <w:r w:rsidRPr="0000249E">
        <w:t xml:space="preserve">median </w:t>
      </w:r>
      <w:r>
        <w:t xml:space="preserve">is </w:t>
      </w:r>
      <w:r w:rsidRPr="0000249E">
        <w:t>calculated based on</w:t>
      </w:r>
      <w:r>
        <w:t xml:space="preserve"> the</w:t>
      </w:r>
      <w:r w:rsidRPr="0000249E">
        <w:t xml:space="preserve"> figures </w:t>
      </w:r>
      <w:r>
        <w:t>o</w:t>
      </w:r>
      <w:r w:rsidRPr="0000249E">
        <w:t>n page 5</w:t>
      </w:r>
      <w:r>
        <w:t>.</w:t>
      </w:r>
    </w:p>
  </w:footnote>
  <w:footnote w:id="20">
    <w:p w14:paraId="4A7CED2C" w14:textId="3DF66747" w:rsidR="00AC7BE2" w:rsidRPr="00F775E1" w:rsidRDefault="00AC7BE2" w:rsidP="00777A92">
      <w:pPr>
        <w:pStyle w:val="FootnoteText"/>
        <w:rPr>
          <w:lang w:val="en-AU"/>
        </w:rPr>
      </w:pPr>
      <w:r w:rsidRPr="0051256C">
        <w:rPr>
          <w:rStyle w:val="FootnoteReference"/>
        </w:rPr>
        <w:footnoteRef/>
      </w:r>
      <w:r w:rsidRPr="0051256C">
        <w:t xml:space="preserve"> </w:t>
      </w:r>
      <w:r w:rsidRPr="00777A92">
        <w:rPr>
          <w:lang w:val="en-AU"/>
        </w:rPr>
        <w:t>Attachment G to the Discussion Paper</w:t>
      </w:r>
      <w:r>
        <w:rPr>
          <w:lang w:val="en-AU"/>
        </w:rPr>
        <w:t xml:space="preserve">: </w:t>
      </w:r>
      <w:hyperlink r:id="rId9" w:history="1">
        <w:r w:rsidRPr="00136983">
          <w:rPr>
            <w:rStyle w:val="Hyperlink"/>
            <w:lang w:val="en-AU"/>
          </w:rPr>
          <w:t>https://www.remunerationtribunal.act.gov.au/__data/assets/pdf_file/0006/1106277/Attachment-G-Workplace-Research-Associates-ACTPS-SES-Remuneration-Research-Report1.pdf</w:t>
        </w:r>
      </w:hyperlink>
      <w:r>
        <w:rPr>
          <w:lang w:val="en-AU"/>
        </w:rPr>
        <w:t xml:space="preserve"> </w:t>
      </w:r>
    </w:p>
  </w:footnote>
  <w:footnote w:id="21">
    <w:p w14:paraId="04126DDC" w14:textId="77777777" w:rsidR="00AC7BE2" w:rsidRPr="005511BF" w:rsidRDefault="00AC7BE2" w:rsidP="0092671A">
      <w:pPr>
        <w:pStyle w:val="FootnoteText"/>
        <w:rPr>
          <w:lang w:val="en-AU"/>
        </w:rPr>
      </w:pPr>
      <w:r w:rsidRPr="005511BF">
        <w:rPr>
          <w:rStyle w:val="FootnoteReference"/>
        </w:rPr>
        <w:footnoteRef/>
      </w:r>
      <w:r>
        <w:t xml:space="preserve"> Explanatory Statement, Public Sector Management Amendment Standards 2018 (No.1)</w:t>
      </w:r>
      <w:r w:rsidRPr="005511BF">
        <w:t xml:space="preserve"> </w:t>
      </w:r>
      <w:hyperlink r:id="rId10" w:history="1">
        <w:r w:rsidRPr="00AA4F55">
          <w:rPr>
            <w:rStyle w:val="Hyperlink"/>
          </w:rPr>
          <w:t>https://www.legislation.act.gov.au/View/es/db_58516/20180628-69172/PDF/db_58516.PDF</w:t>
        </w:r>
      </w:hyperlink>
      <w:r>
        <w:t xml:space="preserve"> </w:t>
      </w:r>
    </w:p>
  </w:footnote>
  <w:footnote w:id="22">
    <w:p w14:paraId="13F3ED01" w14:textId="599881EE" w:rsidR="00AC7BE2" w:rsidRPr="00403ACA" w:rsidRDefault="00AC7BE2" w:rsidP="00261B85">
      <w:pPr>
        <w:pStyle w:val="FootnoteText"/>
        <w:rPr>
          <w:sz w:val="16"/>
          <w:szCs w:val="16"/>
          <w:lang w:val="en-AU"/>
        </w:rPr>
      </w:pPr>
      <w:r w:rsidRPr="00403ACA">
        <w:rPr>
          <w:rStyle w:val="FootnoteReference"/>
          <w:sz w:val="16"/>
          <w:szCs w:val="16"/>
        </w:rPr>
        <w:footnoteRef/>
      </w:r>
      <w:r w:rsidRPr="00403ACA">
        <w:rPr>
          <w:sz w:val="16"/>
          <w:szCs w:val="16"/>
        </w:rPr>
        <w:t xml:space="preserve"> </w:t>
      </w:r>
      <w:r w:rsidRPr="0091752D">
        <w:rPr>
          <w:sz w:val="16"/>
          <w:szCs w:val="16"/>
        </w:rPr>
        <w:t>Vic</w:t>
      </w:r>
      <w:r>
        <w:rPr>
          <w:sz w:val="16"/>
          <w:szCs w:val="16"/>
        </w:rPr>
        <w:t xml:space="preserve">torian Public Service Executive Employment </w:t>
      </w:r>
      <w:r w:rsidRPr="0091752D">
        <w:rPr>
          <w:sz w:val="16"/>
          <w:szCs w:val="16"/>
        </w:rPr>
        <w:t>Handbook</w:t>
      </w:r>
      <w:r>
        <w:rPr>
          <w:sz w:val="16"/>
          <w:szCs w:val="16"/>
        </w:rPr>
        <w:t>:</w:t>
      </w:r>
      <w:r w:rsidRPr="0091752D">
        <w:rPr>
          <w:sz w:val="16"/>
          <w:szCs w:val="16"/>
        </w:rPr>
        <w:t xml:space="preserve"> </w:t>
      </w:r>
      <w:hyperlink r:id="rId11" w:history="1">
        <w:r w:rsidRPr="00D02966">
          <w:rPr>
            <w:rStyle w:val="Hyperlink"/>
            <w:sz w:val="16"/>
            <w:szCs w:val="16"/>
          </w:rPr>
          <w:t>https://vpsc.vic.gov.au/wp-content/uploads/2016/06/Victorian-Public-Service-Executive-Employment-Handbook.pdf</w:t>
        </w:r>
      </w:hyperlink>
      <w:r>
        <w:rPr>
          <w:sz w:val="16"/>
          <w:szCs w:val="16"/>
        </w:rPr>
        <w:t xml:space="preserve">  </w:t>
      </w:r>
    </w:p>
  </w:footnote>
  <w:footnote w:id="23">
    <w:p w14:paraId="5D00B457" w14:textId="4C1AAB72" w:rsidR="00AC7BE2" w:rsidRPr="00403ACA" w:rsidRDefault="00AC7BE2" w:rsidP="00EB4C07">
      <w:pPr>
        <w:pStyle w:val="FootnoteText"/>
        <w:rPr>
          <w:sz w:val="16"/>
          <w:szCs w:val="16"/>
          <w:lang w:val="en-AU"/>
        </w:rPr>
      </w:pPr>
      <w:r w:rsidRPr="00403ACA">
        <w:rPr>
          <w:rStyle w:val="FootnoteReference"/>
          <w:sz w:val="16"/>
          <w:szCs w:val="16"/>
        </w:rPr>
        <w:footnoteRef/>
      </w:r>
      <w:r w:rsidRPr="00403ACA">
        <w:rPr>
          <w:sz w:val="16"/>
          <w:szCs w:val="16"/>
        </w:rPr>
        <w:t xml:space="preserve"> Northern Territory Public Sector Employment and Management Act Determination 13 of 2011, </w:t>
      </w:r>
      <w:hyperlink r:id="rId12" w:history="1">
        <w:r w:rsidRPr="00D02966">
          <w:rPr>
            <w:rStyle w:val="Hyperlink"/>
            <w:sz w:val="16"/>
            <w:szCs w:val="16"/>
          </w:rPr>
          <w:t>https://ocpe.nt.gov.au/nt-public-sector-employment/Information-about-ntps-employment/executive-contracts</w:t>
        </w:r>
      </w:hyperlink>
      <w:r>
        <w:rPr>
          <w:sz w:val="16"/>
          <w:szCs w:val="16"/>
        </w:rPr>
        <w:t xml:space="preserve"> </w:t>
      </w:r>
    </w:p>
  </w:footnote>
  <w:footnote w:id="24">
    <w:p w14:paraId="431A693B" w14:textId="02A80A7D" w:rsidR="00AC7BE2" w:rsidRPr="00D82830" w:rsidRDefault="00AC7BE2">
      <w:pPr>
        <w:pStyle w:val="FootnoteText"/>
        <w:rPr>
          <w:lang w:val="en-AU"/>
        </w:rPr>
      </w:pPr>
      <w:r w:rsidRPr="00403ACA">
        <w:rPr>
          <w:rStyle w:val="FootnoteReference"/>
          <w:sz w:val="16"/>
          <w:szCs w:val="16"/>
        </w:rPr>
        <w:footnoteRef/>
      </w:r>
      <w:r w:rsidRPr="00403ACA">
        <w:rPr>
          <w:sz w:val="16"/>
          <w:szCs w:val="16"/>
        </w:rPr>
        <w:t xml:space="preserve"> </w:t>
      </w:r>
      <w:r w:rsidRPr="00403ACA">
        <w:rPr>
          <w:sz w:val="16"/>
          <w:szCs w:val="16"/>
          <w:lang w:val="en-AU"/>
        </w:rPr>
        <w:t>Ibid</w:t>
      </w:r>
    </w:p>
  </w:footnote>
  <w:footnote w:id="25">
    <w:p w14:paraId="1F37317E" w14:textId="14E91E76" w:rsidR="00AC7BE2" w:rsidRPr="008A69C2" w:rsidRDefault="00AC7BE2">
      <w:pPr>
        <w:pStyle w:val="FootnoteText"/>
        <w:rPr>
          <w:sz w:val="16"/>
          <w:szCs w:val="16"/>
          <w:lang w:val="en-AU"/>
        </w:rPr>
      </w:pPr>
      <w:r w:rsidRPr="00F367EC">
        <w:rPr>
          <w:rStyle w:val="FootnoteReference"/>
          <w:sz w:val="16"/>
          <w:szCs w:val="16"/>
        </w:rPr>
        <w:footnoteRef/>
      </w:r>
      <w:r w:rsidRPr="00F367EC">
        <w:rPr>
          <w:sz w:val="16"/>
          <w:szCs w:val="16"/>
        </w:rPr>
        <w:t xml:space="preserve"> </w:t>
      </w:r>
      <w:r w:rsidRPr="00F367EC">
        <w:rPr>
          <w:sz w:val="16"/>
          <w:szCs w:val="16"/>
          <w:lang w:val="en-AU"/>
        </w:rPr>
        <w:t>PSM Standards</w:t>
      </w:r>
    </w:p>
  </w:footnote>
  <w:footnote w:id="26">
    <w:p w14:paraId="7C5F772D" w14:textId="1108AD5B" w:rsidR="00AC7BE2" w:rsidRPr="003F3613" w:rsidRDefault="00AC7BE2">
      <w:pPr>
        <w:pStyle w:val="FootnoteText"/>
        <w:rPr>
          <w:color w:val="FF0000"/>
          <w:sz w:val="16"/>
          <w:szCs w:val="16"/>
          <w:lang w:val="en-AU"/>
        </w:rPr>
      </w:pPr>
      <w:r w:rsidRPr="004C41DF">
        <w:rPr>
          <w:rStyle w:val="FootnoteReference"/>
          <w:sz w:val="16"/>
          <w:szCs w:val="16"/>
        </w:rPr>
        <w:footnoteRef/>
      </w:r>
      <w:r w:rsidRPr="004C41DF">
        <w:rPr>
          <w:sz w:val="16"/>
          <w:szCs w:val="16"/>
        </w:rPr>
        <w:t xml:space="preserve"> Australian Government Remuneration Tribunal (Departmental Secretaries-Classification Structure and Terms and Conditions) Determination 2018, Part 7, </w:t>
      </w:r>
      <w:hyperlink r:id="rId13" w:history="1">
        <w:r w:rsidRPr="00D02966">
          <w:rPr>
            <w:rStyle w:val="Hyperlink"/>
            <w:sz w:val="16"/>
            <w:szCs w:val="16"/>
          </w:rPr>
          <w:t>https://www.remtribunal.gov.au/media/documents/2019/2018-compilations/secretaries/remunenal-departmental-secretaries-classification-structure-and-terms-and-conditions-determination-2018-compilation-no.-1/Secretaries-Determination-2018-Compilation-No.-1.pdf</w:t>
        </w:r>
      </w:hyperlink>
      <w:r>
        <w:rPr>
          <w:sz w:val="16"/>
          <w:szCs w:val="16"/>
        </w:rPr>
        <w:t xml:space="preserve"> </w:t>
      </w:r>
    </w:p>
  </w:footnote>
  <w:footnote w:id="27">
    <w:p w14:paraId="7A1C91A5" w14:textId="77777777" w:rsidR="00AC7BE2" w:rsidRPr="005B40E1" w:rsidRDefault="00AC7BE2" w:rsidP="005D3D62">
      <w:pPr>
        <w:pStyle w:val="FootnoteText"/>
        <w:rPr>
          <w:color w:val="000000" w:themeColor="text1"/>
          <w:sz w:val="16"/>
          <w:szCs w:val="16"/>
        </w:rPr>
      </w:pPr>
      <w:r w:rsidRPr="005B40E1">
        <w:rPr>
          <w:rStyle w:val="FootnoteReference"/>
          <w:color w:val="000000" w:themeColor="text1"/>
          <w:sz w:val="16"/>
          <w:szCs w:val="16"/>
        </w:rPr>
        <w:footnoteRef/>
      </w:r>
      <w:r w:rsidRPr="005B40E1">
        <w:rPr>
          <w:color w:val="000000" w:themeColor="text1"/>
          <w:sz w:val="16"/>
          <w:szCs w:val="16"/>
        </w:rPr>
        <w:t xml:space="preserve"> For Secretaries who maintain a place of residence outside of Canberra, they are entitled to up to 12 business class return airfares between Canberra and the nearest capital city to their place of residence during each 12 month period of their appointment for the purposes of reunion.</w:t>
      </w:r>
    </w:p>
  </w:footnote>
  <w:footnote w:id="28">
    <w:p w14:paraId="2DBAEAB9" w14:textId="77777777" w:rsidR="00AC7BE2" w:rsidRPr="008A69C2" w:rsidRDefault="00AC7BE2" w:rsidP="0079486A">
      <w:pPr>
        <w:pStyle w:val="FootnoteText"/>
        <w:rPr>
          <w:sz w:val="16"/>
          <w:szCs w:val="16"/>
          <w:lang w:val="en-AU"/>
        </w:rPr>
      </w:pPr>
      <w:r w:rsidRPr="008A69C2">
        <w:rPr>
          <w:rStyle w:val="FootnoteReference"/>
          <w:sz w:val="16"/>
          <w:szCs w:val="16"/>
        </w:rPr>
        <w:footnoteRef/>
      </w:r>
      <w:r w:rsidRPr="008A69C2">
        <w:rPr>
          <w:sz w:val="16"/>
          <w:szCs w:val="16"/>
        </w:rPr>
        <w:t xml:space="preserve"> </w:t>
      </w:r>
      <w:r w:rsidRPr="008A69C2">
        <w:rPr>
          <w:sz w:val="16"/>
          <w:szCs w:val="16"/>
          <w:lang w:val="en"/>
        </w:rPr>
        <w:t>NSW Government Sector Executive Relocation Expenses Framework</w:t>
      </w:r>
      <w:r>
        <w:rPr>
          <w:sz w:val="16"/>
          <w:szCs w:val="16"/>
          <w:lang w:val="en"/>
        </w:rPr>
        <w:t xml:space="preserve">, </w:t>
      </w:r>
      <w:hyperlink r:id="rId14" w:history="1">
        <w:r w:rsidRPr="00D02966">
          <w:rPr>
            <w:rStyle w:val="Hyperlink"/>
            <w:sz w:val="16"/>
            <w:szCs w:val="16"/>
            <w:lang w:val="en"/>
          </w:rPr>
          <w:t>https://www.psc.nsw.gov.au/employmentportal/senior-executives/relocation-expenses-framework/executive-relocation-expenses-framework/introduction/purpose</w:t>
        </w:r>
      </w:hyperlink>
      <w:r>
        <w:rPr>
          <w:sz w:val="16"/>
          <w:szCs w:val="16"/>
          <w:lang w:val="en"/>
        </w:rPr>
        <w:t xml:space="preserve"> </w:t>
      </w:r>
    </w:p>
  </w:footnote>
  <w:footnote w:id="29">
    <w:p w14:paraId="76CB7BDE" w14:textId="77777777" w:rsidR="00AC7BE2" w:rsidRPr="008A69C2" w:rsidRDefault="00AC7BE2" w:rsidP="0079486A">
      <w:pPr>
        <w:pStyle w:val="FootnoteText"/>
        <w:rPr>
          <w:sz w:val="16"/>
          <w:szCs w:val="16"/>
          <w:lang w:val="en-AU"/>
        </w:rPr>
      </w:pPr>
      <w:r w:rsidRPr="005B40E1">
        <w:rPr>
          <w:rStyle w:val="FootnoteReference"/>
          <w:color w:val="000000" w:themeColor="text1"/>
          <w:sz w:val="16"/>
          <w:szCs w:val="16"/>
        </w:rPr>
        <w:footnoteRef/>
      </w:r>
      <w:r w:rsidRPr="005B40E1">
        <w:rPr>
          <w:color w:val="000000" w:themeColor="text1"/>
          <w:sz w:val="16"/>
          <w:szCs w:val="16"/>
        </w:rPr>
        <w:t xml:space="preserve"> Maximum cap of up to $65,000 for a Tier 1 role and up to $25,000 for a Tier 2 role.</w:t>
      </w:r>
    </w:p>
  </w:footnote>
  <w:footnote w:id="30">
    <w:p w14:paraId="775BEA7B" w14:textId="77777777" w:rsidR="00AC7BE2" w:rsidRPr="008A69C2" w:rsidRDefault="00AC7BE2" w:rsidP="0079486A">
      <w:pPr>
        <w:pStyle w:val="FootnoteText"/>
        <w:rPr>
          <w:sz w:val="16"/>
          <w:szCs w:val="16"/>
          <w:lang w:val="en-AU"/>
        </w:rPr>
      </w:pPr>
      <w:r w:rsidRPr="008A69C2">
        <w:rPr>
          <w:rStyle w:val="FootnoteReference"/>
          <w:sz w:val="16"/>
          <w:szCs w:val="16"/>
        </w:rPr>
        <w:footnoteRef/>
      </w:r>
      <w:r w:rsidRPr="008A69C2">
        <w:rPr>
          <w:sz w:val="16"/>
          <w:szCs w:val="16"/>
        </w:rPr>
        <w:t xml:space="preserve"> </w:t>
      </w:r>
      <w:r>
        <w:rPr>
          <w:sz w:val="16"/>
          <w:szCs w:val="16"/>
        </w:rPr>
        <w:t>ibid</w:t>
      </w:r>
    </w:p>
  </w:footnote>
  <w:footnote w:id="31">
    <w:p w14:paraId="006500F0" w14:textId="7AAD2DC3" w:rsidR="00AC7BE2" w:rsidRPr="003F3613" w:rsidRDefault="00AC7BE2" w:rsidP="00BE7685">
      <w:pPr>
        <w:pStyle w:val="FootnoteText"/>
        <w:rPr>
          <w:sz w:val="16"/>
          <w:szCs w:val="16"/>
          <w:lang w:val="en-AU"/>
        </w:rPr>
      </w:pPr>
      <w:r w:rsidRPr="005B40E1">
        <w:rPr>
          <w:rStyle w:val="FootnoteReference"/>
          <w:color w:val="000000" w:themeColor="text1"/>
          <w:sz w:val="16"/>
          <w:szCs w:val="16"/>
        </w:rPr>
        <w:footnoteRef/>
      </w:r>
      <w:r w:rsidRPr="005B40E1">
        <w:rPr>
          <w:color w:val="000000" w:themeColor="text1"/>
          <w:sz w:val="16"/>
          <w:szCs w:val="16"/>
        </w:rPr>
        <w:t xml:space="preserve"> </w:t>
      </w:r>
      <w:r w:rsidRPr="005B40E1">
        <w:rPr>
          <w:color w:val="000000" w:themeColor="text1"/>
          <w:sz w:val="16"/>
          <w:szCs w:val="16"/>
          <w:lang w:val="en-AU"/>
        </w:rPr>
        <w:t xml:space="preserve">ACT Public Service Administrative and Related Classifications Enterprise Agreement 2013-2017 provides that employee may be required to repay 100% of the reimbursement amount if they terminate employment within twelve months from the date of appointment and 50% of the reimbursement amount if they terminate employment more than twelve months and less than twenty four months from the date of appointment. </w:t>
      </w:r>
    </w:p>
  </w:footnote>
  <w:footnote w:id="32">
    <w:p w14:paraId="3929C6DF" w14:textId="0B00E1EB" w:rsidR="00AC7BE2" w:rsidRPr="00FC1DFB" w:rsidRDefault="00AC7BE2">
      <w:pPr>
        <w:pStyle w:val="FootnoteText"/>
        <w:rPr>
          <w:lang w:val="en-AU"/>
        </w:rPr>
      </w:pPr>
      <w:r>
        <w:rPr>
          <w:rStyle w:val="FootnoteReference"/>
        </w:rPr>
        <w:footnoteRef/>
      </w:r>
      <w:r>
        <w:t xml:space="preserve"> Part 7.1 (Travel – domestic and international), </w:t>
      </w:r>
      <w:r w:rsidRPr="0000575A">
        <w:rPr>
          <w:i/>
        </w:rPr>
        <w:t>Public Sector Management Standards 2006</w:t>
      </w:r>
      <w:r>
        <w:t xml:space="preserve"> (repealed), </w:t>
      </w:r>
      <w:hyperlink r:id="rId15" w:history="1">
        <w:r w:rsidRPr="00020A21">
          <w:rPr>
            <w:rStyle w:val="Hyperlink"/>
          </w:rPr>
          <w:t>http://www.legislation.act.gov.au/di/2006-187/20160901-64740/pdf/2006-187.pdf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ECBE9" w14:textId="01221BD4" w:rsidR="00AC7BE2" w:rsidRDefault="00AC7BE2" w:rsidP="00AC7BE2">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7BE9F" w14:textId="1A6F0353" w:rsidR="00AC7BE2" w:rsidRDefault="00AC7BE2" w:rsidP="00AC7BE2">
    <w:pPr>
      <w:pStyle w:val="Header"/>
      <w:jc w:val="right"/>
    </w:pPr>
    <w:r>
      <w:t>Attachment 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18DA1" w14:textId="2C32395B" w:rsidR="00AC7BE2" w:rsidRDefault="00AC7BE2" w:rsidP="00A16E0E">
    <w:pPr>
      <w:pStyle w:val="Header"/>
      <w:jc w:val="right"/>
    </w:pPr>
    <w:r>
      <w:t>Attachment A</w:t>
    </w:r>
  </w:p>
  <w:p w14:paraId="15BA6E9D" w14:textId="77777777" w:rsidR="00AC7BE2" w:rsidRDefault="00AC7BE2" w:rsidP="00A16E0E">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15BF0"/>
    <w:multiLevelType w:val="hybridMultilevel"/>
    <w:tmpl w:val="F89C1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F42F45"/>
    <w:multiLevelType w:val="hybridMultilevel"/>
    <w:tmpl w:val="6AC8ED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D36B94"/>
    <w:multiLevelType w:val="hybridMultilevel"/>
    <w:tmpl w:val="D7EE80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3944CA7"/>
    <w:multiLevelType w:val="hybridMultilevel"/>
    <w:tmpl w:val="B03EE3E2"/>
    <w:lvl w:ilvl="0" w:tplc="FFA04710">
      <w:start w:val="1"/>
      <w:numFmt w:val="bullet"/>
      <w:lvlText w:val="•"/>
      <w:lvlJc w:val="left"/>
      <w:pPr>
        <w:tabs>
          <w:tab w:val="num" w:pos="720"/>
        </w:tabs>
        <w:ind w:left="720" w:hanging="360"/>
      </w:pPr>
      <w:rPr>
        <w:rFonts w:ascii="Times New Roman" w:hAnsi="Times New Roman" w:hint="default"/>
      </w:rPr>
    </w:lvl>
    <w:lvl w:ilvl="1" w:tplc="8B5CDB66" w:tentative="1">
      <w:start w:val="1"/>
      <w:numFmt w:val="bullet"/>
      <w:lvlText w:val="•"/>
      <w:lvlJc w:val="left"/>
      <w:pPr>
        <w:tabs>
          <w:tab w:val="num" w:pos="1440"/>
        </w:tabs>
        <w:ind w:left="1440" w:hanging="360"/>
      </w:pPr>
      <w:rPr>
        <w:rFonts w:ascii="Times New Roman" w:hAnsi="Times New Roman" w:hint="default"/>
      </w:rPr>
    </w:lvl>
    <w:lvl w:ilvl="2" w:tplc="5B486538" w:tentative="1">
      <w:start w:val="1"/>
      <w:numFmt w:val="bullet"/>
      <w:lvlText w:val="•"/>
      <w:lvlJc w:val="left"/>
      <w:pPr>
        <w:tabs>
          <w:tab w:val="num" w:pos="2160"/>
        </w:tabs>
        <w:ind w:left="2160" w:hanging="360"/>
      </w:pPr>
      <w:rPr>
        <w:rFonts w:ascii="Times New Roman" w:hAnsi="Times New Roman" w:hint="default"/>
      </w:rPr>
    </w:lvl>
    <w:lvl w:ilvl="3" w:tplc="7D965B72" w:tentative="1">
      <w:start w:val="1"/>
      <w:numFmt w:val="bullet"/>
      <w:lvlText w:val="•"/>
      <w:lvlJc w:val="left"/>
      <w:pPr>
        <w:tabs>
          <w:tab w:val="num" w:pos="2880"/>
        </w:tabs>
        <w:ind w:left="2880" w:hanging="360"/>
      </w:pPr>
      <w:rPr>
        <w:rFonts w:ascii="Times New Roman" w:hAnsi="Times New Roman" w:hint="default"/>
      </w:rPr>
    </w:lvl>
    <w:lvl w:ilvl="4" w:tplc="994ECAE6" w:tentative="1">
      <w:start w:val="1"/>
      <w:numFmt w:val="bullet"/>
      <w:lvlText w:val="•"/>
      <w:lvlJc w:val="left"/>
      <w:pPr>
        <w:tabs>
          <w:tab w:val="num" w:pos="3600"/>
        </w:tabs>
        <w:ind w:left="3600" w:hanging="360"/>
      </w:pPr>
      <w:rPr>
        <w:rFonts w:ascii="Times New Roman" w:hAnsi="Times New Roman" w:hint="default"/>
      </w:rPr>
    </w:lvl>
    <w:lvl w:ilvl="5" w:tplc="52DAF83A" w:tentative="1">
      <w:start w:val="1"/>
      <w:numFmt w:val="bullet"/>
      <w:lvlText w:val="•"/>
      <w:lvlJc w:val="left"/>
      <w:pPr>
        <w:tabs>
          <w:tab w:val="num" w:pos="4320"/>
        </w:tabs>
        <w:ind w:left="4320" w:hanging="360"/>
      </w:pPr>
      <w:rPr>
        <w:rFonts w:ascii="Times New Roman" w:hAnsi="Times New Roman" w:hint="default"/>
      </w:rPr>
    </w:lvl>
    <w:lvl w:ilvl="6" w:tplc="5CE29D44" w:tentative="1">
      <w:start w:val="1"/>
      <w:numFmt w:val="bullet"/>
      <w:lvlText w:val="•"/>
      <w:lvlJc w:val="left"/>
      <w:pPr>
        <w:tabs>
          <w:tab w:val="num" w:pos="5040"/>
        </w:tabs>
        <w:ind w:left="5040" w:hanging="360"/>
      </w:pPr>
      <w:rPr>
        <w:rFonts w:ascii="Times New Roman" w:hAnsi="Times New Roman" w:hint="default"/>
      </w:rPr>
    </w:lvl>
    <w:lvl w:ilvl="7" w:tplc="BE10207A" w:tentative="1">
      <w:start w:val="1"/>
      <w:numFmt w:val="bullet"/>
      <w:lvlText w:val="•"/>
      <w:lvlJc w:val="left"/>
      <w:pPr>
        <w:tabs>
          <w:tab w:val="num" w:pos="5760"/>
        </w:tabs>
        <w:ind w:left="5760" w:hanging="360"/>
      </w:pPr>
      <w:rPr>
        <w:rFonts w:ascii="Times New Roman" w:hAnsi="Times New Roman" w:hint="default"/>
      </w:rPr>
    </w:lvl>
    <w:lvl w:ilvl="8" w:tplc="4C1E878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605700E"/>
    <w:multiLevelType w:val="hybridMultilevel"/>
    <w:tmpl w:val="1318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554F5E"/>
    <w:multiLevelType w:val="hybridMultilevel"/>
    <w:tmpl w:val="38D4A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453684"/>
    <w:multiLevelType w:val="hybridMultilevel"/>
    <w:tmpl w:val="AF969018"/>
    <w:lvl w:ilvl="0" w:tplc="0C090001">
      <w:start w:val="1"/>
      <w:numFmt w:val="bullet"/>
      <w:lvlText w:val=""/>
      <w:lvlJc w:val="left"/>
      <w:pPr>
        <w:ind w:left="720" w:hanging="360"/>
      </w:pPr>
      <w:rPr>
        <w:rFonts w:ascii="Symbol" w:hAnsi="Symbol" w:hint="default"/>
      </w:rPr>
    </w:lvl>
    <w:lvl w:ilvl="1" w:tplc="69CC41FC">
      <w:numFmt w:val="bullet"/>
      <w:lvlText w:val="-"/>
      <w:lvlJc w:val="left"/>
      <w:pPr>
        <w:ind w:left="1440" w:hanging="360"/>
      </w:pPr>
      <w:rPr>
        <w:rFonts w:ascii="Calibri" w:eastAsiaTheme="minorEastAsia"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04234A"/>
    <w:multiLevelType w:val="hybridMultilevel"/>
    <w:tmpl w:val="D88CF9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156224"/>
    <w:multiLevelType w:val="hybridMultilevel"/>
    <w:tmpl w:val="926CA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1B5AB6"/>
    <w:multiLevelType w:val="hybridMultilevel"/>
    <w:tmpl w:val="7A22E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1B6FC0"/>
    <w:multiLevelType w:val="hybridMultilevel"/>
    <w:tmpl w:val="ED70A0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9BE5CC8"/>
    <w:multiLevelType w:val="hybridMultilevel"/>
    <w:tmpl w:val="56DA6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1575E42"/>
    <w:multiLevelType w:val="hybridMultilevel"/>
    <w:tmpl w:val="89167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001EF3"/>
    <w:multiLevelType w:val="hybridMultilevel"/>
    <w:tmpl w:val="BDA4C272"/>
    <w:lvl w:ilvl="0" w:tplc="30F6CD2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5C4758"/>
    <w:multiLevelType w:val="hybridMultilevel"/>
    <w:tmpl w:val="518E29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BB6544"/>
    <w:multiLevelType w:val="hybridMultilevel"/>
    <w:tmpl w:val="F6E0B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CB620B6"/>
    <w:multiLevelType w:val="hybridMultilevel"/>
    <w:tmpl w:val="478643D0"/>
    <w:lvl w:ilvl="0" w:tplc="EB825F50">
      <w:start w:val="1"/>
      <w:numFmt w:val="bullet"/>
      <w:lvlText w:val="•"/>
      <w:lvlJc w:val="left"/>
      <w:pPr>
        <w:tabs>
          <w:tab w:val="num" w:pos="720"/>
        </w:tabs>
        <w:ind w:left="720" w:hanging="360"/>
      </w:pPr>
      <w:rPr>
        <w:rFonts w:ascii="Times New Roman" w:hAnsi="Times New Roman" w:hint="default"/>
      </w:rPr>
    </w:lvl>
    <w:lvl w:ilvl="1" w:tplc="1A8CC2F2" w:tentative="1">
      <w:start w:val="1"/>
      <w:numFmt w:val="bullet"/>
      <w:lvlText w:val="•"/>
      <w:lvlJc w:val="left"/>
      <w:pPr>
        <w:tabs>
          <w:tab w:val="num" w:pos="1440"/>
        </w:tabs>
        <w:ind w:left="1440" w:hanging="360"/>
      </w:pPr>
      <w:rPr>
        <w:rFonts w:ascii="Times New Roman" w:hAnsi="Times New Roman" w:hint="default"/>
      </w:rPr>
    </w:lvl>
    <w:lvl w:ilvl="2" w:tplc="6D2E1692" w:tentative="1">
      <w:start w:val="1"/>
      <w:numFmt w:val="bullet"/>
      <w:lvlText w:val="•"/>
      <w:lvlJc w:val="left"/>
      <w:pPr>
        <w:tabs>
          <w:tab w:val="num" w:pos="2160"/>
        </w:tabs>
        <w:ind w:left="2160" w:hanging="360"/>
      </w:pPr>
      <w:rPr>
        <w:rFonts w:ascii="Times New Roman" w:hAnsi="Times New Roman" w:hint="default"/>
      </w:rPr>
    </w:lvl>
    <w:lvl w:ilvl="3" w:tplc="494C45AA" w:tentative="1">
      <w:start w:val="1"/>
      <w:numFmt w:val="bullet"/>
      <w:lvlText w:val="•"/>
      <w:lvlJc w:val="left"/>
      <w:pPr>
        <w:tabs>
          <w:tab w:val="num" w:pos="2880"/>
        </w:tabs>
        <w:ind w:left="2880" w:hanging="360"/>
      </w:pPr>
      <w:rPr>
        <w:rFonts w:ascii="Times New Roman" w:hAnsi="Times New Roman" w:hint="default"/>
      </w:rPr>
    </w:lvl>
    <w:lvl w:ilvl="4" w:tplc="E696912C" w:tentative="1">
      <w:start w:val="1"/>
      <w:numFmt w:val="bullet"/>
      <w:lvlText w:val="•"/>
      <w:lvlJc w:val="left"/>
      <w:pPr>
        <w:tabs>
          <w:tab w:val="num" w:pos="3600"/>
        </w:tabs>
        <w:ind w:left="3600" w:hanging="360"/>
      </w:pPr>
      <w:rPr>
        <w:rFonts w:ascii="Times New Roman" w:hAnsi="Times New Roman" w:hint="default"/>
      </w:rPr>
    </w:lvl>
    <w:lvl w:ilvl="5" w:tplc="D520E482" w:tentative="1">
      <w:start w:val="1"/>
      <w:numFmt w:val="bullet"/>
      <w:lvlText w:val="•"/>
      <w:lvlJc w:val="left"/>
      <w:pPr>
        <w:tabs>
          <w:tab w:val="num" w:pos="4320"/>
        </w:tabs>
        <w:ind w:left="4320" w:hanging="360"/>
      </w:pPr>
      <w:rPr>
        <w:rFonts w:ascii="Times New Roman" w:hAnsi="Times New Roman" w:hint="default"/>
      </w:rPr>
    </w:lvl>
    <w:lvl w:ilvl="6" w:tplc="FFDC30B4" w:tentative="1">
      <w:start w:val="1"/>
      <w:numFmt w:val="bullet"/>
      <w:lvlText w:val="•"/>
      <w:lvlJc w:val="left"/>
      <w:pPr>
        <w:tabs>
          <w:tab w:val="num" w:pos="5040"/>
        </w:tabs>
        <w:ind w:left="5040" w:hanging="360"/>
      </w:pPr>
      <w:rPr>
        <w:rFonts w:ascii="Times New Roman" w:hAnsi="Times New Roman" w:hint="default"/>
      </w:rPr>
    </w:lvl>
    <w:lvl w:ilvl="7" w:tplc="D534CCA2" w:tentative="1">
      <w:start w:val="1"/>
      <w:numFmt w:val="bullet"/>
      <w:lvlText w:val="•"/>
      <w:lvlJc w:val="left"/>
      <w:pPr>
        <w:tabs>
          <w:tab w:val="num" w:pos="5760"/>
        </w:tabs>
        <w:ind w:left="5760" w:hanging="360"/>
      </w:pPr>
      <w:rPr>
        <w:rFonts w:ascii="Times New Roman" w:hAnsi="Times New Roman" w:hint="default"/>
      </w:rPr>
    </w:lvl>
    <w:lvl w:ilvl="8" w:tplc="1EE8EB00"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3606161"/>
    <w:multiLevelType w:val="hybridMultilevel"/>
    <w:tmpl w:val="1DB2A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E2623AD"/>
    <w:multiLevelType w:val="hybridMultilevel"/>
    <w:tmpl w:val="C952F22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9" w15:restartNumberingAfterBreak="0">
    <w:nsid w:val="638D5953"/>
    <w:multiLevelType w:val="hybridMultilevel"/>
    <w:tmpl w:val="34805864"/>
    <w:lvl w:ilvl="0" w:tplc="87CE7838">
      <w:start w:val="1"/>
      <w:numFmt w:val="bullet"/>
      <w:lvlText w:val="•"/>
      <w:lvlJc w:val="left"/>
      <w:pPr>
        <w:tabs>
          <w:tab w:val="num" w:pos="720"/>
        </w:tabs>
        <w:ind w:left="720" w:hanging="360"/>
      </w:pPr>
      <w:rPr>
        <w:rFonts w:ascii="Times New Roman" w:hAnsi="Times New Roman" w:hint="default"/>
      </w:rPr>
    </w:lvl>
    <w:lvl w:ilvl="1" w:tplc="5B2C092A" w:tentative="1">
      <w:start w:val="1"/>
      <w:numFmt w:val="bullet"/>
      <w:lvlText w:val="•"/>
      <w:lvlJc w:val="left"/>
      <w:pPr>
        <w:tabs>
          <w:tab w:val="num" w:pos="1440"/>
        </w:tabs>
        <w:ind w:left="1440" w:hanging="360"/>
      </w:pPr>
      <w:rPr>
        <w:rFonts w:ascii="Times New Roman" w:hAnsi="Times New Roman" w:hint="default"/>
      </w:rPr>
    </w:lvl>
    <w:lvl w:ilvl="2" w:tplc="007CFA4C" w:tentative="1">
      <w:start w:val="1"/>
      <w:numFmt w:val="bullet"/>
      <w:lvlText w:val="•"/>
      <w:lvlJc w:val="left"/>
      <w:pPr>
        <w:tabs>
          <w:tab w:val="num" w:pos="2160"/>
        </w:tabs>
        <w:ind w:left="2160" w:hanging="360"/>
      </w:pPr>
      <w:rPr>
        <w:rFonts w:ascii="Times New Roman" w:hAnsi="Times New Roman" w:hint="default"/>
      </w:rPr>
    </w:lvl>
    <w:lvl w:ilvl="3" w:tplc="EA0EC552" w:tentative="1">
      <w:start w:val="1"/>
      <w:numFmt w:val="bullet"/>
      <w:lvlText w:val="•"/>
      <w:lvlJc w:val="left"/>
      <w:pPr>
        <w:tabs>
          <w:tab w:val="num" w:pos="2880"/>
        </w:tabs>
        <w:ind w:left="2880" w:hanging="360"/>
      </w:pPr>
      <w:rPr>
        <w:rFonts w:ascii="Times New Roman" w:hAnsi="Times New Roman" w:hint="default"/>
      </w:rPr>
    </w:lvl>
    <w:lvl w:ilvl="4" w:tplc="84C61628" w:tentative="1">
      <w:start w:val="1"/>
      <w:numFmt w:val="bullet"/>
      <w:lvlText w:val="•"/>
      <w:lvlJc w:val="left"/>
      <w:pPr>
        <w:tabs>
          <w:tab w:val="num" w:pos="3600"/>
        </w:tabs>
        <w:ind w:left="3600" w:hanging="360"/>
      </w:pPr>
      <w:rPr>
        <w:rFonts w:ascii="Times New Roman" w:hAnsi="Times New Roman" w:hint="default"/>
      </w:rPr>
    </w:lvl>
    <w:lvl w:ilvl="5" w:tplc="6AC4779E" w:tentative="1">
      <w:start w:val="1"/>
      <w:numFmt w:val="bullet"/>
      <w:lvlText w:val="•"/>
      <w:lvlJc w:val="left"/>
      <w:pPr>
        <w:tabs>
          <w:tab w:val="num" w:pos="4320"/>
        </w:tabs>
        <w:ind w:left="4320" w:hanging="360"/>
      </w:pPr>
      <w:rPr>
        <w:rFonts w:ascii="Times New Roman" w:hAnsi="Times New Roman" w:hint="default"/>
      </w:rPr>
    </w:lvl>
    <w:lvl w:ilvl="6" w:tplc="783E70C0" w:tentative="1">
      <w:start w:val="1"/>
      <w:numFmt w:val="bullet"/>
      <w:lvlText w:val="•"/>
      <w:lvlJc w:val="left"/>
      <w:pPr>
        <w:tabs>
          <w:tab w:val="num" w:pos="5040"/>
        </w:tabs>
        <w:ind w:left="5040" w:hanging="360"/>
      </w:pPr>
      <w:rPr>
        <w:rFonts w:ascii="Times New Roman" w:hAnsi="Times New Roman" w:hint="default"/>
      </w:rPr>
    </w:lvl>
    <w:lvl w:ilvl="7" w:tplc="EEC21EE6" w:tentative="1">
      <w:start w:val="1"/>
      <w:numFmt w:val="bullet"/>
      <w:lvlText w:val="•"/>
      <w:lvlJc w:val="left"/>
      <w:pPr>
        <w:tabs>
          <w:tab w:val="num" w:pos="5760"/>
        </w:tabs>
        <w:ind w:left="5760" w:hanging="360"/>
      </w:pPr>
      <w:rPr>
        <w:rFonts w:ascii="Times New Roman" w:hAnsi="Times New Roman" w:hint="default"/>
      </w:rPr>
    </w:lvl>
    <w:lvl w:ilvl="8" w:tplc="BBB6BB1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BA32ACD"/>
    <w:multiLevelType w:val="hybridMultilevel"/>
    <w:tmpl w:val="D130A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C4D177B"/>
    <w:multiLevelType w:val="hybridMultilevel"/>
    <w:tmpl w:val="DD6E4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1C4EF2"/>
    <w:multiLevelType w:val="hybridMultilevel"/>
    <w:tmpl w:val="BF861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2E05CE"/>
    <w:multiLevelType w:val="hybridMultilevel"/>
    <w:tmpl w:val="E5544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77E6C4E"/>
    <w:multiLevelType w:val="hybridMultilevel"/>
    <w:tmpl w:val="8C1EF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C146F1D"/>
    <w:multiLevelType w:val="hybridMultilevel"/>
    <w:tmpl w:val="06C4D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DE03E18"/>
    <w:multiLevelType w:val="multilevel"/>
    <w:tmpl w:val="1B46CEC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720"/>
        </w:tabs>
        <w:ind w:left="720" w:hanging="720"/>
      </w:pPr>
      <w:rPr>
        <w:rFonts w:hint="default"/>
      </w:rPr>
    </w:lvl>
    <w:lvl w:ilvl="3">
      <w:start w:val="1"/>
      <w:numFmt w:val="lowerRoman"/>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21"/>
  </w:num>
  <w:num w:numId="2">
    <w:abstractNumId w:val="10"/>
  </w:num>
  <w:num w:numId="3">
    <w:abstractNumId w:val="7"/>
  </w:num>
  <w:num w:numId="4">
    <w:abstractNumId w:val="14"/>
  </w:num>
  <w:num w:numId="5">
    <w:abstractNumId w:val="1"/>
  </w:num>
  <w:num w:numId="6">
    <w:abstractNumId w:val="0"/>
  </w:num>
  <w:num w:numId="7">
    <w:abstractNumId w:val="17"/>
  </w:num>
  <w:num w:numId="8">
    <w:abstractNumId w:val="4"/>
  </w:num>
  <w:num w:numId="9">
    <w:abstractNumId w:val="22"/>
  </w:num>
  <w:num w:numId="10">
    <w:abstractNumId w:val="25"/>
  </w:num>
  <w:num w:numId="11">
    <w:abstractNumId w:val="20"/>
  </w:num>
  <w:num w:numId="12">
    <w:abstractNumId w:val="3"/>
  </w:num>
  <w:num w:numId="13">
    <w:abstractNumId w:val="16"/>
  </w:num>
  <w:num w:numId="14">
    <w:abstractNumId w:val="19"/>
  </w:num>
  <w:num w:numId="15">
    <w:abstractNumId w:val="5"/>
  </w:num>
  <w:num w:numId="16">
    <w:abstractNumId w:val="15"/>
  </w:num>
  <w:num w:numId="17">
    <w:abstractNumId w:val="9"/>
  </w:num>
  <w:num w:numId="18">
    <w:abstractNumId w:val="12"/>
  </w:num>
  <w:num w:numId="19">
    <w:abstractNumId w:val="27"/>
  </w:num>
  <w:num w:numId="20">
    <w:abstractNumId w:val="11"/>
  </w:num>
  <w:num w:numId="21">
    <w:abstractNumId w:val="6"/>
  </w:num>
  <w:num w:numId="22">
    <w:abstractNumId w:val="24"/>
  </w:num>
  <w:num w:numId="23">
    <w:abstractNumId w:val="13"/>
  </w:num>
  <w:num w:numId="24">
    <w:abstractNumId w:val="23"/>
  </w:num>
  <w:num w:numId="25">
    <w:abstractNumId w:val="18"/>
  </w:num>
  <w:num w:numId="26">
    <w:abstractNumId w:val="8"/>
  </w:num>
  <w:num w:numId="27">
    <w:abstractNumId w:val="26"/>
  </w:num>
  <w:num w:numId="2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MyMrK0MLewtDQ3NjRX0lEKTi0uzszPAykwrgUAr4eD7iwAAAA="/>
  </w:docVars>
  <w:rsids>
    <w:rsidRoot w:val="004D3B7E"/>
    <w:rsid w:val="000001B7"/>
    <w:rsid w:val="00001880"/>
    <w:rsid w:val="00001BB2"/>
    <w:rsid w:val="00001F0D"/>
    <w:rsid w:val="0000249E"/>
    <w:rsid w:val="00002C93"/>
    <w:rsid w:val="00002D2C"/>
    <w:rsid w:val="000056F6"/>
    <w:rsid w:val="0000575A"/>
    <w:rsid w:val="000068CC"/>
    <w:rsid w:val="00006D43"/>
    <w:rsid w:val="0001371E"/>
    <w:rsid w:val="00014798"/>
    <w:rsid w:val="000148E1"/>
    <w:rsid w:val="000150BA"/>
    <w:rsid w:val="00015E1D"/>
    <w:rsid w:val="00016CDF"/>
    <w:rsid w:val="0002016E"/>
    <w:rsid w:val="00020778"/>
    <w:rsid w:val="0002206D"/>
    <w:rsid w:val="00023E38"/>
    <w:rsid w:val="00023F13"/>
    <w:rsid w:val="00027C8E"/>
    <w:rsid w:val="00031CA5"/>
    <w:rsid w:val="00034B7F"/>
    <w:rsid w:val="00036FBC"/>
    <w:rsid w:val="00037E4B"/>
    <w:rsid w:val="00040636"/>
    <w:rsid w:val="00042369"/>
    <w:rsid w:val="000453E6"/>
    <w:rsid w:val="00045E0A"/>
    <w:rsid w:val="000500ED"/>
    <w:rsid w:val="00050C7B"/>
    <w:rsid w:val="000516DE"/>
    <w:rsid w:val="000522BD"/>
    <w:rsid w:val="000558F7"/>
    <w:rsid w:val="00056CA5"/>
    <w:rsid w:val="0006482C"/>
    <w:rsid w:val="00065993"/>
    <w:rsid w:val="000662AF"/>
    <w:rsid w:val="000669B3"/>
    <w:rsid w:val="000706E9"/>
    <w:rsid w:val="00071BDA"/>
    <w:rsid w:val="00071D49"/>
    <w:rsid w:val="00072FA4"/>
    <w:rsid w:val="000733ED"/>
    <w:rsid w:val="00073F27"/>
    <w:rsid w:val="000740E5"/>
    <w:rsid w:val="00076112"/>
    <w:rsid w:val="0007648C"/>
    <w:rsid w:val="00077FA0"/>
    <w:rsid w:val="000840A7"/>
    <w:rsid w:val="00084586"/>
    <w:rsid w:val="00091150"/>
    <w:rsid w:val="000940D6"/>
    <w:rsid w:val="00096ED3"/>
    <w:rsid w:val="00097EE0"/>
    <w:rsid w:val="000A33F7"/>
    <w:rsid w:val="000A3602"/>
    <w:rsid w:val="000A397C"/>
    <w:rsid w:val="000A47EB"/>
    <w:rsid w:val="000A68D2"/>
    <w:rsid w:val="000B4C18"/>
    <w:rsid w:val="000B6059"/>
    <w:rsid w:val="000B6D46"/>
    <w:rsid w:val="000B742D"/>
    <w:rsid w:val="000C2083"/>
    <w:rsid w:val="000C520F"/>
    <w:rsid w:val="000C6409"/>
    <w:rsid w:val="000D0552"/>
    <w:rsid w:val="000D5BE9"/>
    <w:rsid w:val="000D6425"/>
    <w:rsid w:val="000E118B"/>
    <w:rsid w:val="000E1210"/>
    <w:rsid w:val="000E27FA"/>
    <w:rsid w:val="000E378A"/>
    <w:rsid w:val="000E43D2"/>
    <w:rsid w:val="000E4912"/>
    <w:rsid w:val="000E5C2D"/>
    <w:rsid w:val="000E6E33"/>
    <w:rsid w:val="000E7C93"/>
    <w:rsid w:val="000F00FF"/>
    <w:rsid w:val="000F09C1"/>
    <w:rsid w:val="000F0FB0"/>
    <w:rsid w:val="000F2965"/>
    <w:rsid w:val="000F3F83"/>
    <w:rsid w:val="000F4D51"/>
    <w:rsid w:val="000F59E2"/>
    <w:rsid w:val="000F69CC"/>
    <w:rsid w:val="000F7B97"/>
    <w:rsid w:val="00100417"/>
    <w:rsid w:val="00100B0E"/>
    <w:rsid w:val="00100CCF"/>
    <w:rsid w:val="001031D5"/>
    <w:rsid w:val="001049E5"/>
    <w:rsid w:val="001057A8"/>
    <w:rsid w:val="00105C2D"/>
    <w:rsid w:val="001064BF"/>
    <w:rsid w:val="0010681C"/>
    <w:rsid w:val="001101A1"/>
    <w:rsid w:val="001110CD"/>
    <w:rsid w:val="001154CD"/>
    <w:rsid w:val="00120797"/>
    <w:rsid w:val="00120DDE"/>
    <w:rsid w:val="001212D8"/>
    <w:rsid w:val="00121CDA"/>
    <w:rsid w:val="0012288C"/>
    <w:rsid w:val="00123055"/>
    <w:rsid w:val="00123A4C"/>
    <w:rsid w:val="00124562"/>
    <w:rsid w:val="00125C64"/>
    <w:rsid w:val="00127FC2"/>
    <w:rsid w:val="00130535"/>
    <w:rsid w:val="0013101D"/>
    <w:rsid w:val="00134541"/>
    <w:rsid w:val="00135C42"/>
    <w:rsid w:val="0013614F"/>
    <w:rsid w:val="00136BDB"/>
    <w:rsid w:val="0013719A"/>
    <w:rsid w:val="00140501"/>
    <w:rsid w:val="0014119B"/>
    <w:rsid w:val="001420EB"/>
    <w:rsid w:val="00143B79"/>
    <w:rsid w:val="0014523F"/>
    <w:rsid w:val="0014780E"/>
    <w:rsid w:val="00151343"/>
    <w:rsid w:val="001518F0"/>
    <w:rsid w:val="00152161"/>
    <w:rsid w:val="00153464"/>
    <w:rsid w:val="00154277"/>
    <w:rsid w:val="001553A2"/>
    <w:rsid w:val="00155E22"/>
    <w:rsid w:val="00157535"/>
    <w:rsid w:val="001616CF"/>
    <w:rsid w:val="00166150"/>
    <w:rsid w:val="001667C4"/>
    <w:rsid w:val="00166BFA"/>
    <w:rsid w:val="00166FE8"/>
    <w:rsid w:val="00167DCE"/>
    <w:rsid w:val="00171E03"/>
    <w:rsid w:val="001735DA"/>
    <w:rsid w:val="00173859"/>
    <w:rsid w:val="00173AC3"/>
    <w:rsid w:val="00173AE0"/>
    <w:rsid w:val="001748E8"/>
    <w:rsid w:val="001773B7"/>
    <w:rsid w:val="0017757C"/>
    <w:rsid w:val="001804FA"/>
    <w:rsid w:val="00183ED4"/>
    <w:rsid w:val="00184337"/>
    <w:rsid w:val="001868F7"/>
    <w:rsid w:val="001919EC"/>
    <w:rsid w:val="00193E39"/>
    <w:rsid w:val="00196360"/>
    <w:rsid w:val="001A131A"/>
    <w:rsid w:val="001A255E"/>
    <w:rsid w:val="001A2963"/>
    <w:rsid w:val="001A2966"/>
    <w:rsid w:val="001A30DD"/>
    <w:rsid w:val="001A3961"/>
    <w:rsid w:val="001A4BB8"/>
    <w:rsid w:val="001A4E14"/>
    <w:rsid w:val="001A5FB2"/>
    <w:rsid w:val="001B06C3"/>
    <w:rsid w:val="001B2104"/>
    <w:rsid w:val="001B2624"/>
    <w:rsid w:val="001B348F"/>
    <w:rsid w:val="001B3639"/>
    <w:rsid w:val="001B4AE4"/>
    <w:rsid w:val="001B5103"/>
    <w:rsid w:val="001B76D1"/>
    <w:rsid w:val="001C0A0D"/>
    <w:rsid w:val="001C19E7"/>
    <w:rsid w:val="001C27A8"/>
    <w:rsid w:val="001C5B5B"/>
    <w:rsid w:val="001C5CEE"/>
    <w:rsid w:val="001C6BAC"/>
    <w:rsid w:val="001C7165"/>
    <w:rsid w:val="001C7728"/>
    <w:rsid w:val="001C7B70"/>
    <w:rsid w:val="001D0BA3"/>
    <w:rsid w:val="001D0FAC"/>
    <w:rsid w:val="001D19E3"/>
    <w:rsid w:val="001D25DF"/>
    <w:rsid w:val="001D2D89"/>
    <w:rsid w:val="001D3115"/>
    <w:rsid w:val="001D41BA"/>
    <w:rsid w:val="001D5608"/>
    <w:rsid w:val="001D5A41"/>
    <w:rsid w:val="001D6381"/>
    <w:rsid w:val="001D7610"/>
    <w:rsid w:val="001E12D0"/>
    <w:rsid w:val="001E1E00"/>
    <w:rsid w:val="001E2FEC"/>
    <w:rsid w:val="001E323F"/>
    <w:rsid w:val="001E3E10"/>
    <w:rsid w:val="001E4A10"/>
    <w:rsid w:val="001E5B62"/>
    <w:rsid w:val="001F032C"/>
    <w:rsid w:val="001F049C"/>
    <w:rsid w:val="001F0544"/>
    <w:rsid w:val="001F0A42"/>
    <w:rsid w:val="001F1793"/>
    <w:rsid w:val="001F1A67"/>
    <w:rsid w:val="001F30EB"/>
    <w:rsid w:val="001F4735"/>
    <w:rsid w:val="001F5001"/>
    <w:rsid w:val="001F65CA"/>
    <w:rsid w:val="001F6926"/>
    <w:rsid w:val="002006EF"/>
    <w:rsid w:val="00200DD0"/>
    <w:rsid w:val="00203172"/>
    <w:rsid w:val="0020335F"/>
    <w:rsid w:val="0020495F"/>
    <w:rsid w:val="00204E03"/>
    <w:rsid w:val="00204EEF"/>
    <w:rsid w:val="00205F4F"/>
    <w:rsid w:val="00207461"/>
    <w:rsid w:val="00210482"/>
    <w:rsid w:val="00212D40"/>
    <w:rsid w:val="002148BB"/>
    <w:rsid w:val="00214E70"/>
    <w:rsid w:val="00216603"/>
    <w:rsid w:val="00216AE5"/>
    <w:rsid w:val="00216E1D"/>
    <w:rsid w:val="0021706F"/>
    <w:rsid w:val="002200B2"/>
    <w:rsid w:val="00220BD5"/>
    <w:rsid w:val="00220D82"/>
    <w:rsid w:val="00221330"/>
    <w:rsid w:val="00221C27"/>
    <w:rsid w:val="002239D0"/>
    <w:rsid w:val="00224BFE"/>
    <w:rsid w:val="00227656"/>
    <w:rsid w:val="002304CC"/>
    <w:rsid w:val="0023246F"/>
    <w:rsid w:val="00232F4D"/>
    <w:rsid w:val="002332E9"/>
    <w:rsid w:val="00235BA5"/>
    <w:rsid w:val="002366B9"/>
    <w:rsid w:val="00244015"/>
    <w:rsid w:val="00244091"/>
    <w:rsid w:val="0024490C"/>
    <w:rsid w:val="00244E63"/>
    <w:rsid w:val="00247933"/>
    <w:rsid w:val="00251912"/>
    <w:rsid w:val="00255603"/>
    <w:rsid w:val="00260989"/>
    <w:rsid w:val="00261B85"/>
    <w:rsid w:val="00261F21"/>
    <w:rsid w:val="00263E83"/>
    <w:rsid w:val="002643D4"/>
    <w:rsid w:val="0026446E"/>
    <w:rsid w:val="002648C9"/>
    <w:rsid w:val="00264A5D"/>
    <w:rsid w:val="00273387"/>
    <w:rsid w:val="00273A9C"/>
    <w:rsid w:val="00273BBE"/>
    <w:rsid w:val="002748DC"/>
    <w:rsid w:val="002757E2"/>
    <w:rsid w:val="002768B6"/>
    <w:rsid w:val="0027711C"/>
    <w:rsid w:val="00277120"/>
    <w:rsid w:val="00277ECA"/>
    <w:rsid w:val="00281F78"/>
    <w:rsid w:val="0028302D"/>
    <w:rsid w:val="00285536"/>
    <w:rsid w:val="0028717A"/>
    <w:rsid w:val="00287CA2"/>
    <w:rsid w:val="0029422E"/>
    <w:rsid w:val="0029436A"/>
    <w:rsid w:val="0029655F"/>
    <w:rsid w:val="00297A10"/>
    <w:rsid w:val="002A19EA"/>
    <w:rsid w:val="002A1A4A"/>
    <w:rsid w:val="002A297A"/>
    <w:rsid w:val="002A3EBA"/>
    <w:rsid w:val="002A43BC"/>
    <w:rsid w:val="002A49A8"/>
    <w:rsid w:val="002A76AC"/>
    <w:rsid w:val="002A76CF"/>
    <w:rsid w:val="002B58C0"/>
    <w:rsid w:val="002B688A"/>
    <w:rsid w:val="002C059A"/>
    <w:rsid w:val="002C0D96"/>
    <w:rsid w:val="002C2FC9"/>
    <w:rsid w:val="002C3698"/>
    <w:rsid w:val="002C3D53"/>
    <w:rsid w:val="002C3E6A"/>
    <w:rsid w:val="002C3EDE"/>
    <w:rsid w:val="002C65C1"/>
    <w:rsid w:val="002C73B6"/>
    <w:rsid w:val="002D01A5"/>
    <w:rsid w:val="002D0AB2"/>
    <w:rsid w:val="002D353F"/>
    <w:rsid w:val="002D368D"/>
    <w:rsid w:val="002D4037"/>
    <w:rsid w:val="002D4311"/>
    <w:rsid w:val="002E0763"/>
    <w:rsid w:val="002E216F"/>
    <w:rsid w:val="002E2441"/>
    <w:rsid w:val="002E36FB"/>
    <w:rsid w:val="002E62A9"/>
    <w:rsid w:val="002E6351"/>
    <w:rsid w:val="002F25FF"/>
    <w:rsid w:val="002F38B4"/>
    <w:rsid w:val="002F3FBE"/>
    <w:rsid w:val="002F7134"/>
    <w:rsid w:val="0030449A"/>
    <w:rsid w:val="0030458C"/>
    <w:rsid w:val="0030766D"/>
    <w:rsid w:val="00307D64"/>
    <w:rsid w:val="00310E52"/>
    <w:rsid w:val="00311060"/>
    <w:rsid w:val="00311DF2"/>
    <w:rsid w:val="00312841"/>
    <w:rsid w:val="00312A01"/>
    <w:rsid w:val="0031366B"/>
    <w:rsid w:val="00313A0D"/>
    <w:rsid w:val="00313BFB"/>
    <w:rsid w:val="00314604"/>
    <w:rsid w:val="00314657"/>
    <w:rsid w:val="00314822"/>
    <w:rsid w:val="003159B5"/>
    <w:rsid w:val="00315CC2"/>
    <w:rsid w:val="00321845"/>
    <w:rsid w:val="00321E30"/>
    <w:rsid w:val="00322A73"/>
    <w:rsid w:val="003233DD"/>
    <w:rsid w:val="0033150F"/>
    <w:rsid w:val="003330C4"/>
    <w:rsid w:val="00334E47"/>
    <w:rsid w:val="003359E0"/>
    <w:rsid w:val="00335E09"/>
    <w:rsid w:val="00335EF2"/>
    <w:rsid w:val="003407D0"/>
    <w:rsid w:val="00347232"/>
    <w:rsid w:val="00350474"/>
    <w:rsid w:val="00354A03"/>
    <w:rsid w:val="00355647"/>
    <w:rsid w:val="003556DE"/>
    <w:rsid w:val="003567A8"/>
    <w:rsid w:val="00356F88"/>
    <w:rsid w:val="0035765E"/>
    <w:rsid w:val="00360176"/>
    <w:rsid w:val="003613E0"/>
    <w:rsid w:val="00361DFD"/>
    <w:rsid w:val="00361F3A"/>
    <w:rsid w:val="003643A8"/>
    <w:rsid w:val="003653C2"/>
    <w:rsid w:val="003669F6"/>
    <w:rsid w:val="0037008F"/>
    <w:rsid w:val="00370CD3"/>
    <w:rsid w:val="003710B3"/>
    <w:rsid w:val="0037412E"/>
    <w:rsid w:val="00375198"/>
    <w:rsid w:val="003758DF"/>
    <w:rsid w:val="00376D10"/>
    <w:rsid w:val="00377772"/>
    <w:rsid w:val="00380F67"/>
    <w:rsid w:val="003811A4"/>
    <w:rsid w:val="0038162C"/>
    <w:rsid w:val="00384C26"/>
    <w:rsid w:val="00384F6D"/>
    <w:rsid w:val="003855ED"/>
    <w:rsid w:val="00386D51"/>
    <w:rsid w:val="003873F3"/>
    <w:rsid w:val="003875C8"/>
    <w:rsid w:val="00387F42"/>
    <w:rsid w:val="00387FED"/>
    <w:rsid w:val="00390E4D"/>
    <w:rsid w:val="003913E9"/>
    <w:rsid w:val="00391A76"/>
    <w:rsid w:val="003927A8"/>
    <w:rsid w:val="003929E8"/>
    <w:rsid w:val="00392C19"/>
    <w:rsid w:val="0039320C"/>
    <w:rsid w:val="00393E1F"/>
    <w:rsid w:val="00394D8E"/>
    <w:rsid w:val="003957F9"/>
    <w:rsid w:val="00395D2C"/>
    <w:rsid w:val="00397D4C"/>
    <w:rsid w:val="003A064D"/>
    <w:rsid w:val="003A0F8E"/>
    <w:rsid w:val="003A1E5D"/>
    <w:rsid w:val="003A31AA"/>
    <w:rsid w:val="003A3BE7"/>
    <w:rsid w:val="003A423A"/>
    <w:rsid w:val="003A5902"/>
    <w:rsid w:val="003A712B"/>
    <w:rsid w:val="003A7FD2"/>
    <w:rsid w:val="003B05EE"/>
    <w:rsid w:val="003B280C"/>
    <w:rsid w:val="003B5776"/>
    <w:rsid w:val="003B6377"/>
    <w:rsid w:val="003B67CF"/>
    <w:rsid w:val="003C10DE"/>
    <w:rsid w:val="003C4AFC"/>
    <w:rsid w:val="003C52E0"/>
    <w:rsid w:val="003C5ACB"/>
    <w:rsid w:val="003C6A72"/>
    <w:rsid w:val="003D0966"/>
    <w:rsid w:val="003D0C80"/>
    <w:rsid w:val="003D41EA"/>
    <w:rsid w:val="003D69BF"/>
    <w:rsid w:val="003D7CB7"/>
    <w:rsid w:val="003E0FA5"/>
    <w:rsid w:val="003E13F9"/>
    <w:rsid w:val="003E163A"/>
    <w:rsid w:val="003E3D3C"/>
    <w:rsid w:val="003E4C98"/>
    <w:rsid w:val="003E638A"/>
    <w:rsid w:val="003E6CA9"/>
    <w:rsid w:val="003F1E46"/>
    <w:rsid w:val="003F201E"/>
    <w:rsid w:val="003F2FE3"/>
    <w:rsid w:val="003F30BE"/>
    <w:rsid w:val="003F3613"/>
    <w:rsid w:val="003F3C5F"/>
    <w:rsid w:val="003F4A0C"/>
    <w:rsid w:val="003F5F67"/>
    <w:rsid w:val="00400019"/>
    <w:rsid w:val="00400E42"/>
    <w:rsid w:val="00403ACA"/>
    <w:rsid w:val="00404DFD"/>
    <w:rsid w:val="004056FF"/>
    <w:rsid w:val="00406023"/>
    <w:rsid w:val="00406186"/>
    <w:rsid w:val="004067DE"/>
    <w:rsid w:val="004069E5"/>
    <w:rsid w:val="00407251"/>
    <w:rsid w:val="0040752F"/>
    <w:rsid w:val="0041113A"/>
    <w:rsid w:val="0041148D"/>
    <w:rsid w:val="00411BDC"/>
    <w:rsid w:val="00411BE5"/>
    <w:rsid w:val="0041218E"/>
    <w:rsid w:val="004126D8"/>
    <w:rsid w:val="00413CAE"/>
    <w:rsid w:val="00415D25"/>
    <w:rsid w:val="00416160"/>
    <w:rsid w:val="00420E41"/>
    <w:rsid w:val="0042163F"/>
    <w:rsid w:val="00421A56"/>
    <w:rsid w:val="00426ACD"/>
    <w:rsid w:val="004273E3"/>
    <w:rsid w:val="004307E9"/>
    <w:rsid w:val="00430D1E"/>
    <w:rsid w:val="004331DB"/>
    <w:rsid w:val="00433927"/>
    <w:rsid w:val="00436490"/>
    <w:rsid w:val="00436871"/>
    <w:rsid w:val="00436ED1"/>
    <w:rsid w:val="004374E5"/>
    <w:rsid w:val="004410A7"/>
    <w:rsid w:val="00445933"/>
    <w:rsid w:val="004476CE"/>
    <w:rsid w:val="00450E7A"/>
    <w:rsid w:val="00450F1C"/>
    <w:rsid w:val="0045263A"/>
    <w:rsid w:val="004527DC"/>
    <w:rsid w:val="004531CB"/>
    <w:rsid w:val="0045497A"/>
    <w:rsid w:val="00454ACD"/>
    <w:rsid w:val="00455C1E"/>
    <w:rsid w:val="00455EB6"/>
    <w:rsid w:val="0045628F"/>
    <w:rsid w:val="0045652D"/>
    <w:rsid w:val="00457130"/>
    <w:rsid w:val="00457406"/>
    <w:rsid w:val="00457455"/>
    <w:rsid w:val="0046088A"/>
    <w:rsid w:val="004612D3"/>
    <w:rsid w:val="0046253A"/>
    <w:rsid w:val="004628E8"/>
    <w:rsid w:val="00463E67"/>
    <w:rsid w:val="00463F5E"/>
    <w:rsid w:val="00464E7A"/>
    <w:rsid w:val="0046515F"/>
    <w:rsid w:val="00466385"/>
    <w:rsid w:val="00466412"/>
    <w:rsid w:val="0047057A"/>
    <w:rsid w:val="00472050"/>
    <w:rsid w:val="004734E2"/>
    <w:rsid w:val="00473730"/>
    <w:rsid w:val="00473874"/>
    <w:rsid w:val="00473E25"/>
    <w:rsid w:val="00474403"/>
    <w:rsid w:val="00474B3E"/>
    <w:rsid w:val="00474DB6"/>
    <w:rsid w:val="00475333"/>
    <w:rsid w:val="00476899"/>
    <w:rsid w:val="00477F56"/>
    <w:rsid w:val="00484B54"/>
    <w:rsid w:val="00485714"/>
    <w:rsid w:val="004860C4"/>
    <w:rsid w:val="00486D81"/>
    <w:rsid w:val="00487AE4"/>
    <w:rsid w:val="0049114B"/>
    <w:rsid w:val="0049383F"/>
    <w:rsid w:val="004953FA"/>
    <w:rsid w:val="004A0859"/>
    <w:rsid w:val="004A214D"/>
    <w:rsid w:val="004A2380"/>
    <w:rsid w:val="004A2C59"/>
    <w:rsid w:val="004A5B2B"/>
    <w:rsid w:val="004A6EFC"/>
    <w:rsid w:val="004B055B"/>
    <w:rsid w:val="004B4187"/>
    <w:rsid w:val="004B6AC9"/>
    <w:rsid w:val="004C0339"/>
    <w:rsid w:val="004C0CE0"/>
    <w:rsid w:val="004C0DB6"/>
    <w:rsid w:val="004C41DF"/>
    <w:rsid w:val="004C420F"/>
    <w:rsid w:val="004C5C2D"/>
    <w:rsid w:val="004C5DE8"/>
    <w:rsid w:val="004C5F28"/>
    <w:rsid w:val="004D0FD2"/>
    <w:rsid w:val="004D1651"/>
    <w:rsid w:val="004D2A27"/>
    <w:rsid w:val="004D3B7E"/>
    <w:rsid w:val="004D4331"/>
    <w:rsid w:val="004D43E9"/>
    <w:rsid w:val="004D54F9"/>
    <w:rsid w:val="004D568B"/>
    <w:rsid w:val="004D741F"/>
    <w:rsid w:val="004E01B4"/>
    <w:rsid w:val="004E1DCD"/>
    <w:rsid w:val="004E1E4D"/>
    <w:rsid w:val="004E3A26"/>
    <w:rsid w:val="004E3EB1"/>
    <w:rsid w:val="004E4437"/>
    <w:rsid w:val="004E6BCA"/>
    <w:rsid w:val="004F0700"/>
    <w:rsid w:val="004F0E90"/>
    <w:rsid w:val="004F29AE"/>
    <w:rsid w:val="004F2AC1"/>
    <w:rsid w:val="004F428F"/>
    <w:rsid w:val="004F5094"/>
    <w:rsid w:val="004F5C56"/>
    <w:rsid w:val="004F6093"/>
    <w:rsid w:val="004F6890"/>
    <w:rsid w:val="004F6A10"/>
    <w:rsid w:val="004F703D"/>
    <w:rsid w:val="005001BE"/>
    <w:rsid w:val="00500D56"/>
    <w:rsid w:val="00500FF0"/>
    <w:rsid w:val="00501576"/>
    <w:rsid w:val="0050258B"/>
    <w:rsid w:val="005027E0"/>
    <w:rsid w:val="00502AD9"/>
    <w:rsid w:val="0050318B"/>
    <w:rsid w:val="00503932"/>
    <w:rsid w:val="005042EA"/>
    <w:rsid w:val="0050635F"/>
    <w:rsid w:val="0050640D"/>
    <w:rsid w:val="00506573"/>
    <w:rsid w:val="0050717B"/>
    <w:rsid w:val="005105EF"/>
    <w:rsid w:val="005111D6"/>
    <w:rsid w:val="005120CC"/>
    <w:rsid w:val="0051256C"/>
    <w:rsid w:val="005136B7"/>
    <w:rsid w:val="00515ECC"/>
    <w:rsid w:val="00516463"/>
    <w:rsid w:val="00516F58"/>
    <w:rsid w:val="005201C8"/>
    <w:rsid w:val="0052025A"/>
    <w:rsid w:val="00521AD3"/>
    <w:rsid w:val="005230B3"/>
    <w:rsid w:val="00524BF4"/>
    <w:rsid w:val="00526D15"/>
    <w:rsid w:val="00534785"/>
    <w:rsid w:val="00536529"/>
    <w:rsid w:val="00536954"/>
    <w:rsid w:val="005373BB"/>
    <w:rsid w:val="00542589"/>
    <w:rsid w:val="00542670"/>
    <w:rsid w:val="00542721"/>
    <w:rsid w:val="00542B26"/>
    <w:rsid w:val="0054306C"/>
    <w:rsid w:val="00543C09"/>
    <w:rsid w:val="00544CA7"/>
    <w:rsid w:val="00545D90"/>
    <w:rsid w:val="00547728"/>
    <w:rsid w:val="00547912"/>
    <w:rsid w:val="00547FA0"/>
    <w:rsid w:val="0055032F"/>
    <w:rsid w:val="005511BF"/>
    <w:rsid w:val="00551626"/>
    <w:rsid w:val="00551CBB"/>
    <w:rsid w:val="0055296A"/>
    <w:rsid w:val="0055383A"/>
    <w:rsid w:val="00555173"/>
    <w:rsid w:val="0055541E"/>
    <w:rsid w:val="00555B73"/>
    <w:rsid w:val="0055667D"/>
    <w:rsid w:val="0055731A"/>
    <w:rsid w:val="00560BB0"/>
    <w:rsid w:val="00561A8C"/>
    <w:rsid w:val="0056245D"/>
    <w:rsid w:val="00563869"/>
    <w:rsid w:val="00563A61"/>
    <w:rsid w:val="00563B93"/>
    <w:rsid w:val="005641D3"/>
    <w:rsid w:val="00566CF5"/>
    <w:rsid w:val="005670C0"/>
    <w:rsid w:val="0057044F"/>
    <w:rsid w:val="005707E8"/>
    <w:rsid w:val="00570C6A"/>
    <w:rsid w:val="00571F0C"/>
    <w:rsid w:val="00574071"/>
    <w:rsid w:val="00576F6F"/>
    <w:rsid w:val="005777B6"/>
    <w:rsid w:val="005812F7"/>
    <w:rsid w:val="00584C45"/>
    <w:rsid w:val="00584F2A"/>
    <w:rsid w:val="0058600E"/>
    <w:rsid w:val="0058626B"/>
    <w:rsid w:val="005866D3"/>
    <w:rsid w:val="00587E33"/>
    <w:rsid w:val="005947E7"/>
    <w:rsid w:val="00594FC1"/>
    <w:rsid w:val="005959E0"/>
    <w:rsid w:val="00596475"/>
    <w:rsid w:val="005969EE"/>
    <w:rsid w:val="005977FE"/>
    <w:rsid w:val="005A1202"/>
    <w:rsid w:val="005A5271"/>
    <w:rsid w:val="005B2ABA"/>
    <w:rsid w:val="005B37AA"/>
    <w:rsid w:val="005B40E1"/>
    <w:rsid w:val="005B4535"/>
    <w:rsid w:val="005B5A78"/>
    <w:rsid w:val="005B677C"/>
    <w:rsid w:val="005C2DF1"/>
    <w:rsid w:val="005C3EC9"/>
    <w:rsid w:val="005C591B"/>
    <w:rsid w:val="005C5F0A"/>
    <w:rsid w:val="005C6837"/>
    <w:rsid w:val="005C6997"/>
    <w:rsid w:val="005D1C3C"/>
    <w:rsid w:val="005D269C"/>
    <w:rsid w:val="005D3C34"/>
    <w:rsid w:val="005D3D62"/>
    <w:rsid w:val="005D4B3E"/>
    <w:rsid w:val="005D51CF"/>
    <w:rsid w:val="005D67B2"/>
    <w:rsid w:val="005D6A1A"/>
    <w:rsid w:val="005D78FB"/>
    <w:rsid w:val="005D7E9D"/>
    <w:rsid w:val="005E0AEF"/>
    <w:rsid w:val="005E0E41"/>
    <w:rsid w:val="005F1DBE"/>
    <w:rsid w:val="005F2005"/>
    <w:rsid w:val="005F25D8"/>
    <w:rsid w:val="005F3FB1"/>
    <w:rsid w:val="005F459C"/>
    <w:rsid w:val="005F60FA"/>
    <w:rsid w:val="005F68F9"/>
    <w:rsid w:val="00600E35"/>
    <w:rsid w:val="00602131"/>
    <w:rsid w:val="0060294D"/>
    <w:rsid w:val="006039A4"/>
    <w:rsid w:val="00604A40"/>
    <w:rsid w:val="00606446"/>
    <w:rsid w:val="00607F1A"/>
    <w:rsid w:val="00610F94"/>
    <w:rsid w:val="006114CB"/>
    <w:rsid w:val="006121FA"/>
    <w:rsid w:val="00613DD7"/>
    <w:rsid w:val="00616C33"/>
    <w:rsid w:val="006174E8"/>
    <w:rsid w:val="0062097E"/>
    <w:rsid w:val="00623589"/>
    <w:rsid w:val="00627D9A"/>
    <w:rsid w:val="0063029C"/>
    <w:rsid w:val="00630B03"/>
    <w:rsid w:val="006313DE"/>
    <w:rsid w:val="006328BF"/>
    <w:rsid w:val="00632F1B"/>
    <w:rsid w:val="006330C1"/>
    <w:rsid w:val="00633F1C"/>
    <w:rsid w:val="00635501"/>
    <w:rsid w:val="0063585A"/>
    <w:rsid w:val="006369DE"/>
    <w:rsid w:val="00636C3E"/>
    <w:rsid w:val="00637D3D"/>
    <w:rsid w:val="00643EF2"/>
    <w:rsid w:val="00646540"/>
    <w:rsid w:val="006476E9"/>
    <w:rsid w:val="00647C17"/>
    <w:rsid w:val="006504D0"/>
    <w:rsid w:val="00650768"/>
    <w:rsid w:val="006507D9"/>
    <w:rsid w:val="006512A6"/>
    <w:rsid w:val="0065164C"/>
    <w:rsid w:val="00651818"/>
    <w:rsid w:val="006548AC"/>
    <w:rsid w:val="00656F84"/>
    <w:rsid w:val="006631C6"/>
    <w:rsid w:val="006633E1"/>
    <w:rsid w:val="00664B21"/>
    <w:rsid w:val="006658CE"/>
    <w:rsid w:val="00667303"/>
    <w:rsid w:val="006675AC"/>
    <w:rsid w:val="006707BA"/>
    <w:rsid w:val="00671427"/>
    <w:rsid w:val="00671D50"/>
    <w:rsid w:val="006755CB"/>
    <w:rsid w:val="0067662D"/>
    <w:rsid w:val="00680F86"/>
    <w:rsid w:val="00681DDB"/>
    <w:rsid w:val="00682E04"/>
    <w:rsid w:val="0068405C"/>
    <w:rsid w:val="006858C6"/>
    <w:rsid w:val="00685D3A"/>
    <w:rsid w:val="00686970"/>
    <w:rsid w:val="00687549"/>
    <w:rsid w:val="006912D2"/>
    <w:rsid w:val="006920D7"/>
    <w:rsid w:val="00692F14"/>
    <w:rsid w:val="00693C20"/>
    <w:rsid w:val="00693FAF"/>
    <w:rsid w:val="006944EB"/>
    <w:rsid w:val="006946EF"/>
    <w:rsid w:val="006953B7"/>
    <w:rsid w:val="006A0B58"/>
    <w:rsid w:val="006A1303"/>
    <w:rsid w:val="006A1388"/>
    <w:rsid w:val="006A2CA7"/>
    <w:rsid w:val="006A4280"/>
    <w:rsid w:val="006A4D90"/>
    <w:rsid w:val="006A6DA8"/>
    <w:rsid w:val="006B0DAC"/>
    <w:rsid w:val="006B1B31"/>
    <w:rsid w:val="006B44E7"/>
    <w:rsid w:val="006B490E"/>
    <w:rsid w:val="006B4C10"/>
    <w:rsid w:val="006B5FA1"/>
    <w:rsid w:val="006C20EB"/>
    <w:rsid w:val="006C2668"/>
    <w:rsid w:val="006C7A8E"/>
    <w:rsid w:val="006D11B5"/>
    <w:rsid w:val="006D1737"/>
    <w:rsid w:val="006D23B7"/>
    <w:rsid w:val="006D333C"/>
    <w:rsid w:val="006D3804"/>
    <w:rsid w:val="006D444D"/>
    <w:rsid w:val="006D4FBB"/>
    <w:rsid w:val="006D637C"/>
    <w:rsid w:val="006D7B9F"/>
    <w:rsid w:val="006E1EEA"/>
    <w:rsid w:val="006E2D5A"/>
    <w:rsid w:val="006E3209"/>
    <w:rsid w:val="006E5044"/>
    <w:rsid w:val="006E55E9"/>
    <w:rsid w:val="006F0954"/>
    <w:rsid w:val="006F105A"/>
    <w:rsid w:val="006F2DDB"/>
    <w:rsid w:val="006F3C77"/>
    <w:rsid w:val="006F68A5"/>
    <w:rsid w:val="00700A74"/>
    <w:rsid w:val="00701280"/>
    <w:rsid w:val="00701E0D"/>
    <w:rsid w:val="00703C25"/>
    <w:rsid w:val="00707024"/>
    <w:rsid w:val="007120B6"/>
    <w:rsid w:val="00712F26"/>
    <w:rsid w:val="00715535"/>
    <w:rsid w:val="00715B64"/>
    <w:rsid w:val="00721055"/>
    <w:rsid w:val="00722624"/>
    <w:rsid w:val="007229E4"/>
    <w:rsid w:val="00722D77"/>
    <w:rsid w:val="0072410B"/>
    <w:rsid w:val="00724609"/>
    <w:rsid w:val="00726B79"/>
    <w:rsid w:val="007304B0"/>
    <w:rsid w:val="00733729"/>
    <w:rsid w:val="0073408F"/>
    <w:rsid w:val="00736DC9"/>
    <w:rsid w:val="00740461"/>
    <w:rsid w:val="007404A1"/>
    <w:rsid w:val="00740633"/>
    <w:rsid w:val="00740766"/>
    <w:rsid w:val="00741505"/>
    <w:rsid w:val="00741C07"/>
    <w:rsid w:val="00744035"/>
    <w:rsid w:val="0074668C"/>
    <w:rsid w:val="007501EC"/>
    <w:rsid w:val="00750F70"/>
    <w:rsid w:val="00750FB7"/>
    <w:rsid w:val="00753118"/>
    <w:rsid w:val="00754159"/>
    <w:rsid w:val="007543E8"/>
    <w:rsid w:val="00754755"/>
    <w:rsid w:val="00754C5C"/>
    <w:rsid w:val="007566E4"/>
    <w:rsid w:val="00757FF6"/>
    <w:rsid w:val="007658CF"/>
    <w:rsid w:val="00765E18"/>
    <w:rsid w:val="0076796D"/>
    <w:rsid w:val="00771428"/>
    <w:rsid w:val="00772632"/>
    <w:rsid w:val="00774055"/>
    <w:rsid w:val="0077424F"/>
    <w:rsid w:val="007747A8"/>
    <w:rsid w:val="00774D63"/>
    <w:rsid w:val="007756AB"/>
    <w:rsid w:val="00777A92"/>
    <w:rsid w:val="00780E36"/>
    <w:rsid w:val="00782C61"/>
    <w:rsid w:val="007842C1"/>
    <w:rsid w:val="007842EE"/>
    <w:rsid w:val="00784975"/>
    <w:rsid w:val="00787B51"/>
    <w:rsid w:val="00787CB0"/>
    <w:rsid w:val="00792301"/>
    <w:rsid w:val="0079329F"/>
    <w:rsid w:val="0079486A"/>
    <w:rsid w:val="007A09FB"/>
    <w:rsid w:val="007A0BD2"/>
    <w:rsid w:val="007A2824"/>
    <w:rsid w:val="007A2963"/>
    <w:rsid w:val="007A438C"/>
    <w:rsid w:val="007A56C8"/>
    <w:rsid w:val="007A62D5"/>
    <w:rsid w:val="007A661E"/>
    <w:rsid w:val="007B0727"/>
    <w:rsid w:val="007B07D1"/>
    <w:rsid w:val="007B17A9"/>
    <w:rsid w:val="007B2618"/>
    <w:rsid w:val="007B2939"/>
    <w:rsid w:val="007B2B58"/>
    <w:rsid w:val="007B5C48"/>
    <w:rsid w:val="007B6898"/>
    <w:rsid w:val="007B7D9F"/>
    <w:rsid w:val="007C1332"/>
    <w:rsid w:val="007C2B7D"/>
    <w:rsid w:val="007C2CE2"/>
    <w:rsid w:val="007C69CC"/>
    <w:rsid w:val="007D0529"/>
    <w:rsid w:val="007D0A39"/>
    <w:rsid w:val="007D6C7D"/>
    <w:rsid w:val="007D7D02"/>
    <w:rsid w:val="007E09BA"/>
    <w:rsid w:val="007E3660"/>
    <w:rsid w:val="007E5707"/>
    <w:rsid w:val="007E600B"/>
    <w:rsid w:val="007E6907"/>
    <w:rsid w:val="007F160C"/>
    <w:rsid w:val="007F163A"/>
    <w:rsid w:val="007F239D"/>
    <w:rsid w:val="007F2AAE"/>
    <w:rsid w:val="007F469B"/>
    <w:rsid w:val="007F5724"/>
    <w:rsid w:val="007F684F"/>
    <w:rsid w:val="007F6861"/>
    <w:rsid w:val="00800C2A"/>
    <w:rsid w:val="00801E1A"/>
    <w:rsid w:val="0080346F"/>
    <w:rsid w:val="00803DA0"/>
    <w:rsid w:val="008052A1"/>
    <w:rsid w:val="008079F7"/>
    <w:rsid w:val="00807C6C"/>
    <w:rsid w:val="00807D74"/>
    <w:rsid w:val="00810793"/>
    <w:rsid w:val="00811173"/>
    <w:rsid w:val="00811480"/>
    <w:rsid w:val="008126BC"/>
    <w:rsid w:val="00813DAD"/>
    <w:rsid w:val="00813E26"/>
    <w:rsid w:val="00814DF8"/>
    <w:rsid w:val="008165D0"/>
    <w:rsid w:val="00816E47"/>
    <w:rsid w:val="00817091"/>
    <w:rsid w:val="00821415"/>
    <w:rsid w:val="008214CE"/>
    <w:rsid w:val="00821624"/>
    <w:rsid w:val="00823ECA"/>
    <w:rsid w:val="00824DDD"/>
    <w:rsid w:val="008307E3"/>
    <w:rsid w:val="00832A70"/>
    <w:rsid w:val="00832CE8"/>
    <w:rsid w:val="00833338"/>
    <w:rsid w:val="00835828"/>
    <w:rsid w:val="008365ED"/>
    <w:rsid w:val="0083733B"/>
    <w:rsid w:val="008378F0"/>
    <w:rsid w:val="00841A4F"/>
    <w:rsid w:val="00841FD7"/>
    <w:rsid w:val="008428D8"/>
    <w:rsid w:val="0084294D"/>
    <w:rsid w:val="008432BA"/>
    <w:rsid w:val="00844875"/>
    <w:rsid w:val="00845511"/>
    <w:rsid w:val="00845BA7"/>
    <w:rsid w:val="008462F9"/>
    <w:rsid w:val="00846616"/>
    <w:rsid w:val="00847D72"/>
    <w:rsid w:val="0085054F"/>
    <w:rsid w:val="008524B2"/>
    <w:rsid w:val="00853083"/>
    <w:rsid w:val="0085593B"/>
    <w:rsid w:val="008560E8"/>
    <w:rsid w:val="008606DB"/>
    <w:rsid w:val="008618C5"/>
    <w:rsid w:val="00862BCD"/>
    <w:rsid w:val="008634E8"/>
    <w:rsid w:val="00863F82"/>
    <w:rsid w:val="00865BC3"/>
    <w:rsid w:val="00867AE7"/>
    <w:rsid w:val="00867DBC"/>
    <w:rsid w:val="00870798"/>
    <w:rsid w:val="00872B92"/>
    <w:rsid w:val="00872EA9"/>
    <w:rsid w:val="00873566"/>
    <w:rsid w:val="0087643D"/>
    <w:rsid w:val="008766E0"/>
    <w:rsid w:val="00877E1A"/>
    <w:rsid w:val="008805D3"/>
    <w:rsid w:val="0088101D"/>
    <w:rsid w:val="0088112C"/>
    <w:rsid w:val="00881C08"/>
    <w:rsid w:val="00881CAF"/>
    <w:rsid w:val="00882888"/>
    <w:rsid w:val="00883179"/>
    <w:rsid w:val="00883D6D"/>
    <w:rsid w:val="00884B6E"/>
    <w:rsid w:val="008851F7"/>
    <w:rsid w:val="00885251"/>
    <w:rsid w:val="00885377"/>
    <w:rsid w:val="008909DF"/>
    <w:rsid w:val="0089252D"/>
    <w:rsid w:val="00893209"/>
    <w:rsid w:val="00893EF1"/>
    <w:rsid w:val="00895C30"/>
    <w:rsid w:val="00895DF0"/>
    <w:rsid w:val="00896563"/>
    <w:rsid w:val="00897EEF"/>
    <w:rsid w:val="008A182D"/>
    <w:rsid w:val="008A21C0"/>
    <w:rsid w:val="008A291F"/>
    <w:rsid w:val="008A4648"/>
    <w:rsid w:val="008A5E52"/>
    <w:rsid w:val="008A69C2"/>
    <w:rsid w:val="008A6DDA"/>
    <w:rsid w:val="008A795D"/>
    <w:rsid w:val="008B0293"/>
    <w:rsid w:val="008B0334"/>
    <w:rsid w:val="008B104B"/>
    <w:rsid w:val="008B1323"/>
    <w:rsid w:val="008B4112"/>
    <w:rsid w:val="008B48B9"/>
    <w:rsid w:val="008B5059"/>
    <w:rsid w:val="008B5B19"/>
    <w:rsid w:val="008B6776"/>
    <w:rsid w:val="008B69A8"/>
    <w:rsid w:val="008C1C4E"/>
    <w:rsid w:val="008C2656"/>
    <w:rsid w:val="008C2A8B"/>
    <w:rsid w:val="008C2DEA"/>
    <w:rsid w:val="008C4AD4"/>
    <w:rsid w:val="008C534B"/>
    <w:rsid w:val="008C5DAE"/>
    <w:rsid w:val="008C6866"/>
    <w:rsid w:val="008C69AF"/>
    <w:rsid w:val="008C79F5"/>
    <w:rsid w:val="008D1FA8"/>
    <w:rsid w:val="008D258F"/>
    <w:rsid w:val="008D2B5C"/>
    <w:rsid w:val="008D32D8"/>
    <w:rsid w:val="008D3F4E"/>
    <w:rsid w:val="008D718E"/>
    <w:rsid w:val="008D732A"/>
    <w:rsid w:val="008E2140"/>
    <w:rsid w:val="008E2895"/>
    <w:rsid w:val="008E3D3E"/>
    <w:rsid w:val="008E56D0"/>
    <w:rsid w:val="008E6348"/>
    <w:rsid w:val="008F2825"/>
    <w:rsid w:val="008F29A7"/>
    <w:rsid w:val="008F2DE3"/>
    <w:rsid w:val="008F3090"/>
    <w:rsid w:val="008F4CF3"/>
    <w:rsid w:val="008F5C80"/>
    <w:rsid w:val="008F6284"/>
    <w:rsid w:val="008F7D45"/>
    <w:rsid w:val="009012A1"/>
    <w:rsid w:val="00902ED2"/>
    <w:rsid w:val="0090323D"/>
    <w:rsid w:val="00903FDC"/>
    <w:rsid w:val="00904329"/>
    <w:rsid w:val="00904361"/>
    <w:rsid w:val="0090465D"/>
    <w:rsid w:val="009057E6"/>
    <w:rsid w:val="00906354"/>
    <w:rsid w:val="009073E7"/>
    <w:rsid w:val="00910B40"/>
    <w:rsid w:val="009117F5"/>
    <w:rsid w:val="00912475"/>
    <w:rsid w:val="00914978"/>
    <w:rsid w:val="0091752D"/>
    <w:rsid w:val="00920FB0"/>
    <w:rsid w:val="00920FB4"/>
    <w:rsid w:val="0092373C"/>
    <w:rsid w:val="00923922"/>
    <w:rsid w:val="00923C77"/>
    <w:rsid w:val="00924EFE"/>
    <w:rsid w:val="0092616F"/>
    <w:rsid w:val="009262D9"/>
    <w:rsid w:val="0092671A"/>
    <w:rsid w:val="00926CBB"/>
    <w:rsid w:val="00926DD0"/>
    <w:rsid w:val="009309C7"/>
    <w:rsid w:val="00931A62"/>
    <w:rsid w:val="00931D6A"/>
    <w:rsid w:val="00932F07"/>
    <w:rsid w:val="00933B5A"/>
    <w:rsid w:val="009347C5"/>
    <w:rsid w:val="00934986"/>
    <w:rsid w:val="0093616E"/>
    <w:rsid w:val="00936F6A"/>
    <w:rsid w:val="00936FCF"/>
    <w:rsid w:val="00940DB2"/>
    <w:rsid w:val="00941078"/>
    <w:rsid w:val="00945844"/>
    <w:rsid w:val="00945B53"/>
    <w:rsid w:val="009478F2"/>
    <w:rsid w:val="0095008B"/>
    <w:rsid w:val="009524F5"/>
    <w:rsid w:val="00953C29"/>
    <w:rsid w:val="0095482D"/>
    <w:rsid w:val="0095690A"/>
    <w:rsid w:val="00963BBB"/>
    <w:rsid w:val="00964E03"/>
    <w:rsid w:val="0096561B"/>
    <w:rsid w:val="009656C3"/>
    <w:rsid w:val="00967308"/>
    <w:rsid w:val="009761D3"/>
    <w:rsid w:val="0097692E"/>
    <w:rsid w:val="009769A7"/>
    <w:rsid w:val="009804C0"/>
    <w:rsid w:val="009806A5"/>
    <w:rsid w:val="00980E10"/>
    <w:rsid w:val="009823BD"/>
    <w:rsid w:val="00982E7D"/>
    <w:rsid w:val="009835BA"/>
    <w:rsid w:val="00983C93"/>
    <w:rsid w:val="00985189"/>
    <w:rsid w:val="009902D2"/>
    <w:rsid w:val="00990E2D"/>
    <w:rsid w:val="009910BE"/>
    <w:rsid w:val="00991DB0"/>
    <w:rsid w:val="009927DE"/>
    <w:rsid w:val="00996B38"/>
    <w:rsid w:val="009A032F"/>
    <w:rsid w:val="009A1898"/>
    <w:rsid w:val="009A2CF6"/>
    <w:rsid w:val="009A355C"/>
    <w:rsid w:val="009A3B11"/>
    <w:rsid w:val="009A41EE"/>
    <w:rsid w:val="009A4DC1"/>
    <w:rsid w:val="009A5501"/>
    <w:rsid w:val="009A5A4C"/>
    <w:rsid w:val="009A625F"/>
    <w:rsid w:val="009A6996"/>
    <w:rsid w:val="009B0037"/>
    <w:rsid w:val="009B04EB"/>
    <w:rsid w:val="009B109F"/>
    <w:rsid w:val="009B12E5"/>
    <w:rsid w:val="009B3598"/>
    <w:rsid w:val="009B3D86"/>
    <w:rsid w:val="009C052F"/>
    <w:rsid w:val="009C05C2"/>
    <w:rsid w:val="009C1836"/>
    <w:rsid w:val="009C2361"/>
    <w:rsid w:val="009C25F5"/>
    <w:rsid w:val="009C2883"/>
    <w:rsid w:val="009C29C4"/>
    <w:rsid w:val="009C31AB"/>
    <w:rsid w:val="009C399E"/>
    <w:rsid w:val="009C42E5"/>
    <w:rsid w:val="009C473C"/>
    <w:rsid w:val="009C5343"/>
    <w:rsid w:val="009C717F"/>
    <w:rsid w:val="009D04EA"/>
    <w:rsid w:val="009D244B"/>
    <w:rsid w:val="009D2C7D"/>
    <w:rsid w:val="009D3D0B"/>
    <w:rsid w:val="009D53A4"/>
    <w:rsid w:val="009D7234"/>
    <w:rsid w:val="009E0994"/>
    <w:rsid w:val="009E0D43"/>
    <w:rsid w:val="009E2929"/>
    <w:rsid w:val="009E3803"/>
    <w:rsid w:val="009E3DD0"/>
    <w:rsid w:val="009E479D"/>
    <w:rsid w:val="009E5288"/>
    <w:rsid w:val="009E5CD3"/>
    <w:rsid w:val="009E6344"/>
    <w:rsid w:val="009E63AE"/>
    <w:rsid w:val="009E725B"/>
    <w:rsid w:val="009F1EFF"/>
    <w:rsid w:val="009F351B"/>
    <w:rsid w:val="009F3D70"/>
    <w:rsid w:val="009F61DB"/>
    <w:rsid w:val="009F7535"/>
    <w:rsid w:val="009F7C4D"/>
    <w:rsid w:val="00A0025F"/>
    <w:rsid w:val="00A00A6A"/>
    <w:rsid w:val="00A04F51"/>
    <w:rsid w:val="00A05E65"/>
    <w:rsid w:val="00A06022"/>
    <w:rsid w:val="00A074D9"/>
    <w:rsid w:val="00A07648"/>
    <w:rsid w:val="00A12065"/>
    <w:rsid w:val="00A13338"/>
    <w:rsid w:val="00A13368"/>
    <w:rsid w:val="00A13D3D"/>
    <w:rsid w:val="00A14289"/>
    <w:rsid w:val="00A14631"/>
    <w:rsid w:val="00A16E0E"/>
    <w:rsid w:val="00A221B5"/>
    <w:rsid w:val="00A227A5"/>
    <w:rsid w:val="00A2281F"/>
    <w:rsid w:val="00A22AE0"/>
    <w:rsid w:val="00A25AA1"/>
    <w:rsid w:val="00A267B6"/>
    <w:rsid w:val="00A26F1D"/>
    <w:rsid w:val="00A27459"/>
    <w:rsid w:val="00A274DD"/>
    <w:rsid w:val="00A3033D"/>
    <w:rsid w:val="00A30707"/>
    <w:rsid w:val="00A32255"/>
    <w:rsid w:val="00A32802"/>
    <w:rsid w:val="00A33A5E"/>
    <w:rsid w:val="00A363C9"/>
    <w:rsid w:val="00A37013"/>
    <w:rsid w:val="00A37501"/>
    <w:rsid w:val="00A37C1C"/>
    <w:rsid w:val="00A406D2"/>
    <w:rsid w:val="00A4162E"/>
    <w:rsid w:val="00A41DF3"/>
    <w:rsid w:val="00A42D67"/>
    <w:rsid w:val="00A46682"/>
    <w:rsid w:val="00A46808"/>
    <w:rsid w:val="00A50618"/>
    <w:rsid w:val="00A50A99"/>
    <w:rsid w:val="00A50F99"/>
    <w:rsid w:val="00A50FB0"/>
    <w:rsid w:val="00A512FA"/>
    <w:rsid w:val="00A52E56"/>
    <w:rsid w:val="00A53845"/>
    <w:rsid w:val="00A5399D"/>
    <w:rsid w:val="00A53CA1"/>
    <w:rsid w:val="00A54B9F"/>
    <w:rsid w:val="00A557F0"/>
    <w:rsid w:val="00A5622B"/>
    <w:rsid w:val="00A57D0B"/>
    <w:rsid w:val="00A61076"/>
    <w:rsid w:val="00A61FE4"/>
    <w:rsid w:val="00A6571D"/>
    <w:rsid w:val="00A662B8"/>
    <w:rsid w:val="00A70B63"/>
    <w:rsid w:val="00A72686"/>
    <w:rsid w:val="00A7289F"/>
    <w:rsid w:val="00A737EE"/>
    <w:rsid w:val="00A73C8E"/>
    <w:rsid w:val="00A74518"/>
    <w:rsid w:val="00A76BCD"/>
    <w:rsid w:val="00A829B2"/>
    <w:rsid w:val="00A83822"/>
    <w:rsid w:val="00A84963"/>
    <w:rsid w:val="00A85CFD"/>
    <w:rsid w:val="00A8610B"/>
    <w:rsid w:val="00A93EAF"/>
    <w:rsid w:val="00A94618"/>
    <w:rsid w:val="00A95689"/>
    <w:rsid w:val="00A95913"/>
    <w:rsid w:val="00AA1F4E"/>
    <w:rsid w:val="00AA210D"/>
    <w:rsid w:val="00AA5BFD"/>
    <w:rsid w:val="00AA6609"/>
    <w:rsid w:val="00AA7509"/>
    <w:rsid w:val="00AB0056"/>
    <w:rsid w:val="00AB08F2"/>
    <w:rsid w:val="00AB0AA4"/>
    <w:rsid w:val="00AB2F02"/>
    <w:rsid w:val="00AB4C35"/>
    <w:rsid w:val="00AC1470"/>
    <w:rsid w:val="00AC1D57"/>
    <w:rsid w:val="00AC21C7"/>
    <w:rsid w:val="00AC2BA1"/>
    <w:rsid w:val="00AC36D3"/>
    <w:rsid w:val="00AC41AC"/>
    <w:rsid w:val="00AC595C"/>
    <w:rsid w:val="00AC7BE2"/>
    <w:rsid w:val="00AD0218"/>
    <w:rsid w:val="00AD17EE"/>
    <w:rsid w:val="00AD64CD"/>
    <w:rsid w:val="00AE0EEC"/>
    <w:rsid w:val="00AE104B"/>
    <w:rsid w:val="00AE1451"/>
    <w:rsid w:val="00AE2563"/>
    <w:rsid w:val="00AE3D4F"/>
    <w:rsid w:val="00AE4019"/>
    <w:rsid w:val="00AE451D"/>
    <w:rsid w:val="00AF0EF5"/>
    <w:rsid w:val="00AF4E21"/>
    <w:rsid w:val="00AF7AA9"/>
    <w:rsid w:val="00B01404"/>
    <w:rsid w:val="00B016F3"/>
    <w:rsid w:val="00B01D32"/>
    <w:rsid w:val="00B02875"/>
    <w:rsid w:val="00B048C8"/>
    <w:rsid w:val="00B11ADC"/>
    <w:rsid w:val="00B130CD"/>
    <w:rsid w:val="00B130E5"/>
    <w:rsid w:val="00B13924"/>
    <w:rsid w:val="00B13D55"/>
    <w:rsid w:val="00B215D2"/>
    <w:rsid w:val="00B246C2"/>
    <w:rsid w:val="00B24C99"/>
    <w:rsid w:val="00B255E0"/>
    <w:rsid w:val="00B26988"/>
    <w:rsid w:val="00B271B7"/>
    <w:rsid w:val="00B305E6"/>
    <w:rsid w:val="00B318FE"/>
    <w:rsid w:val="00B323A5"/>
    <w:rsid w:val="00B32555"/>
    <w:rsid w:val="00B32A39"/>
    <w:rsid w:val="00B341B6"/>
    <w:rsid w:val="00B4018B"/>
    <w:rsid w:val="00B40D89"/>
    <w:rsid w:val="00B40E29"/>
    <w:rsid w:val="00B44E41"/>
    <w:rsid w:val="00B46212"/>
    <w:rsid w:val="00B47F1E"/>
    <w:rsid w:val="00B52099"/>
    <w:rsid w:val="00B52A67"/>
    <w:rsid w:val="00B57032"/>
    <w:rsid w:val="00B57EB5"/>
    <w:rsid w:val="00B60618"/>
    <w:rsid w:val="00B614FC"/>
    <w:rsid w:val="00B62037"/>
    <w:rsid w:val="00B62B05"/>
    <w:rsid w:val="00B6334B"/>
    <w:rsid w:val="00B6690D"/>
    <w:rsid w:val="00B70003"/>
    <w:rsid w:val="00B707FE"/>
    <w:rsid w:val="00B75558"/>
    <w:rsid w:val="00B7625B"/>
    <w:rsid w:val="00B774EC"/>
    <w:rsid w:val="00B77866"/>
    <w:rsid w:val="00B77F00"/>
    <w:rsid w:val="00B80A19"/>
    <w:rsid w:val="00B81B74"/>
    <w:rsid w:val="00B81ECD"/>
    <w:rsid w:val="00B8505C"/>
    <w:rsid w:val="00B85910"/>
    <w:rsid w:val="00B8691E"/>
    <w:rsid w:val="00B86EA2"/>
    <w:rsid w:val="00B90C47"/>
    <w:rsid w:val="00B91F4F"/>
    <w:rsid w:val="00B92D42"/>
    <w:rsid w:val="00B93A9C"/>
    <w:rsid w:val="00B951CD"/>
    <w:rsid w:val="00B95219"/>
    <w:rsid w:val="00B95A8E"/>
    <w:rsid w:val="00B96368"/>
    <w:rsid w:val="00B9668E"/>
    <w:rsid w:val="00BA1F3E"/>
    <w:rsid w:val="00BA4E54"/>
    <w:rsid w:val="00BA5544"/>
    <w:rsid w:val="00BB0D4C"/>
    <w:rsid w:val="00BB0F5A"/>
    <w:rsid w:val="00BB1C2B"/>
    <w:rsid w:val="00BB4F9D"/>
    <w:rsid w:val="00BB7FD0"/>
    <w:rsid w:val="00BC2896"/>
    <w:rsid w:val="00BC2AA4"/>
    <w:rsid w:val="00BC30E9"/>
    <w:rsid w:val="00BC3610"/>
    <w:rsid w:val="00BC45A9"/>
    <w:rsid w:val="00BC4E87"/>
    <w:rsid w:val="00BD1D01"/>
    <w:rsid w:val="00BD232E"/>
    <w:rsid w:val="00BD4DB2"/>
    <w:rsid w:val="00BD69B6"/>
    <w:rsid w:val="00BD6F2C"/>
    <w:rsid w:val="00BD707E"/>
    <w:rsid w:val="00BE0EE6"/>
    <w:rsid w:val="00BE3649"/>
    <w:rsid w:val="00BE4A46"/>
    <w:rsid w:val="00BE5181"/>
    <w:rsid w:val="00BE55EB"/>
    <w:rsid w:val="00BE6578"/>
    <w:rsid w:val="00BE7247"/>
    <w:rsid w:val="00BE7685"/>
    <w:rsid w:val="00BE783E"/>
    <w:rsid w:val="00BF0814"/>
    <w:rsid w:val="00BF0818"/>
    <w:rsid w:val="00BF19A0"/>
    <w:rsid w:val="00BF301A"/>
    <w:rsid w:val="00BF3319"/>
    <w:rsid w:val="00BF3872"/>
    <w:rsid w:val="00BF6025"/>
    <w:rsid w:val="00BF77F6"/>
    <w:rsid w:val="00BF7C23"/>
    <w:rsid w:val="00C00BFF"/>
    <w:rsid w:val="00C018B2"/>
    <w:rsid w:val="00C02E3F"/>
    <w:rsid w:val="00C034D3"/>
    <w:rsid w:val="00C037AE"/>
    <w:rsid w:val="00C0759D"/>
    <w:rsid w:val="00C11E7F"/>
    <w:rsid w:val="00C139B4"/>
    <w:rsid w:val="00C14290"/>
    <w:rsid w:val="00C14E0D"/>
    <w:rsid w:val="00C159A3"/>
    <w:rsid w:val="00C22033"/>
    <w:rsid w:val="00C252F2"/>
    <w:rsid w:val="00C2556A"/>
    <w:rsid w:val="00C2613E"/>
    <w:rsid w:val="00C27257"/>
    <w:rsid w:val="00C30195"/>
    <w:rsid w:val="00C303BB"/>
    <w:rsid w:val="00C30E9E"/>
    <w:rsid w:val="00C31AAB"/>
    <w:rsid w:val="00C34F4F"/>
    <w:rsid w:val="00C35072"/>
    <w:rsid w:val="00C3575D"/>
    <w:rsid w:val="00C36D33"/>
    <w:rsid w:val="00C40161"/>
    <w:rsid w:val="00C40404"/>
    <w:rsid w:val="00C41295"/>
    <w:rsid w:val="00C41CF1"/>
    <w:rsid w:val="00C4322E"/>
    <w:rsid w:val="00C43B5A"/>
    <w:rsid w:val="00C45A7A"/>
    <w:rsid w:val="00C45D04"/>
    <w:rsid w:val="00C47E77"/>
    <w:rsid w:val="00C50AFF"/>
    <w:rsid w:val="00C50D79"/>
    <w:rsid w:val="00C51BB3"/>
    <w:rsid w:val="00C51F3C"/>
    <w:rsid w:val="00C53700"/>
    <w:rsid w:val="00C56643"/>
    <w:rsid w:val="00C60E7F"/>
    <w:rsid w:val="00C60F39"/>
    <w:rsid w:val="00C65300"/>
    <w:rsid w:val="00C6531E"/>
    <w:rsid w:val="00C6638F"/>
    <w:rsid w:val="00C66B0E"/>
    <w:rsid w:val="00C67EB0"/>
    <w:rsid w:val="00C70D24"/>
    <w:rsid w:val="00C7153F"/>
    <w:rsid w:val="00C7194F"/>
    <w:rsid w:val="00C71F7E"/>
    <w:rsid w:val="00C766FA"/>
    <w:rsid w:val="00C8114C"/>
    <w:rsid w:val="00C82F1D"/>
    <w:rsid w:val="00C846AE"/>
    <w:rsid w:val="00C8495B"/>
    <w:rsid w:val="00C852B0"/>
    <w:rsid w:val="00C86644"/>
    <w:rsid w:val="00C9073E"/>
    <w:rsid w:val="00C90C07"/>
    <w:rsid w:val="00C90E24"/>
    <w:rsid w:val="00C9551A"/>
    <w:rsid w:val="00C95A74"/>
    <w:rsid w:val="00C95E77"/>
    <w:rsid w:val="00C96673"/>
    <w:rsid w:val="00C97502"/>
    <w:rsid w:val="00C9752B"/>
    <w:rsid w:val="00C97714"/>
    <w:rsid w:val="00CA0CE4"/>
    <w:rsid w:val="00CA1BF1"/>
    <w:rsid w:val="00CA2586"/>
    <w:rsid w:val="00CA2612"/>
    <w:rsid w:val="00CA32A5"/>
    <w:rsid w:val="00CA358C"/>
    <w:rsid w:val="00CA4ABD"/>
    <w:rsid w:val="00CA4E88"/>
    <w:rsid w:val="00CA5556"/>
    <w:rsid w:val="00CA5CFF"/>
    <w:rsid w:val="00CA71B2"/>
    <w:rsid w:val="00CB2956"/>
    <w:rsid w:val="00CB29B7"/>
    <w:rsid w:val="00CB39B3"/>
    <w:rsid w:val="00CB5DB4"/>
    <w:rsid w:val="00CB6DED"/>
    <w:rsid w:val="00CB7206"/>
    <w:rsid w:val="00CB7E9E"/>
    <w:rsid w:val="00CC21CA"/>
    <w:rsid w:val="00CC25A6"/>
    <w:rsid w:val="00CC2D7B"/>
    <w:rsid w:val="00CC48AA"/>
    <w:rsid w:val="00CC615C"/>
    <w:rsid w:val="00CC7A81"/>
    <w:rsid w:val="00CC7D14"/>
    <w:rsid w:val="00CD4B6A"/>
    <w:rsid w:val="00CD6834"/>
    <w:rsid w:val="00CD6F1B"/>
    <w:rsid w:val="00CE0839"/>
    <w:rsid w:val="00CE0B19"/>
    <w:rsid w:val="00CE14B0"/>
    <w:rsid w:val="00CE174B"/>
    <w:rsid w:val="00CE7BB6"/>
    <w:rsid w:val="00CF19E2"/>
    <w:rsid w:val="00CF3772"/>
    <w:rsid w:val="00CF6CD7"/>
    <w:rsid w:val="00CF7E92"/>
    <w:rsid w:val="00D0321C"/>
    <w:rsid w:val="00D036FF"/>
    <w:rsid w:val="00D045F8"/>
    <w:rsid w:val="00D04E4A"/>
    <w:rsid w:val="00D05452"/>
    <w:rsid w:val="00D07F40"/>
    <w:rsid w:val="00D127AE"/>
    <w:rsid w:val="00D13FD4"/>
    <w:rsid w:val="00D1477B"/>
    <w:rsid w:val="00D15349"/>
    <w:rsid w:val="00D15D43"/>
    <w:rsid w:val="00D168EB"/>
    <w:rsid w:val="00D16C39"/>
    <w:rsid w:val="00D2026D"/>
    <w:rsid w:val="00D233C4"/>
    <w:rsid w:val="00D255ED"/>
    <w:rsid w:val="00D308EA"/>
    <w:rsid w:val="00D30D49"/>
    <w:rsid w:val="00D31FA9"/>
    <w:rsid w:val="00D33028"/>
    <w:rsid w:val="00D331E5"/>
    <w:rsid w:val="00D332D5"/>
    <w:rsid w:val="00D36743"/>
    <w:rsid w:val="00D410E3"/>
    <w:rsid w:val="00D42395"/>
    <w:rsid w:val="00D423E0"/>
    <w:rsid w:val="00D4392B"/>
    <w:rsid w:val="00D44984"/>
    <w:rsid w:val="00D44C1B"/>
    <w:rsid w:val="00D457CE"/>
    <w:rsid w:val="00D467A8"/>
    <w:rsid w:val="00D52A13"/>
    <w:rsid w:val="00D53E8B"/>
    <w:rsid w:val="00D55578"/>
    <w:rsid w:val="00D564E3"/>
    <w:rsid w:val="00D56807"/>
    <w:rsid w:val="00D574A4"/>
    <w:rsid w:val="00D6007F"/>
    <w:rsid w:val="00D60113"/>
    <w:rsid w:val="00D60A79"/>
    <w:rsid w:val="00D60E16"/>
    <w:rsid w:val="00D618CF"/>
    <w:rsid w:val="00D61A9B"/>
    <w:rsid w:val="00D62DAE"/>
    <w:rsid w:val="00D63D06"/>
    <w:rsid w:val="00D64A02"/>
    <w:rsid w:val="00D64ADE"/>
    <w:rsid w:val="00D656BD"/>
    <w:rsid w:val="00D66F92"/>
    <w:rsid w:val="00D67086"/>
    <w:rsid w:val="00D6715C"/>
    <w:rsid w:val="00D67D30"/>
    <w:rsid w:val="00D70E39"/>
    <w:rsid w:val="00D73DA9"/>
    <w:rsid w:val="00D751E4"/>
    <w:rsid w:val="00D76B98"/>
    <w:rsid w:val="00D77614"/>
    <w:rsid w:val="00D80D33"/>
    <w:rsid w:val="00D82830"/>
    <w:rsid w:val="00D82B45"/>
    <w:rsid w:val="00D834CB"/>
    <w:rsid w:val="00D8526A"/>
    <w:rsid w:val="00D85798"/>
    <w:rsid w:val="00D86C1A"/>
    <w:rsid w:val="00D86ED0"/>
    <w:rsid w:val="00D92751"/>
    <w:rsid w:val="00D9306E"/>
    <w:rsid w:val="00D93771"/>
    <w:rsid w:val="00D95718"/>
    <w:rsid w:val="00D971FC"/>
    <w:rsid w:val="00D97DE3"/>
    <w:rsid w:val="00DA00F2"/>
    <w:rsid w:val="00DA2F08"/>
    <w:rsid w:val="00DA3608"/>
    <w:rsid w:val="00DA396F"/>
    <w:rsid w:val="00DA3D02"/>
    <w:rsid w:val="00DA4094"/>
    <w:rsid w:val="00DA475F"/>
    <w:rsid w:val="00DA74DF"/>
    <w:rsid w:val="00DB2863"/>
    <w:rsid w:val="00DB2B31"/>
    <w:rsid w:val="00DB31A8"/>
    <w:rsid w:val="00DB73FB"/>
    <w:rsid w:val="00DC2CF1"/>
    <w:rsid w:val="00DC30D0"/>
    <w:rsid w:val="00DC42D8"/>
    <w:rsid w:val="00DC4439"/>
    <w:rsid w:val="00DC665F"/>
    <w:rsid w:val="00DD08C1"/>
    <w:rsid w:val="00DD19CA"/>
    <w:rsid w:val="00DD26AB"/>
    <w:rsid w:val="00DD4E26"/>
    <w:rsid w:val="00DD6264"/>
    <w:rsid w:val="00DE293D"/>
    <w:rsid w:val="00DE42D9"/>
    <w:rsid w:val="00DE545D"/>
    <w:rsid w:val="00DE54A3"/>
    <w:rsid w:val="00DE684C"/>
    <w:rsid w:val="00DF21BF"/>
    <w:rsid w:val="00DF4362"/>
    <w:rsid w:val="00DF674D"/>
    <w:rsid w:val="00DF72A5"/>
    <w:rsid w:val="00E00773"/>
    <w:rsid w:val="00E02971"/>
    <w:rsid w:val="00E03D5F"/>
    <w:rsid w:val="00E06607"/>
    <w:rsid w:val="00E06B04"/>
    <w:rsid w:val="00E1102C"/>
    <w:rsid w:val="00E117F2"/>
    <w:rsid w:val="00E120E3"/>
    <w:rsid w:val="00E1287E"/>
    <w:rsid w:val="00E13865"/>
    <w:rsid w:val="00E13FCF"/>
    <w:rsid w:val="00E1504E"/>
    <w:rsid w:val="00E15F2E"/>
    <w:rsid w:val="00E1608F"/>
    <w:rsid w:val="00E2063B"/>
    <w:rsid w:val="00E21153"/>
    <w:rsid w:val="00E21B47"/>
    <w:rsid w:val="00E21DEE"/>
    <w:rsid w:val="00E22162"/>
    <w:rsid w:val="00E22B5A"/>
    <w:rsid w:val="00E23B61"/>
    <w:rsid w:val="00E240EE"/>
    <w:rsid w:val="00E24FE8"/>
    <w:rsid w:val="00E25136"/>
    <w:rsid w:val="00E2551D"/>
    <w:rsid w:val="00E31DA0"/>
    <w:rsid w:val="00E32233"/>
    <w:rsid w:val="00E32437"/>
    <w:rsid w:val="00E32668"/>
    <w:rsid w:val="00E3285B"/>
    <w:rsid w:val="00E36111"/>
    <w:rsid w:val="00E36153"/>
    <w:rsid w:val="00E371C4"/>
    <w:rsid w:val="00E3731B"/>
    <w:rsid w:val="00E403BE"/>
    <w:rsid w:val="00E40DF4"/>
    <w:rsid w:val="00E41B7C"/>
    <w:rsid w:val="00E507D6"/>
    <w:rsid w:val="00E50DA7"/>
    <w:rsid w:val="00E512D0"/>
    <w:rsid w:val="00E51FD1"/>
    <w:rsid w:val="00E529AC"/>
    <w:rsid w:val="00E53450"/>
    <w:rsid w:val="00E5346A"/>
    <w:rsid w:val="00E535DC"/>
    <w:rsid w:val="00E55021"/>
    <w:rsid w:val="00E566A1"/>
    <w:rsid w:val="00E56858"/>
    <w:rsid w:val="00E57346"/>
    <w:rsid w:val="00E611D8"/>
    <w:rsid w:val="00E6144D"/>
    <w:rsid w:val="00E624F5"/>
    <w:rsid w:val="00E650BF"/>
    <w:rsid w:val="00E65F8E"/>
    <w:rsid w:val="00E663B9"/>
    <w:rsid w:val="00E66EF6"/>
    <w:rsid w:val="00E6764C"/>
    <w:rsid w:val="00E67A8E"/>
    <w:rsid w:val="00E703E6"/>
    <w:rsid w:val="00E70612"/>
    <w:rsid w:val="00E72415"/>
    <w:rsid w:val="00E729EF"/>
    <w:rsid w:val="00E74016"/>
    <w:rsid w:val="00E81639"/>
    <w:rsid w:val="00E82C12"/>
    <w:rsid w:val="00E8463D"/>
    <w:rsid w:val="00E87184"/>
    <w:rsid w:val="00E938C5"/>
    <w:rsid w:val="00EA0407"/>
    <w:rsid w:val="00EA295D"/>
    <w:rsid w:val="00EA3EC1"/>
    <w:rsid w:val="00EA4981"/>
    <w:rsid w:val="00EA5810"/>
    <w:rsid w:val="00EB22B1"/>
    <w:rsid w:val="00EB22B2"/>
    <w:rsid w:val="00EB2A4F"/>
    <w:rsid w:val="00EB34A8"/>
    <w:rsid w:val="00EB4C07"/>
    <w:rsid w:val="00EB557F"/>
    <w:rsid w:val="00EC272D"/>
    <w:rsid w:val="00EC391D"/>
    <w:rsid w:val="00EC51F5"/>
    <w:rsid w:val="00ED0AD0"/>
    <w:rsid w:val="00ED28A3"/>
    <w:rsid w:val="00ED3161"/>
    <w:rsid w:val="00ED32F5"/>
    <w:rsid w:val="00ED4612"/>
    <w:rsid w:val="00ED61D6"/>
    <w:rsid w:val="00ED6747"/>
    <w:rsid w:val="00EE0CFC"/>
    <w:rsid w:val="00EE141D"/>
    <w:rsid w:val="00EE1433"/>
    <w:rsid w:val="00EE27A7"/>
    <w:rsid w:val="00EE3432"/>
    <w:rsid w:val="00EE3C36"/>
    <w:rsid w:val="00EE3CAE"/>
    <w:rsid w:val="00EE574D"/>
    <w:rsid w:val="00EE5EC8"/>
    <w:rsid w:val="00EE62F6"/>
    <w:rsid w:val="00EE676F"/>
    <w:rsid w:val="00EF0579"/>
    <w:rsid w:val="00EF17C2"/>
    <w:rsid w:val="00EF2F0B"/>
    <w:rsid w:val="00EF471C"/>
    <w:rsid w:val="00EF4885"/>
    <w:rsid w:val="00EF5530"/>
    <w:rsid w:val="00EF6626"/>
    <w:rsid w:val="00EF6D10"/>
    <w:rsid w:val="00F03785"/>
    <w:rsid w:val="00F04114"/>
    <w:rsid w:val="00F044E9"/>
    <w:rsid w:val="00F04A64"/>
    <w:rsid w:val="00F11C9C"/>
    <w:rsid w:val="00F14396"/>
    <w:rsid w:val="00F15E0A"/>
    <w:rsid w:val="00F170B5"/>
    <w:rsid w:val="00F24C34"/>
    <w:rsid w:val="00F24D7B"/>
    <w:rsid w:val="00F265C2"/>
    <w:rsid w:val="00F27505"/>
    <w:rsid w:val="00F35C62"/>
    <w:rsid w:val="00F367EC"/>
    <w:rsid w:val="00F40140"/>
    <w:rsid w:val="00F403FB"/>
    <w:rsid w:val="00F40A81"/>
    <w:rsid w:val="00F413F8"/>
    <w:rsid w:val="00F4247F"/>
    <w:rsid w:val="00F4457C"/>
    <w:rsid w:val="00F44F4B"/>
    <w:rsid w:val="00F46041"/>
    <w:rsid w:val="00F4625C"/>
    <w:rsid w:val="00F46461"/>
    <w:rsid w:val="00F4671C"/>
    <w:rsid w:val="00F53BB6"/>
    <w:rsid w:val="00F53FE8"/>
    <w:rsid w:val="00F56FB6"/>
    <w:rsid w:val="00F5713F"/>
    <w:rsid w:val="00F57270"/>
    <w:rsid w:val="00F57E91"/>
    <w:rsid w:val="00F60642"/>
    <w:rsid w:val="00F619CD"/>
    <w:rsid w:val="00F63413"/>
    <w:rsid w:val="00F64050"/>
    <w:rsid w:val="00F64ADD"/>
    <w:rsid w:val="00F64CB6"/>
    <w:rsid w:val="00F64D3A"/>
    <w:rsid w:val="00F64DD5"/>
    <w:rsid w:val="00F64E19"/>
    <w:rsid w:val="00F65E4E"/>
    <w:rsid w:val="00F66E49"/>
    <w:rsid w:val="00F66FE9"/>
    <w:rsid w:val="00F702E5"/>
    <w:rsid w:val="00F71829"/>
    <w:rsid w:val="00F731A2"/>
    <w:rsid w:val="00F73E88"/>
    <w:rsid w:val="00F76F14"/>
    <w:rsid w:val="00F775E1"/>
    <w:rsid w:val="00F801CF"/>
    <w:rsid w:val="00F802D6"/>
    <w:rsid w:val="00F81666"/>
    <w:rsid w:val="00F81EDC"/>
    <w:rsid w:val="00F85390"/>
    <w:rsid w:val="00F90642"/>
    <w:rsid w:val="00F90774"/>
    <w:rsid w:val="00F90F54"/>
    <w:rsid w:val="00F9117E"/>
    <w:rsid w:val="00F91ED9"/>
    <w:rsid w:val="00F921C8"/>
    <w:rsid w:val="00F92318"/>
    <w:rsid w:val="00F9260A"/>
    <w:rsid w:val="00F9318F"/>
    <w:rsid w:val="00F9341F"/>
    <w:rsid w:val="00F94914"/>
    <w:rsid w:val="00FA2964"/>
    <w:rsid w:val="00FA30F4"/>
    <w:rsid w:val="00FA32F3"/>
    <w:rsid w:val="00FA5127"/>
    <w:rsid w:val="00FA721A"/>
    <w:rsid w:val="00FA7B68"/>
    <w:rsid w:val="00FB0410"/>
    <w:rsid w:val="00FB5978"/>
    <w:rsid w:val="00FB650A"/>
    <w:rsid w:val="00FC05A6"/>
    <w:rsid w:val="00FC0704"/>
    <w:rsid w:val="00FC0BAD"/>
    <w:rsid w:val="00FC1DFB"/>
    <w:rsid w:val="00FC2E28"/>
    <w:rsid w:val="00FC3E25"/>
    <w:rsid w:val="00FC40FB"/>
    <w:rsid w:val="00FC4816"/>
    <w:rsid w:val="00FC684F"/>
    <w:rsid w:val="00FC748A"/>
    <w:rsid w:val="00FC7C04"/>
    <w:rsid w:val="00FD01BA"/>
    <w:rsid w:val="00FD1983"/>
    <w:rsid w:val="00FD4E5D"/>
    <w:rsid w:val="00FE40B5"/>
    <w:rsid w:val="00FE423D"/>
    <w:rsid w:val="00FE42DA"/>
    <w:rsid w:val="00FE50E5"/>
    <w:rsid w:val="00FE6A09"/>
    <w:rsid w:val="00FF0032"/>
    <w:rsid w:val="00FF029E"/>
    <w:rsid w:val="00FF1746"/>
    <w:rsid w:val="00FF2D9C"/>
    <w:rsid w:val="00FF5693"/>
    <w:rsid w:val="00FF60E8"/>
    <w:rsid w:val="00FF72A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2203B574"/>
  <w15:docId w15:val="{9679F307-8851-4B90-BE1D-6908334EA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321C"/>
  </w:style>
  <w:style w:type="paragraph" w:styleId="Heading1">
    <w:name w:val="heading 1"/>
    <w:basedOn w:val="Normal"/>
    <w:next w:val="Normal"/>
    <w:link w:val="Heading1Char"/>
    <w:uiPriority w:val="9"/>
    <w:qFormat/>
    <w:rsid w:val="008524B2"/>
    <w:pPr>
      <w:keepNext/>
      <w:keepLines/>
      <w:spacing w:before="480" w:after="0" w:line="240" w:lineRule="auto"/>
      <w:outlineLvl w:val="0"/>
    </w:pPr>
    <w:rPr>
      <w:rFonts w:ascii="Calibri" w:eastAsia="MS Gothic" w:hAnsi="Calibri" w:cs="Times New Roman"/>
      <w:b/>
      <w:bCs/>
      <w:color w:val="345A8A"/>
      <w:sz w:val="32"/>
      <w:szCs w:val="32"/>
    </w:rPr>
  </w:style>
  <w:style w:type="paragraph" w:styleId="Heading2">
    <w:name w:val="heading 2"/>
    <w:basedOn w:val="Normal"/>
    <w:next w:val="Normal"/>
    <w:link w:val="Heading2Char"/>
    <w:uiPriority w:val="9"/>
    <w:unhideWhenUsed/>
    <w:qFormat/>
    <w:rsid w:val="003146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EC272D"/>
    <w:pPr>
      <w:keepNext/>
      <w:keepLines/>
      <w:spacing w:before="240" w:after="60" w:line="240" w:lineRule="auto"/>
      <w:ind w:left="720" w:hanging="720"/>
      <w:outlineLvl w:val="2"/>
    </w:pPr>
    <w:rPr>
      <w:rFonts w:ascii="Calibri" w:eastAsia="Times New Roman" w:hAnsi="Calibri" w:cs="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3B7E"/>
    <w:pPr>
      <w:spacing w:after="0" w:line="240" w:lineRule="auto"/>
      <w:ind w:left="720"/>
    </w:pPr>
    <w:rPr>
      <w:rFonts w:ascii="Calibri" w:hAnsi="Calibri" w:cs="Times New Roman"/>
      <w:lang w:eastAsia="en-AU"/>
    </w:rPr>
  </w:style>
  <w:style w:type="paragraph" w:styleId="FootnoteText">
    <w:name w:val="footnote text"/>
    <w:basedOn w:val="Normal"/>
    <w:link w:val="FootnoteTextChar"/>
    <w:unhideWhenUsed/>
    <w:rsid w:val="004D3B7E"/>
    <w:pPr>
      <w:spacing w:after="0" w:line="240" w:lineRule="auto"/>
    </w:pPr>
    <w:rPr>
      <w:sz w:val="20"/>
      <w:szCs w:val="20"/>
    </w:rPr>
  </w:style>
  <w:style w:type="character" w:customStyle="1" w:styleId="FootnoteTextChar">
    <w:name w:val="Footnote Text Char"/>
    <w:basedOn w:val="DefaultParagraphFont"/>
    <w:link w:val="FootnoteText"/>
    <w:rsid w:val="004D3B7E"/>
    <w:rPr>
      <w:sz w:val="20"/>
      <w:szCs w:val="20"/>
    </w:rPr>
  </w:style>
  <w:style w:type="character" w:styleId="FootnoteReference">
    <w:name w:val="footnote reference"/>
    <w:basedOn w:val="DefaultParagraphFont"/>
    <w:unhideWhenUsed/>
    <w:rsid w:val="004D3B7E"/>
    <w:rPr>
      <w:vertAlign w:val="superscript"/>
    </w:rPr>
  </w:style>
  <w:style w:type="character" w:styleId="Emphasis">
    <w:name w:val="Emphasis"/>
    <w:basedOn w:val="DefaultParagraphFont"/>
    <w:uiPriority w:val="20"/>
    <w:qFormat/>
    <w:rsid w:val="006675AC"/>
    <w:rPr>
      <w:i/>
      <w:iCs/>
    </w:rPr>
  </w:style>
  <w:style w:type="paragraph" w:styleId="BalloonText">
    <w:name w:val="Balloon Text"/>
    <w:basedOn w:val="Normal"/>
    <w:link w:val="BalloonTextChar"/>
    <w:uiPriority w:val="99"/>
    <w:semiHidden/>
    <w:unhideWhenUsed/>
    <w:rsid w:val="006675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5AC"/>
    <w:rPr>
      <w:rFonts w:ascii="Tahoma" w:hAnsi="Tahoma" w:cs="Tahoma"/>
      <w:sz w:val="16"/>
      <w:szCs w:val="16"/>
    </w:rPr>
  </w:style>
  <w:style w:type="paragraph" w:styleId="Header">
    <w:name w:val="header"/>
    <w:basedOn w:val="Normal"/>
    <w:link w:val="HeaderChar"/>
    <w:rsid w:val="00BE55EB"/>
    <w:pPr>
      <w:tabs>
        <w:tab w:val="left" w:pos="2880"/>
        <w:tab w:val="center" w:pos="4153"/>
        <w:tab w:val="right" w:pos="8306"/>
      </w:tabs>
      <w:spacing w:after="0" w:line="240" w:lineRule="auto"/>
    </w:pPr>
    <w:rPr>
      <w:rFonts w:ascii="Calibri" w:eastAsia="Times New Roman" w:hAnsi="Calibri" w:cs="Times New Roman"/>
      <w:sz w:val="24"/>
      <w:szCs w:val="20"/>
    </w:rPr>
  </w:style>
  <w:style w:type="character" w:customStyle="1" w:styleId="HeaderChar">
    <w:name w:val="Header Char"/>
    <w:basedOn w:val="DefaultParagraphFont"/>
    <w:link w:val="Header"/>
    <w:rsid w:val="00BE55EB"/>
    <w:rPr>
      <w:rFonts w:ascii="Calibri" w:eastAsia="Times New Roman" w:hAnsi="Calibri" w:cs="Times New Roman"/>
      <w:sz w:val="24"/>
      <w:szCs w:val="20"/>
    </w:rPr>
  </w:style>
  <w:style w:type="table" w:styleId="TableGrid">
    <w:name w:val="Table Grid"/>
    <w:basedOn w:val="TableNormal"/>
    <w:uiPriority w:val="39"/>
    <w:rsid w:val="004E6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Header"/>
    <w:link w:val="TableChar"/>
    <w:qFormat/>
    <w:rsid w:val="006A1303"/>
    <w:pPr>
      <w:tabs>
        <w:tab w:val="clear" w:pos="4153"/>
        <w:tab w:val="clear" w:pos="8306"/>
      </w:tabs>
    </w:pPr>
    <w:rPr>
      <w:sz w:val="20"/>
    </w:rPr>
  </w:style>
  <w:style w:type="paragraph" w:styleId="EndnoteText">
    <w:name w:val="endnote text"/>
    <w:basedOn w:val="Normal"/>
    <w:link w:val="EndnoteTextChar"/>
    <w:uiPriority w:val="99"/>
    <w:unhideWhenUsed/>
    <w:rsid w:val="00501576"/>
    <w:rPr>
      <w:rFonts w:ascii="Calibri" w:eastAsia="Calibri" w:hAnsi="Calibri" w:cs="Times New Roman"/>
      <w:sz w:val="20"/>
      <w:szCs w:val="20"/>
    </w:rPr>
  </w:style>
  <w:style w:type="character" w:customStyle="1" w:styleId="TableChar">
    <w:name w:val="Table Char"/>
    <w:basedOn w:val="HeaderChar"/>
    <w:link w:val="Table"/>
    <w:rsid w:val="006A1303"/>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rsid w:val="00501576"/>
    <w:rPr>
      <w:rFonts w:ascii="Calibri" w:eastAsia="Calibri" w:hAnsi="Calibri" w:cs="Times New Roman"/>
      <w:sz w:val="20"/>
      <w:szCs w:val="20"/>
    </w:rPr>
  </w:style>
  <w:style w:type="paragraph" w:customStyle="1" w:styleId="Default">
    <w:name w:val="Default"/>
    <w:rsid w:val="00B32555"/>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AF4E21"/>
    <w:rPr>
      <w:sz w:val="16"/>
      <w:szCs w:val="16"/>
    </w:rPr>
  </w:style>
  <w:style w:type="paragraph" w:styleId="CommentText">
    <w:name w:val="annotation text"/>
    <w:basedOn w:val="Normal"/>
    <w:link w:val="CommentTextChar"/>
    <w:uiPriority w:val="99"/>
    <w:unhideWhenUsed/>
    <w:rsid w:val="00AF4E21"/>
    <w:pPr>
      <w:spacing w:line="240" w:lineRule="auto"/>
    </w:pPr>
    <w:rPr>
      <w:sz w:val="20"/>
      <w:szCs w:val="20"/>
    </w:rPr>
  </w:style>
  <w:style w:type="character" w:customStyle="1" w:styleId="CommentTextChar">
    <w:name w:val="Comment Text Char"/>
    <w:basedOn w:val="DefaultParagraphFont"/>
    <w:link w:val="CommentText"/>
    <w:uiPriority w:val="99"/>
    <w:rsid w:val="00AF4E21"/>
    <w:rPr>
      <w:sz w:val="20"/>
      <w:szCs w:val="20"/>
    </w:rPr>
  </w:style>
  <w:style w:type="paragraph" w:styleId="CommentSubject">
    <w:name w:val="annotation subject"/>
    <w:basedOn w:val="CommentText"/>
    <w:next w:val="CommentText"/>
    <w:link w:val="CommentSubjectChar"/>
    <w:uiPriority w:val="99"/>
    <w:semiHidden/>
    <w:unhideWhenUsed/>
    <w:rsid w:val="00AF4E21"/>
    <w:rPr>
      <w:b/>
      <w:bCs/>
    </w:rPr>
  </w:style>
  <w:style w:type="character" w:customStyle="1" w:styleId="CommentSubjectChar">
    <w:name w:val="Comment Subject Char"/>
    <w:basedOn w:val="CommentTextChar"/>
    <w:link w:val="CommentSubject"/>
    <w:uiPriority w:val="99"/>
    <w:semiHidden/>
    <w:rsid w:val="00AF4E21"/>
    <w:rPr>
      <w:b/>
      <w:bCs/>
      <w:sz w:val="20"/>
      <w:szCs w:val="20"/>
    </w:rPr>
  </w:style>
  <w:style w:type="paragraph" w:styleId="Footer">
    <w:name w:val="footer"/>
    <w:basedOn w:val="Normal"/>
    <w:link w:val="FooterChar"/>
    <w:uiPriority w:val="99"/>
    <w:unhideWhenUsed/>
    <w:rsid w:val="00455E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5EB6"/>
  </w:style>
  <w:style w:type="paragraph" w:styleId="Revision">
    <w:name w:val="Revision"/>
    <w:hidden/>
    <w:uiPriority w:val="99"/>
    <w:semiHidden/>
    <w:rsid w:val="0089252D"/>
    <w:pPr>
      <w:spacing w:after="0" w:line="240" w:lineRule="auto"/>
    </w:pPr>
  </w:style>
  <w:style w:type="character" w:styleId="Hyperlink">
    <w:name w:val="Hyperlink"/>
    <w:basedOn w:val="DefaultParagraphFont"/>
    <w:uiPriority w:val="99"/>
    <w:unhideWhenUsed/>
    <w:rsid w:val="00EB2A4F"/>
    <w:rPr>
      <w:color w:val="0000FF" w:themeColor="hyperlink"/>
      <w:u w:val="single"/>
    </w:rPr>
  </w:style>
  <w:style w:type="character" w:customStyle="1" w:styleId="Heading1Char">
    <w:name w:val="Heading 1 Char"/>
    <w:basedOn w:val="DefaultParagraphFont"/>
    <w:link w:val="Heading1"/>
    <w:uiPriority w:val="9"/>
    <w:rsid w:val="008524B2"/>
    <w:rPr>
      <w:rFonts w:ascii="Calibri" w:eastAsia="MS Gothic" w:hAnsi="Calibri" w:cs="Times New Roman"/>
      <w:b/>
      <w:bCs/>
      <w:color w:val="345A8A"/>
      <w:sz w:val="32"/>
      <w:szCs w:val="32"/>
    </w:rPr>
  </w:style>
  <w:style w:type="character" w:customStyle="1" w:styleId="Heading3Char">
    <w:name w:val="Heading 3 Char"/>
    <w:basedOn w:val="DefaultParagraphFont"/>
    <w:link w:val="Heading3"/>
    <w:uiPriority w:val="9"/>
    <w:rsid w:val="00EC272D"/>
    <w:rPr>
      <w:rFonts w:ascii="Calibri" w:eastAsia="Times New Roman" w:hAnsi="Calibri" w:cs="Times New Roman"/>
      <w:b/>
      <w:bCs/>
      <w:sz w:val="24"/>
      <w:szCs w:val="20"/>
    </w:rPr>
  </w:style>
  <w:style w:type="character" w:customStyle="1" w:styleId="Heading2Char">
    <w:name w:val="Heading 2 Char"/>
    <w:basedOn w:val="DefaultParagraphFont"/>
    <w:link w:val="Heading2"/>
    <w:uiPriority w:val="9"/>
    <w:rsid w:val="00314657"/>
    <w:rPr>
      <w:rFonts w:asciiTheme="majorHAnsi" w:eastAsiaTheme="majorEastAsia" w:hAnsiTheme="majorHAnsi" w:cstheme="majorBidi"/>
      <w:b/>
      <w:bCs/>
      <w:color w:val="4F81BD" w:themeColor="accent1"/>
      <w:sz w:val="26"/>
      <w:szCs w:val="26"/>
    </w:rPr>
  </w:style>
  <w:style w:type="character" w:styleId="EndnoteReference">
    <w:name w:val="endnote reference"/>
    <w:basedOn w:val="DefaultParagraphFont"/>
    <w:uiPriority w:val="99"/>
    <w:semiHidden/>
    <w:unhideWhenUsed/>
    <w:rsid w:val="00B11ADC"/>
    <w:rPr>
      <w:vertAlign w:val="superscript"/>
    </w:rPr>
  </w:style>
  <w:style w:type="paragraph" w:styleId="TOCHeading">
    <w:name w:val="TOC Heading"/>
    <w:basedOn w:val="Heading1"/>
    <w:next w:val="Normal"/>
    <w:uiPriority w:val="39"/>
    <w:unhideWhenUsed/>
    <w:qFormat/>
    <w:rsid w:val="00E66EF6"/>
    <w:pPr>
      <w:spacing w:before="240" w:line="259" w:lineRule="auto"/>
      <w:outlineLvl w:val="9"/>
    </w:pPr>
    <w:rPr>
      <w:rFonts w:asciiTheme="majorHAnsi" w:eastAsiaTheme="majorEastAsia" w:hAnsiTheme="majorHAnsi" w:cstheme="majorBidi"/>
      <w:b w:val="0"/>
      <w:bCs w:val="0"/>
      <w:color w:val="365F91" w:themeColor="accent1" w:themeShade="BF"/>
      <w:lang w:val="en-US" w:eastAsia="en-US"/>
    </w:rPr>
  </w:style>
  <w:style w:type="paragraph" w:styleId="TOC1">
    <w:name w:val="toc 1"/>
    <w:basedOn w:val="Normal"/>
    <w:next w:val="Normal"/>
    <w:autoRedefine/>
    <w:uiPriority w:val="39"/>
    <w:unhideWhenUsed/>
    <w:rsid w:val="00486D81"/>
    <w:pPr>
      <w:tabs>
        <w:tab w:val="right" w:leader="dot" w:pos="9016"/>
      </w:tabs>
      <w:spacing w:after="100"/>
    </w:pPr>
    <w:rPr>
      <w:b/>
      <w:noProof/>
    </w:rPr>
  </w:style>
  <w:style w:type="paragraph" w:styleId="TOC2">
    <w:name w:val="toc 2"/>
    <w:basedOn w:val="Normal"/>
    <w:next w:val="Normal"/>
    <w:autoRedefine/>
    <w:uiPriority w:val="39"/>
    <w:unhideWhenUsed/>
    <w:rsid w:val="00E66EF6"/>
    <w:pPr>
      <w:spacing w:after="100"/>
      <w:ind w:left="220"/>
    </w:pPr>
  </w:style>
  <w:style w:type="paragraph" w:styleId="TOC3">
    <w:name w:val="toc 3"/>
    <w:basedOn w:val="Normal"/>
    <w:next w:val="Normal"/>
    <w:autoRedefine/>
    <w:uiPriority w:val="39"/>
    <w:unhideWhenUsed/>
    <w:rsid w:val="00E66EF6"/>
    <w:pPr>
      <w:spacing w:after="100"/>
      <w:ind w:left="440"/>
    </w:pPr>
  </w:style>
  <w:style w:type="character" w:styleId="FollowedHyperlink">
    <w:name w:val="FollowedHyperlink"/>
    <w:basedOn w:val="DefaultParagraphFont"/>
    <w:uiPriority w:val="99"/>
    <w:semiHidden/>
    <w:unhideWhenUsed/>
    <w:rsid w:val="006E2D5A"/>
    <w:rPr>
      <w:color w:val="800080" w:themeColor="followedHyperlink"/>
      <w:u w:val="single"/>
    </w:rPr>
  </w:style>
  <w:style w:type="paragraph" w:customStyle="1" w:styleId="xmsonormal">
    <w:name w:val="x_msonormal"/>
    <w:basedOn w:val="Normal"/>
    <w:uiPriority w:val="99"/>
    <w:rsid w:val="00173AC3"/>
    <w:pPr>
      <w:spacing w:after="0" w:line="240" w:lineRule="auto"/>
    </w:pPr>
    <w:rPr>
      <w:rFonts w:ascii="Times New Roman" w:eastAsiaTheme="minorHAnsi" w:hAnsi="Times New Roman" w:cs="Times New Roman"/>
      <w:sz w:val="24"/>
      <w:szCs w:val="24"/>
      <w:lang w:val="en-AU" w:eastAsia="en-AU"/>
    </w:rPr>
  </w:style>
  <w:style w:type="paragraph" w:styleId="NormalWeb">
    <w:name w:val="Normal (Web)"/>
    <w:basedOn w:val="Normal"/>
    <w:uiPriority w:val="99"/>
    <w:semiHidden/>
    <w:unhideWhenUsed/>
    <w:rsid w:val="00A37013"/>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TableHd">
    <w:name w:val="TableHd"/>
    <w:basedOn w:val="Normal"/>
    <w:rsid w:val="0045628F"/>
    <w:pPr>
      <w:keepNext/>
      <w:tabs>
        <w:tab w:val="left" w:pos="0"/>
      </w:tabs>
      <w:spacing w:before="300" w:after="0" w:line="240" w:lineRule="auto"/>
      <w:ind w:left="1200" w:hanging="1200"/>
    </w:pPr>
    <w:rPr>
      <w:rFonts w:ascii="Arial" w:eastAsia="Times New Roman" w:hAnsi="Arial" w:cs="Times New Roman"/>
      <w:b/>
      <w:sz w:val="20"/>
      <w:szCs w:val="20"/>
      <w:lang w:val="en-AU" w:eastAsia="en-US"/>
    </w:rPr>
  </w:style>
  <w:style w:type="paragraph" w:customStyle="1" w:styleId="TableColHd">
    <w:name w:val="TableColHd"/>
    <w:basedOn w:val="Normal"/>
    <w:rsid w:val="0045628F"/>
    <w:pPr>
      <w:keepNext/>
      <w:tabs>
        <w:tab w:val="left" w:pos="0"/>
      </w:tabs>
      <w:spacing w:after="60" w:line="240" w:lineRule="auto"/>
    </w:pPr>
    <w:rPr>
      <w:rFonts w:ascii="Arial" w:eastAsia="Times New Roman" w:hAnsi="Arial" w:cs="Times New Roman"/>
      <w:b/>
      <w:sz w:val="18"/>
      <w:szCs w:val="20"/>
      <w:lang w:val="en-AU" w:eastAsia="en-US"/>
    </w:rPr>
  </w:style>
  <w:style w:type="paragraph" w:customStyle="1" w:styleId="TableText10">
    <w:name w:val="TableText10"/>
    <w:basedOn w:val="Normal"/>
    <w:rsid w:val="0045628F"/>
    <w:pPr>
      <w:tabs>
        <w:tab w:val="left" w:pos="0"/>
      </w:tabs>
      <w:spacing w:before="60" w:after="60" w:line="240" w:lineRule="auto"/>
    </w:pPr>
    <w:rPr>
      <w:rFonts w:ascii="Times New Roman" w:eastAsia="Times New Roman" w:hAnsi="Times New Roman" w:cs="Times New Roman"/>
      <w:sz w:val="20"/>
      <w:szCs w:val="20"/>
      <w:lang w:val="en-AU" w:eastAsia="en-US"/>
    </w:rPr>
  </w:style>
  <w:style w:type="paragraph" w:customStyle="1" w:styleId="TableNumbered">
    <w:name w:val="TableNumbered"/>
    <w:basedOn w:val="TableText10"/>
    <w:qFormat/>
    <w:rsid w:val="0045628F"/>
    <w:pPr>
      <w:numPr>
        <w:numId w:val="19"/>
      </w:numPr>
    </w:pPr>
  </w:style>
  <w:style w:type="paragraph" w:customStyle="1" w:styleId="N-line3">
    <w:name w:val="N-line3"/>
    <w:basedOn w:val="Normal"/>
    <w:next w:val="Normal"/>
    <w:rsid w:val="00AC41AC"/>
    <w:pPr>
      <w:pBdr>
        <w:bottom w:val="single" w:sz="12" w:space="1" w:color="auto"/>
      </w:pBdr>
      <w:spacing w:after="0" w:line="240" w:lineRule="auto"/>
      <w:jc w:val="both"/>
    </w:pPr>
    <w:rPr>
      <w:rFonts w:ascii="Calibri" w:eastAsia="Times New Roman" w:hAnsi="Calibri" w:cs="Times New Roman"/>
      <w:sz w:val="24"/>
      <w:szCs w:val="20"/>
      <w:lang w:val="en-AU" w:eastAsia="en-US"/>
    </w:rPr>
  </w:style>
  <w:style w:type="paragraph" w:customStyle="1" w:styleId="madeunder">
    <w:name w:val="made under"/>
    <w:basedOn w:val="Normal"/>
    <w:rsid w:val="00AC41AC"/>
    <w:pPr>
      <w:spacing w:before="180" w:after="60" w:line="240" w:lineRule="auto"/>
      <w:jc w:val="both"/>
    </w:pPr>
    <w:rPr>
      <w:rFonts w:ascii="Calibri" w:eastAsia="Times New Roman" w:hAnsi="Calibri" w:cs="Times New Roman"/>
      <w:sz w:val="24"/>
      <w:szCs w:val="20"/>
      <w:lang w:val="en-AU" w:eastAsia="en-US"/>
    </w:rPr>
  </w:style>
  <w:style w:type="paragraph" w:customStyle="1" w:styleId="CoverActName">
    <w:name w:val="CoverActName"/>
    <w:basedOn w:val="Normal"/>
    <w:rsid w:val="00AC41AC"/>
    <w:pPr>
      <w:tabs>
        <w:tab w:val="left" w:pos="2600"/>
      </w:tabs>
      <w:spacing w:before="200" w:after="60" w:line="240" w:lineRule="auto"/>
      <w:jc w:val="both"/>
    </w:pPr>
    <w:rPr>
      <w:rFonts w:ascii="Arial" w:eastAsia="Times New Roman" w:hAnsi="Arial" w:cs="Times New Roman"/>
      <w:b/>
      <w:sz w:val="24"/>
      <w:szCs w:val="20"/>
      <w:lang w:val="en-AU" w:eastAsia="en-US"/>
    </w:rPr>
  </w:style>
  <w:style w:type="paragraph" w:customStyle="1" w:styleId="MediumGrid1-Accent21">
    <w:name w:val="Medium Grid 1 - Accent 21"/>
    <w:basedOn w:val="Normal"/>
    <w:uiPriority w:val="34"/>
    <w:qFormat/>
    <w:rsid w:val="00AC41AC"/>
    <w:pPr>
      <w:spacing w:after="0" w:line="240" w:lineRule="auto"/>
      <w:ind w:left="720"/>
      <w:contextualSpacing/>
    </w:pPr>
    <w:rPr>
      <w:rFonts w:ascii="Calibri" w:eastAsia="Times New Roman" w:hAnsi="Calibri" w:cs="Times New Roman"/>
      <w:sz w:val="24"/>
      <w:szCs w:val="20"/>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294471">
      <w:bodyDiv w:val="1"/>
      <w:marLeft w:val="0"/>
      <w:marRight w:val="0"/>
      <w:marTop w:val="0"/>
      <w:marBottom w:val="0"/>
      <w:divBdr>
        <w:top w:val="none" w:sz="0" w:space="0" w:color="auto"/>
        <w:left w:val="none" w:sz="0" w:space="0" w:color="auto"/>
        <w:bottom w:val="none" w:sz="0" w:space="0" w:color="auto"/>
        <w:right w:val="none" w:sz="0" w:space="0" w:color="auto"/>
      </w:divBdr>
    </w:div>
    <w:div w:id="178857444">
      <w:bodyDiv w:val="1"/>
      <w:marLeft w:val="0"/>
      <w:marRight w:val="0"/>
      <w:marTop w:val="0"/>
      <w:marBottom w:val="0"/>
      <w:divBdr>
        <w:top w:val="none" w:sz="0" w:space="0" w:color="auto"/>
        <w:left w:val="none" w:sz="0" w:space="0" w:color="auto"/>
        <w:bottom w:val="none" w:sz="0" w:space="0" w:color="auto"/>
        <w:right w:val="none" w:sz="0" w:space="0" w:color="auto"/>
      </w:divBdr>
    </w:div>
    <w:div w:id="480580687">
      <w:bodyDiv w:val="1"/>
      <w:marLeft w:val="0"/>
      <w:marRight w:val="0"/>
      <w:marTop w:val="0"/>
      <w:marBottom w:val="0"/>
      <w:divBdr>
        <w:top w:val="none" w:sz="0" w:space="0" w:color="auto"/>
        <w:left w:val="none" w:sz="0" w:space="0" w:color="auto"/>
        <w:bottom w:val="none" w:sz="0" w:space="0" w:color="auto"/>
        <w:right w:val="none" w:sz="0" w:space="0" w:color="auto"/>
      </w:divBdr>
      <w:divsChild>
        <w:div w:id="33314348">
          <w:marLeft w:val="547"/>
          <w:marRight w:val="0"/>
          <w:marTop w:val="0"/>
          <w:marBottom w:val="0"/>
          <w:divBdr>
            <w:top w:val="none" w:sz="0" w:space="0" w:color="auto"/>
            <w:left w:val="none" w:sz="0" w:space="0" w:color="auto"/>
            <w:bottom w:val="none" w:sz="0" w:space="0" w:color="auto"/>
            <w:right w:val="none" w:sz="0" w:space="0" w:color="auto"/>
          </w:divBdr>
        </w:div>
        <w:div w:id="527332818">
          <w:marLeft w:val="547"/>
          <w:marRight w:val="0"/>
          <w:marTop w:val="0"/>
          <w:marBottom w:val="0"/>
          <w:divBdr>
            <w:top w:val="none" w:sz="0" w:space="0" w:color="auto"/>
            <w:left w:val="none" w:sz="0" w:space="0" w:color="auto"/>
            <w:bottom w:val="none" w:sz="0" w:space="0" w:color="auto"/>
            <w:right w:val="none" w:sz="0" w:space="0" w:color="auto"/>
          </w:divBdr>
        </w:div>
        <w:div w:id="906037508">
          <w:marLeft w:val="547"/>
          <w:marRight w:val="0"/>
          <w:marTop w:val="0"/>
          <w:marBottom w:val="0"/>
          <w:divBdr>
            <w:top w:val="none" w:sz="0" w:space="0" w:color="auto"/>
            <w:left w:val="none" w:sz="0" w:space="0" w:color="auto"/>
            <w:bottom w:val="none" w:sz="0" w:space="0" w:color="auto"/>
            <w:right w:val="none" w:sz="0" w:space="0" w:color="auto"/>
          </w:divBdr>
        </w:div>
        <w:div w:id="1362126187">
          <w:marLeft w:val="547"/>
          <w:marRight w:val="0"/>
          <w:marTop w:val="0"/>
          <w:marBottom w:val="0"/>
          <w:divBdr>
            <w:top w:val="none" w:sz="0" w:space="0" w:color="auto"/>
            <w:left w:val="none" w:sz="0" w:space="0" w:color="auto"/>
            <w:bottom w:val="none" w:sz="0" w:space="0" w:color="auto"/>
            <w:right w:val="none" w:sz="0" w:space="0" w:color="auto"/>
          </w:divBdr>
        </w:div>
        <w:div w:id="1369180490">
          <w:marLeft w:val="547"/>
          <w:marRight w:val="0"/>
          <w:marTop w:val="0"/>
          <w:marBottom w:val="0"/>
          <w:divBdr>
            <w:top w:val="none" w:sz="0" w:space="0" w:color="auto"/>
            <w:left w:val="none" w:sz="0" w:space="0" w:color="auto"/>
            <w:bottom w:val="none" w:sz="0" w:space="0" w:color="auto"/>
            <w:right w:val="none" w:sz="0" w:space="0" w:color="auto"/>
          </w:divBdr>
        </w:div>
      </w:divsChild>
    </w:div>
    <w:div w:id="662586199">
      <w:bodyDiv w:val="1"/>
      <w:marLeft w:val="0"/>
      <w:marRight w:val="0"/>
      <w:marTop w:val="0"/>
      <w:marBottom w:val="0"/>
      <w:divBdr>
        <w:top w:val="none" w:sz="0" w:space="0" w:color="auto"/>
        <w:left w:val="none" w:sz="0" w:space="0" w:color="auto"/>
        <w:bottom w:val="none" w:sz="0" w:space="0" w:color="auto"/>
        <w:right w:val="none" w:sz="0" w:space="0" w:color="auto"/>
      </w:divBdr>
    </w:div>
    <w:div w:id="969168416">
      <w:bodyDiv w:val="1"/>
      <w:marLeft w:val="0"/>
      <w:marRight w:val="0"/>
      <w:marTop w:val="0"/>
      <w:marBottom w:val="0"/>
      <w:divBdr>
        <w:top w:val="none" w:sz="0" w:space="0" w:color="auto"/>
        <w:left w:val="none" w:sz="0" w:space="0" w:color="auto"/>
        <w:bottom w:val="none" w:sz="0" w:space="0" w:color="auto"/>
        <w:right w:val="none" w:sz="0" w:space="0" w:color="auto"/>
      </w:divBdr>
      <w:divsChild>
        <w:div w:id="285241276">
          <w:marLeft w:val="547"/>
          <w:marRight w:val="0"/>
          <w:marTop w:val="0"/>
          <w:marBottom w:val="0"/>
          <w:divBdr>
            <w:top w:val="none" w:sz="0" w:space="0" w:color="auto"/>
            <w:left w:val="none" w:sz="0" w:space="0" w:color="auto"/>
            <w:bottom w:val="none" w:sz="0" w:space="0" w:color="auto"/>
            <w:right w:val="none" w:sz="0" w:space="0" w:color="auto"/>
          </w:divBdr>
        </w:div>
        <w:div w:id="409927922">
          <w:marLeft w:val="547"/>
          <w:marRight w:val="0"/>
          <w:marTop w:val="0"/>
          <w:marBottom w:val="0"/>
          <w:divBdr>
            <w:top w:val="none" w:sz="0" w:space="0" w:color="auto"/>
            <w:left w:val="none" w:sz="0" w:space="0" w:color="auto"/>
            <w:bottom w:val="none" w:sz="0" w:space="0" w:color="auto"/>
            <w:right w:val="none" w:sz="0" w:space="0" w:color="auto"/>
          </w:divBdr>
        </w:div>
        <w:div w:id="682709104">
          <w:marLeft w:val="547"/>
          <w:marRight w:val="0"/>
          <w:marTop w:val="0"/>
          <w:marBottom w:val="0"/>
          <w:divBdr>
            <w:top w:val="none" w:sz="0" w:space="0" w:color="auto"/>
            <w:left w:val="none" w:sz="0" w:space="0" w:color="auto"/>
            <w:bottom w:val="none" w:sz="0" w:space="0" w:color="auto"/>
            <w:right w:val="none" w:sz="0" w:space="0" w:color="auto"/>
          </w:divBdr>
        </w:div>
        <w:div w:id="1250579613">
          <w:marLeft w:val="547"/>
          <w:marRight w:val="0"/>
          <w:marTop w:val="0"/>
          <w:marBottom w:val="0"/>
          <w:divBdr>
            <w:top w:val="none" w:sz="0" w:space="0" w:color="auto"/>
            <w:left w:val="none" w:sz="0" w:space="0" w:color="auto"/>
            <w:bottom w:val="none" w:sz="0" w:space="0" w:color="auto"/>
            <w:right w:val="none" w:sz="0" w:space="0" w:color="auto"/>
          </w:divBdr>
        </w:div>
        <w:div w:id="1999309305">
          <w:marLeft w:val="547"/>
          <w:marRight w:val="0"/>
          <w:marTop w:val="0"/>
          <w:marBottom w:val="0"/>
          <w:divBdr>
            <w:top w:val="none" w:sz="0" w:space="0" w:color="auto"/>
            <w:left w:val="none" w:sz="0" w:space="0" w:color="auto"/>
            <w:bottom w:val="none" w:sz="0" w:space="0" w:color="auto"/>
            <w:right w:val="none" w:sz="0" w:space="0" w:color="auto"/>
          </w:divBdr>
        </w:div>
      </w:divsChild>
    </w:div>
    <w:div w:id="1064526412">
      <w:bodyDiv w:val="1"/>
      <w:marLeft w:val="0"/>
      <w:marRight w:val="0"/>
      <w:marTop w:val="0"/>
      <w:marBottom w:val="0"/>
      <w:divBdr>
        <w:top w:val="none" w:sz="0" w:space="0" w:color="auto"/>
        <w:left w:val="none" w:sz="0" w:space="0" w:color="auto"/>
        <w:bottom w:val="none" w:sz="0" w:space="0" w:color="auto"/>
        <w:right w:val="none" w:sz="0" w:space="0" w:color="auto"/>
      </w:divBdr>
    </w:div>
    <w:div w:id="1156264610">
      <w:bodyDiv w:val="1"/>
      <w:marLeft w:val="0"/>
      <w:marRight w:val="0"/>
      <w:marTop w:val="0"/>
      <w:marBottom w:val="0"/>
      <w:divBdr>
        <w:top w:val="none" w:sz="0" w:space="0" w:color="auto"/>
        <w:left w:val="none" w:sz="0" w:space="0" w:color="auto"/>
        <w:bottom w:val="none" w:sz="0" w:space="0" w:color="auto"/>
        <w:right w:val="none" w:sz="0" w:space="0" w:color="auto"/>
      </w:divBdr>
    </w:div>
    <w:div w:id="1266765064">
      <w:bodyDiv w:val="1"/>
      <w:marLeft w:val="0"/>
      <w:marRight w:val="0"/>
      <w:marTop w:val="0"/>
      <w:marBottom w:val="0"/>
      <w:divBdr>
        <w:top w:val="none" w:sz="0" w:space="0" w:color="auto"/>
        <w:left w:val="none" w:sz="0" w:space="0" w:color="auto"/>
        <w:bottom w:val="none" w:sz="0" w:space="0" w:color="auto"/>
        <w:right w:val="none" w:sz="0" w:space="0" w:color="auto"/>
      </w:divBdr>
    </w:div>
    <w:div w:id="1338460545">
      <w:bodyDiv w:val="1"/>
      <w:marLeft w:val="0"/>
      <w:marRight w:val="0"/>
      <w:marTop w:val="0"/>
      <w:marBottom w:val="0"/>
      <w:divBdr>
        <w:top w:val="none" w:sz="0" w:space="0" w:color="auto"/>
        <w:left w:val="none" w:sz="0" w:space="0" w:color="auto"/>
        <w:bottom w:val="none" w:sz="0" w:space="0" w:color="auto"/>
        <w:right w:val="none" w:sz="0" w:space="0" w:color="auto"/>
      </w:divBdr>
    </w:div>
    <w:div w:id="1375622356">
      <w:bodyDiv w:val="1"/>
      <w:marLeft w:val="0"/>
      <w:marRight w:val="0"/>
      <w:marTop w:val="0"/>
      <w:marBottom w:val="0"/>
      <w:divBdr>
        <w:top w:val="none" w:sz="0" w:space="0" w:color="auto"/>
        <w:left w:val="none" w:sz="0" w:space="0" w:color="auto"/>
        <w:bottom w:val="none" w:sz="0" w:space="0" w:color="auto"/>
        <w:right w:val="none" w:sz="0" w:space="0" w:color="auto"/>
      </w:divBdr>
    </w:div>
    <w:div w:id="1381243920">
      <w:bodyDiv w:val="1"/>
      <w:marLeft w:val="0"/>
      <w:marRight w:val="0"/>
      <w:marTop w:val="0"/>
      <w:marBottom w:val="0"/>
      <w:divBdr>
        <w:top w:val="none" w:sz="0" w:space="0" w:color="auto"/>
        <w:left w:val="none" w:sz="0" w:space="0" w:color="auto"/>
        <w:bottom w:val="none" w:sz="0" w:space="0" w:color="auto"/>
        <w:right w:val="none" w:sz="0" w:space="0" w:color="auto"/>
      </w:divBdr>
      <w:divsChild>
        <w:div w:id="1159660820">
          <w:marLeft w:val="0"/>
          <w:marRight w:val="0"/>
          <w:marTop w:val="0"/>
          <w:marBottom w:val="0"/>
          <w:divBdr>
            <w:top w:val="none" w:sz="0" w:space="0" w:color="auto"/>
            <w:left w:val="none" w:sz="0" w:space="0" w:color="auto"/>
            <w:bottom w:val="none" w:sz="0" w:space="0" w:color="auto"/>
            <w:right w:val="none" w:sz="0" w:space="0" w:color="auto"/>
          </w:divBdr>
          <w:divsChild>
            <w:div w:id="272134861">
              <w:marLeft w:val="0"/>
              <w:marRight w:val="0"/>
              <w:marTop w:val="0"/>
              <w:marBottom w:val="0"/>
              <w:divBdr>
                <w:top w:val="none" w:sz="0" w:space="0" w:color="auto"/>
                <w:left w:val="none" w:sz="0" w:space="0" w:color="auto"/>
                <w:bottom w:val="none" w:sz="0" w:space="0" w:color="auto"/>
                <w:right w:val="none" w:sz="0" w:space="0" w:color="auto"/>
              </w:divBdr>
              <w:divsChild>
                <w:div w:id="1666779474">
                  <w:marLeft w:val="0"/>
                  <w:marRight w:val="0"/>
                  <w:marTop w:val="0"/>
                  <w:marBottom w:val="0"/>
                  <w:divBdr>
                    <w:top w:val="none" w:sz="0" w:space="0" w:color="auto"/>
                    <w:left w:val="none" w:sz="0" w:space="0" w:color="auto"/>
                    <w:bottom w:val="none" w:sz="0" w:space="0" w:color="auto"/>
                    <w:right w:val="none" w:sz="0" w:space="0" w:color="auto"/>
                  </w:divBdr>
                  <w:divsChild>
                    <w:div w:id="4031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519711">
      <w:bodyDiv w:val="1"/>
      <w:marLeft w:val="0"/>
      <w:marRight w:val="0"/>
      <w:marTop w:val="0"/>
      <w:marBottom w:val="0"/>
      <w:divBdr>
        <w:top w:val="none" w:sz="0" w:space="0" w:color="auto"/>
        <w:left w:val="none" w:sz="0" w:space="0" w:color="auto"/>
        <w:bottom w:val="none" w:sz="0" w:space="0" w:color="auto"/>
        <w:right w:val="none" w:sz="0" w:space="0" w:color="auto"/>
      </w:divBdr>
    </w:div>
    <w:div w:id="1685742784">
      <w:bodyDiv w:val="1"/>
      <w:marLeft w:val="0"/>
      <w:marRight w:val="0"/>
      <w:marTop w:val="0"/>
      <w:marBottom w:val="0"/>
      <w:divBdr>
        <w:top w:val="none" w:sz="0" w:space="0" w:color="auto"/>
        <w:left w:val="none" w:sz="0" w:space="0" w:color="auto"/>
        <w:bottom w:val="none" w:sz="0" w:space="0" w:color="auto"/>
        <w:right w:val="none" w:sz="0" w:space="0" w:color="auto"/>
      </w:divBdr>
      <w:divsChild>
        <w:div w:id="117800308">
          <w:marLeft w:val="547"/>
          <w:marRight w:val="0"/>
          <w:marTop w:val="0"/>
          <w:marBottom w:val="0"/>
          <w:divBdr>
            <w:top w:val="none" w:sz="0" w:space="0" w:color="auto"/>
            <w:left w:val="none" w:sz="0" w:space="0" w:color="auto"/>
            <w:bottom w:val="none" w:sz="0" w:space="0" w:color="auto"/>
            <w:right w:val="none" w:sz="0" w:space="0" w:color="auto"/>
          </w:divBdr>
        </w:div>
        <w:div w:id="223102862">
          <w:marLeft w:val="547"/>
          <w:marRight w:val="0"/>
          <w:marTop w:val="0"/>
          <w:marBottom w:val="0"/>
          <w:divBdr>
            <w:top w:val="none" w:sz="0" w:space="0" w:color="auto"/>
            <w:left w:val="none" w:sz="0" w:space="0" w:color="auto"/>
            <w:bottom w:val="none" w:sz="0" w:space="0" w:color="auto"/>
            <w:right w:val="none" w:sz="0" w:space="0" w:color="auto"/>
          </w:divBdr>
        </w:div>
        <w:div w:id="473569999">
          <w:marLeft w:val="547"/>
          <w:marRight w:val="0"/>
          <w:marTop w:val="0"/>
          <w:marBottom w:val="0"/>
          <w:divBdr>
            <w:top w:val="none" w:sz="0" w:space="0" w:color="auto"/>
            <w:left w:val="none" w:sz="0" w:space="0" w:color="auto"/>
            <w:bottom w:val="none" w:sz="0" w:space="0" w:color="auto"/>
            <w:right w:val="none" w:sz="0" w:space="0" w:color="auto"/>
          </w:divBdr>
        </w:div>
        <w:div w:id="577522850">
          <w:marLeft w:val="547"/>
          <w:marRight w:val="0"/>
          <w:marTop w:val="0"/>
          <w:marBottom w:val="0"/>
          <w:divBdr>
            <w:top w:val="none" w:sz="0" w:space="0" w:color="auto"/>
            <w:left w:val="none" w:sz="0" w:space="0" w:color="auto"/>
            <w:bottom w:val="none" w:sz="0" w:space="0" w:color="auto"/>
            <w:right w:val="none" w:sz="0" w:space="0" w:color="auto"/>
          </w:divBdr>
        </w:div>
        <w:div w:id="621037641">
          <w:marLeft w:val="547"/>
          <w:marRight w:val="0"/>
          <w:marTop w:val="0"/>
          <w:marBottom w:val="0"/>
          <w:divBdr>
            <w:top w:val="none" w:sz="0" w:space="0" w:color="auto"/>
            <w:left w:val="none" w:sz="0" w:space="0" w:color="auto"/>
            <w:bottom w:val="none" w:sz="0" w:space="0" w:color="auto"/>
            <w:right w:val="none" w:sz="0" w:space="0" w:color="auto"/>
          </w:divBdr>
        </w:div>
        <w:div w:id="764544266">
          <w:marLeft w:val="547"/>
          <w:marRight w:val="0"/>
          <w:marTop w:val="0"/>
          <w:marBottom w:val="0"/>
          <w:divBdr>
            <w:top w:val="none" w:sz="0" w:space="0" w:color="auto"/>
            <w:left w:val="none" w:sz="0" w:space="0" w:color="auto"/>
            <w:bottom w:val="none" w:sz="0" w:space="0" w:color="auto"/>
            <w:right w:val="none" w:sz="0" w:space="0" w:color="auto"/>
          </w:divBdr>
        </w:div>
        <w:div w:id="792528380">
          <w:marLeft w:val="547"/>
          <w:marRight w:val="0"/>
          <w:marTop w:val="0"/>
          <w:marBottom w:val="0"/>
          <w:divBdr>
            <w:top w:val="none" w:sz="0" w:space="0" w:color="auto"/>
            <w:left w:val="none" w:sz="0" w:space="0" w:color="auto"/>
            <w:bottom w:val="none" w:sz="0" w:space="0" w:color="auto"/>
            <w:right w:val="none" w:sz="0" w:space="0" w:color="auto"/>
          </w:divBdr>
        </w:div>
        <w:div w:id="830368945">
          <w:marLeft w:val="547"/>
          <w:marRight w:val="0"/>
          <w:marTop w:val="0"/>
          <w:marBottom w:val="0"/>
          <w:divBdr>
            <w:top w:val="none" w:sz="0" w:space="0" w:color="auto"/>
            <w:left w:val="none" w:sz="0" w:space="0" w:color="auto"/>
            <w:bottom w:val="none" w:sz="0" w:space="0" w:color="auto"/>
            <w:right w:val="none" w:sz="0" w:space="0" w:color="auto"/>
          </w:divBdr>
        </w:div>
        <w:div w:id="865559715">
          <w:marLeft w:val="547"/>
          <w:marRight w:val="0"/>
          <w:marTop w:val="0"/>
          <w:marBottom w:val="0"/>
          <w:divBdr>
            <w:top w:val="none" w:sz="0" w:space="0" w:color="auto"/>
            <w:left w:val="none" w:sz="0" w:space="0" w:color="auto"/>
            <w:bottom w:val="none" w:sz="0" w:space="0" w:color="auto"/>
            <w:right w:val="none" w:sz="0" w:space="0" w:color="auto"/>
          </w:divBdr>
        </w:div>
        <w:div w:id="1169058856">
          <w:marLeft w:val="547"/>
          <w:marRight w:val="0"/>
          <w:marTop w:val="0"/>
          <w:marBottom w:val="0"/>
          <w:divBdr>
            <w:top w:val="none" w:sz="0" w:space="0" w:color="auto"/>
            <w:left w:val="none" w:sz="0" w:space="0" w:color="auto"/>
            <w:bottom w:val="none" w:sz="0" w:space="0" w:color="auto"/>
            <w:right w:val="none" w:sz="0" w:space="0" w:color="auto"/>
          </w:divBdr>
        </w:div>
        <w:div w:id="1198546593">
          <w:marLeft w:val="547"/>
          <w:marRight w:val="0"/>
          <w:marTop w:val="0"/>
          <w:marBottom w:val="0"/>
          <w:divBdr>
            <w:top w:val="none" w:sz="0" w:space="0" w:color="auto"/>
            <w:left w:val="none" w:sz="0" w:space="0" w:color="auto"/>
            <w:bottom w:val="none" w:sz="0" w:space="0" w:color="auto"/>
            <w:right w:val="none" w:sz="0" w:space="0" w:color="auto"/>
          </w:divBdr>
        </w:div>
        <w:div w:id="1232352554">
          <w:marLeft w:val="547"/>
          <w:marRight w:val="0"/>
          <w:marTop w:val="0"/>
          <w:marBottom w:val="0"/>
          <w:divBdr>
            <w:top w:val="none" w:sz="0" w:space="0" w:color="auto"/>
            <w:left w:val="none" w:sz="0" w:space="0" w:color="auto"/>
            <w:bottom w:val="none" w:sz="0" w:space="0" w:color="auto"/>
            <w:right w:val="none" w:sz="0" w:space="0" w:color="auto"/>
          </w:divBdr>
        </w:div>
        <w:div w:id="1335575167">
          <w:marLeft w:val="547"/>
          <w:marRight w:val="0"/>
          <w:marTop w:val="0"/>
          <w:marBottom w:val="0"/>
          <w:divBdr>
            <w:top w:val="none" w:sz="0" w:space="0" w:color="auto"/>
            <w:left w:val="none" w:sz="0" w:space="0" w:color="auto"/>
            <w:bottom w:val="none" w:sz="0" w:space="0" w:color="auto"/>
            <w:right w:val="none" w:sz="0" w:space="0" w:color="auto"/>
          </w:divBdr>
        </w:div>
        <w:div w:id="1725176253">
          <w:marLeft w:val="547"/>
          <w:marRight w:val="0"/>
          <w:marTop w:val="0"/>
          <w:marBottom w:val="0"/>
          <w:divBdr>
            <w:top w:val="none" w:sz="0" w:space="0" w:color="auto"/>
            <w:left w:val="none" w:sz="0" w:space="0" w:color="auto"/>
            <w:bottom w:val="none" w:sz="0" w:space="0" w:color="auto"/>
            <w:right w:val="none" w:sz="0" w:space="0" w:color="auto"/>
          </w:divBdr>
        </w:div>
      </w:divsChild>
    </w:div>
    <w:div w:id="1921057156">
      <w:bodyDiv w:val="1"/>
      <w:marLeft w:val="0"/>
      <w:marRight w:val="0"/>
      <w:marTop w:val="0"/>
      <w:marBottom w:val="0"/>
      <w:divBdr>
        <w:top w:val="none" w:sz="0" w:space="0" w:color="auto"/>
        <w:left w:val="none" w:sz="0" w:space="0" w:color="auto"/>
        <w:bottom w:val="none" w:sz="0" w:space="0" w:color="auto"/>
        <w:right w:val="none" w:sz="0" w:space="0" w:color="auto"/>
      </w:divBdr>
    </w:div>
    <w:div w:id="207507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image" Target="media/image4.png"/><Relationship Id="rId26" Type="http://schemas.openxmlformats.org/officeDocument/2006/relationships/diagramLayout" Target="diagrams/layout2.xm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chart" Target="charts/chart5.xml"/><Relationship Id="rId42" Type="http://schemas.openxmlformats.org/officeDocument/2006/relationships/image" Target="media/image8.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diagramData" Target="diagrams/data2.xml"/><Relationship Id="rId33" Type="http://schemas.openxmlformats.org/officeDocument/2006/relationships/chart" Target="charts/chart4.xml"/><Relationship Id="rId38" Type="http://schemas.openxmlformats.org/officeDocument/2006/relationships/hyperlink" Target="mailto:remtrib@act.gov.au" TargetMode="Externa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microsoft.com/office/2007/relationships/diagramDrawing" Target="diagrams/drawing2.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s://www.remunerationtribunal.act.gov.au/__data/assets/pdf_file/0010/1215937/determination-9-of-2018-actps-executives.pdf" TargetMode="External"/><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footer" Target="footer1.xml"/><Relationship Id="rId45" Type="http://schemas.openxmlformats.org/officeDocument/2006/relationships/header" Target="header3.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cid:image001.png@01D448EE.36E3EBB0" TargetMode="External"/><Relationship Id="rId28" Type="http://schemas.openxmlformats.org/officeDocument/2006/relationships/diagramColors" Target="diagrams/colors2.xml"/><Relationship Id="rId36" Type="http://schemas.openxmlformats.org/officeDocument/2006/relationships/chart" Target="charts/chart7.xml"/><Relationship Id="rId10" Type="http://schemas.openxmlformats.org/officeDocument/2006/relationships/hyperlink" Target="https://www.remunerationtribunal.act.gov.au/__data/assets/pdf_file/0010/1215937/determination-9-of-2018-actps-executives.pdf" TargetMode="External"/><Relationship Id="rId19" Type="http://schemas.openxmlformats.org/officeDocument/2006/relationships/image" Target="media/image5.png"/><Relationship Id="rId31" Type="http://schemas.openxmlformats.org/officeDocument/2006/relationships/chart" Target="charts/chart2.xm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legislation.act.gov.au/a/1995-55/default.asp" TargetMode="External"/><Relationship Id="rId14" Type="http://schemas.openxmlformats.org/officeDocument/2006/relationships/diagramColors" Target="diagrams/colors1.xml"/><Relationship Id="rId22" Type="http://schemas.openxmlformats.org/officeDocument/2006/relationships/image" Target="media/image7.png"/><Relationship Id="rId27" Type="http://schemas.openxmlformats.org/officeDocument/2006/relationships/diagramQuickStyle" Target="diagrams/quickStyle2.xml"/><Relationship Id="rId30" Type="http://schemas.openxmlformats.org/officeDocument/2006/relationships/hyperlink" Target="https://www.parliament.act.gov.au/in-the-assembly/tabled_papers" TargetMode="External"/><Relationship Id="rId35" Type="http://schemas.openxmlformats.org/officeDocument/2006/relationships/chart" Target="charts/chart6.xml"/><Relationship Id="rId43" Type="http://schemas.openxmlformats.org/officeDocument/2006/relationships/header" Target="header2.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remtribunal.gov.au/media/documents/2019/2018-compilations/secretaries/remunenal-departmental-secretaries-classification-structure-and-terms-and-conditions-determination-2018-compilation-no.-1/Secretaries-Determination-2018-Compilation-No.-1.pdf" TargetMode="External"/><Relationship Id="rId13" Type="http://schemas.openxmlformats.org/officeDocument/2006/relationships/hyperlink" Target="https://www.remtribunal.gov.au/media/documents/2019/2018-compilations/secretaries/remunenal-departmental-secretaries-classification-structure-and-terms-and-conditions-determination-2018-compilation-no.-1/Secretaries-Determination-2018-Compilation-No.-1.pdf" TargetMode="External"/><Relationship Id="rId3" Type="http://schemas.openxmlformats.org/officeDocument/2006/relationships/hyperlink" Target="https://vpsc.vic.gov.au/executive-remuneration/victorian-public-service-executive-remuneration" TargetMode="External"/><Relationship Id="rId7" Type="http://schemas.openxmlformats.org/officeDocument/2006/relationships/hyperlink" Target="https://www.psc.nsw.gov.au/employmentportal/compensation-and-benefits/2018/19-senior-executive-remuneration-management-framework/remuneration-framework-2018-2019" TargetMode="External"/><Relationship Id="rId12" Type="http://schemas.openxmlformats.org/officeDocument/2006/relationships/hyperlink" Target="https://ocpe.nt.gov.au/nt-public-sector-employment/Information-about-ntps-employment/executive-contracts" TargetMode="External"/><Relationship Id="rId2" Type="http://schemas.openxmlformats.org/officeDocument/2006/relationships/hyperlink" Target="http://www.legislation.act.gov.au/di/2016-251/current/pdf/2016-251.pdf" TargetMode="External"/><Relationship Id="rId1" Type="http://schemas.openxmlformats.org/officeDocument/2006/relationships/hyperlink" Target="http://www.legislation.act.gov.au/di/2016-251/default.asp" TargetMode="External"/><Relationship Id="rId6" Type="http://schemas.openxmlformats.org/officeDocument/2006/relationships/hyperlink" Target="https://www.apsc.gov.au/sites/g/files/net5296/f/18330_apsc_-_remuneration_report-accessible-v3.pdf" TargetMode="External"/><Relationship Id="rId11" Type="http://schemas.openxmlformats.org/officeDocument/2006/relationships/hyperlink" Target="https://vpsc.vic.gov.au/wp-content/uploads/2016/06/Victorian-Public-Service-Executive-Employment-Handbook.pdf" TargetMode="External"/><Relationship Id="rId5" Type="http://schemas.openxmlformats.org/officeDocument/2006/relationships/hyperlink" Target="https://www.remunerationtribunal.act.gov.au/__data/assets/pdf_file/0006/1174659/government-submission-barr-feb18.pdf" TargetMode="External"/><Relationship Id="rId15" Type="http://schemas.openxmlformats.org/officeDocument/2006/relationships/hyperlink" Target="http://www.legislation.act.gov.au/di/2006-187/20160901-64740/pdf/2006-187.pdf" TargetMode="External"/><Relationship Id="rId10" Type="http://schemas.openxmlformats.org/officeDocument/2006/relationships/hyperlink" Target="https://www.legislation.act.gov.au/View/es/db_58516/20180628-69172/PDF/db_58516.PDF" TargetMode="External"/><Relationship Id="rId4" Type="http://schemas.openxmlformats.org/officeDocument/2006/relationships/hyperlink" Target="https://www.cmtedd.act.gov.au/__data/assets/pdf_file/0007/889558/Executive-Handbook-with-vehicles-August-2017.pdf" TargetMode="External"/><Relationship Id="rId9" Type="http://schemas.openxmlformats.org/officeDocument/2006/relationships/hyperlink" Target="https://www.remunerationtribunal.act.gov.au/__data/assets/pdf_file/0006/1106277/Attachment-G-Workplace-Research-Associates-ACTPS-SES-Remuneration-Research-Report1.pdf" TargetMode="External"/><Relationship Id="rId14" Type="http://schemas.openxmlformats.org/officeDocument/2006/relationships/hyperlink" Target="https://www.psc.nsw.gov.au/employmentportal/senior-executives/relocation-expenses-framework/executive-relocation-expenses-framework/introduction/purpos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anielJ%20Savage\AppData\Local\Microsoft\Windows\Temporary%20Internet%20Files\Content.Outlook\POS8T8IY\Exec-age-profile%20(0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elinda%20hughes\AppData\Local\Microsoft\Windows\Temporary%20Internet%20Files\Content.Outlook\S55SWNA3\rt-ses-review.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ct.gov.au\chief%20minister\cmd\PSM\02%20-%20Employment%20Policy\REMUNERATION%20TRIBUNAL\Major%20Reviews\2017%20Review%20-%20ACTPS%20Executives\Discussion%20paper%20drafts\rem%20graphs%20revis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act.gov.au\chief%20minister\cmd\PSM\02%20-%20Employment%20Policy\REMUNERATION%20TRIBUNAL\Major%20Reviews\2017%20Review%20-%20ACTPS%20Executives\Discussion%20paper%20drafts\rem%20graphs%20revised.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oleObject" Target="file:///\\act.gov.au\chief%20minister\cmd\PSM\02%20-%20Employment%20Policy\REMUNERATION%20TRIBUNAL\Major%20Reviews\2017%20Review%20-%20ACTPS%20Executives\Discussion%20paper%20drafts\Data%20for%20RT%20paper%20Sept1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ct.gov.au\chief%20minister\cmd\PSM\02%20-%20Employment%20Policy\REMUNERATION%20TRIBUNAL\Major%20Reviews\2017%20Review%20-%20ACTPS%20Executives\Discussion%20paper%20drafts\Data%20for%20RT%20paper%20Sept1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ndrew\AppData\Local\Microsoft\Windows\Temporary%20Internet%20Files\Content.Outlook\TQDMVE8O\AH%20analysis%20-%20Julie%20West%20-%20APS%20SES%20salary%20comparis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1"/>
              <a:t>Age Group Profile</a:t>
            </a:r>
          </a:p>
        </c:rich>
      </c:tx>
      <c:layout>
        <c:manualLayout>
          <c:xMode val="edge"/>
          <c:yMode val="edge"/>
          <c:x val="0.36750227391223267"/>
          <c:y val="4.599101574580655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2.1749637506041565E-2"/>
          <c:y val="0.18852114827761163"/>
          <c:w val="0.94683421942967616"/>
          <c:h val="0.69577931452053721"/>
        </c:manualLayout>
      </c:layout>
      <c:barChart>
        <c:barDir val="col"/>
        <c:grouping val="clustered"/>
        <c:varyColors val="0"/>
        <c:ser>
          <c:idx val="0"/>
          <c:order val="0"/>
          <c:tx>
            <c:strRef>
              <c:f>Sheet1!$G$1</c:f>
              <c:strCache>
                <c:ptCount val="1"/>
                <c:pt idx="0">
                  <c:v>% of exec cohort</c:v>
                </c:pt>
              </c:strCache>
            </c:strRef>
          </c:tx>
          <c:spPr>
            <a:solidFill>
              <a:srgbClr val="F36C23"/>
            </a:solidFill>
            <a:ln>
              <a:noFill/>
            </a:ln>
            <a:effectLst/>
          </c:spPr>
          <c:invertIfNegative val="0"/>
          <c:dLbls>
            <c:dLbl>
              <c:idx val="0"/>
              <c:layout/>
              <c:dLblPos val="inBase"/>
              <c:showLegendKey val="0"/>
              <c:showVal val="1"/>
              <c:showCatName val="0"/>
              <c:showSerName val="0"/>
              <c:showPercent val="0"/>
              <c:showBubbleSize val="0"/>
              <c:separator>
</c:separator>
              <c:extLst>
                <c:ext xmlns:c15="http://schemas.microsoft.com/office/drawing/2012/chart" uri="{CE6537A1-D6FC-4f65-9D91-7224C49458BB}">
                  <c15:layout/>
                </c:ext>
              </c:extLst>
            </c:dLbl>
            <c:dLbl>
              <c:idx val="1"/>
              <c:layout/>
              <c:dLblPos val="inBase"/>
              <c:showLegendKey val="0"/>
              <c:showVal val="1"/>
              <c:showCatName val="0"/>
              <c:showSerName val="0"/>
              <c:showPercent val="0"/>
              <c:showBubbleSize val="0"/>
              <c:separator>
</c:separator>
              <c:extLst>
                <c:ext xmlns:c15="http://schemas.microsoft.com/office/drawing/2012/chart" uri="{CE6537A1-D6FC-4f65-9D91-7224C49458BB}">
                  <c15:layout/>
                </c:ext>
              </c:extLst>
            </c:dLbl>
            <c:dLbl>
              <c:idx val="2"/>
              <c:layout/>
              <c:dLblPos val="inBase"/>
              <c:showLegendKey val="0"/>
              <c:showVal val="1"/>
              <c:showCatName val="0"/>
              <c:showSerName val="0"/>
              <c:showPercent val="0"/>
              <c:showBubbleSize val="0"/>
              <c:separator>
</c:separator>
              <c:extLst>
                <c:ext xmlns:c15="http://schemas.microsoft.com/office/drawing/2012/chart" uri="{CE6537A1-D6FC-4f65-9D91-7224C49458BB}">
                  <c15:layout/>
                </c:ext>
              </c:extLst>
            </c:dLbl>
            <c:dLbl>
              <c:idx val="3"/>
              <c:layout/>
              <c:tx>
                <c:rich>
                  <a:bodyPr/>
                  <a:lstStyle/>
                  <a:p>
                    <a:fld id="{080D4BA0-F200-437B-8F5D-6C06C4B18095}" type="VALUE">
                      <a:rPr lang="en-US"/>
                      <a:pPr/>
                      <a:t>[VALUE]</a:t>
                    </a:fld>
                    <a:endParaRPr lang="en-AU"/>
                  </a:p>
                </c:rich>
              </c:tx>
              <c:dLblPos val="inBase"/>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Base"/>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Sheet1!$E$2:$E$5</c:f>
              <c:strCache>
                <c:ptCount val="4"/>
                <c:pt idx="0">
                  <c:v>30-39</c:v>
                </c:pt>
                <c:pt idx="1">
                  <c:v>40-49</c:v>
                </c:pt>
                <c:pt idx="2">
                  <c:v>50-59</c:v>
                </c:pt>
                <c:pt idx="3">
                  <c:v>60+</c:v>
                </c:pt>
              </c:strCache>
            </c:strRef>
          </c:cat>
          <c:val>
            <c:numRef>
              <c:f>Sheet1!$G$2:$G$5</c:f>
              <c:numCache>
                <c:formatCode>0.0%</c:formatCode>
                <c:ptCount val="4"/>
                <c:pt idx="0">
                  <c:v>7.9245283018867921E-2</c:v>
                </c:pt>
                <c:pt idx="1">
                  <c:v>0.37358490566037733</c:v>
                </c:pt>
                <c:pt idx="2">
                  <c:v>0.46037735849056605</c:v>
                </c:pt>
                <c:pt idx="3">
                  <c:v>8.6792452830188674E-2</c:v>
                </c:pt>
              </c:numCache>
            </c:numRef>
          </c:val>
        </c:ser>
        <c:dLbls>
          <c:showLegendKey val="0"/>
          <c:showVal val="0"/>
          <c:showCatName val="0"/>
          <c:showSerName val="0"/>
          <c:showPercent val="0"/>
          <c:showBubbleSize val="0"/>
        </c:dLbls>
        <c:gapWidth val="107"/>
        <c:overlap val="-27"/>
        <c:axId val="641393536"/>
        <c:axId val="641393928"/>
      </c:barChart>
      <c:catAx>
        <c:axId val="641393536"/>
        <c:scaling>
          <c:orientation val="minMax"/>
        </c:scaling>
        <c:delete val="0"/>
        <c:axPos val="b"/>
        <c:numFmt formatCode="General" sourceLinked="0"/>
        <c:majorTickMark val="none"/>
        <c:minorTickMark val="none"/>
        <c:tickLblPos val="low"/>
        <c:spPr>
          <a:noFill/>
          <a:ln w="9525" cap="flat" cmpd="sng" algn="ctr">
            <a:no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641393928"/>
        <c:crossesAt val="0"/>
        <c:auto val="0"/>
        <c:lblAlgn val="ctr"/>
        <c:lblOffset val="50"/>
        <c:tickLblSkip val="1"/>
        <c:noMultiLvlLbl val="0"/>
      </c:catAx>
      <c:valAx>
        <c:axId val="641393928"/>
        <c:scaling>
          <c:orientation val="minMax"/>
          <c:max val="0.47000000000000003"/>
          <c:min val="0"/>
        </c:scaling>
        <c:delete val="0"/>
        <c:axPos val="l"/>
        <c:majorGridlines>
          <c:spPr>
            <a:ln w="9525" cap="flat" cmpd="sng" algn="ctr">
              <a:noFill/>
              <a:round/>
            </a:ln>
            <a:effectLst/>
          </c:spPr>
        </c:majorGridlines>
        <c:numFmt formatCode="0%" sourceLinked="0"/>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41393536"/>
        <c:crossesAt val="1"/>
        <c:crossBetween val="between"/>
        <c:majorUnit val="5.000000000000001E-2"/>
        <c:minorUnit val="1.0000000000000002E-2"/>
      </c:valAx>
      <c:spPr>
        <a:noFill/>
        <a:ln>
          <a:noFill/>
        </a:ln>
        <a:effectLst/>
      </c:spPr>
    </c:plotArea>
    <c:plotVisOnly val="1"/>
    <c:dispBlanksAs val="gap"/>
    <c:showDLblsOverMax val="0"/>
  </c:chart>
  <c:spPr>
    <a:no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AU" b="1"/>
              <a:t>Increases to cash component determined</a:t>
            </a:r>
            <a:r>
              <a:rPr lang="en-AU" b="1" baseline="0"/>
              <a:t> by the Tribunal</a:t>
            </a:r>
            <a:endParaRPr lang="en-AU" b="1"/>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'Pay increases'!$B$1</c:f>
              <c:strCache>
                <c:ptCount val="1"/>
                <c:pt idx="0">
                  <c:v>Pay increase</c:v>
                </c:pt>
              </c:strCache>
            </c:strRef>
          </c:tx>
          <c:spPr>
            <a:solidFill>
              <a:schemeClr val="accent1"/>
            </a:solidFill>
            <a:ln>
              <a:noFill/>
            </a:ln>
            <a:effectLst/>
          </c:spPr>
          <c:invertIfNegative val="0"/>
          <c:cat>
            <c:numRef>
              <c:f>'Pay increases'!$A$2:$A$11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'Pay increases'!$B$2:$B$11</c:f>
              <c:numCache>
                <c:formatCode>0.00%</c:formatCode>
                <c:ptCount val="10"/>
                <c:pt idx="0">
                  <c:v>1.4999999999999999E-2</c:v>
                </c:pt>
                <c:pt idx="1">
                  <c:v>3.2500000000000001E-2</c:v>
                </c:pt>
                <c:pt idx="2">
                  <c:v>2.5000000000000001E-2</c:v>
                </c:pt>
                <c:pt idx="3">
                  <c:v>3.5000000000000003E-2</c:v>
                </c:pt>
                <c:pt idx="4">
                  <c:v>0.02</c:v>
                </c:pt>
                <c:pt idx="5">
                  <c:v>0.02</c:v>
                </c:pt>
                <c:pt idx="6">
                  <c:v>2.5000000000000001E-2</c:v>
                </c:pt>
                <c:pt idx="7">
                  <c:v>2.5000000000000001E-2</c:v>
                </c:pt>
                <c:pt idx="8">
                  <c:v>0.02</c:v>
                </c:pt>
                <c:pt idx="9">
                  <c:v>2.5000000000000001E-2</c:v>
                </c:pt>
              </c:numCache>
            </c:numRef>
          </c:val>
        </c:ser>
        <c:dLbls>
          <c:showLegendKey val="0"/>
          <c:showVal val="0"/>
          <c:showCatName val="0"/>
          <c:showSerName val="0"/>
          <c:showPercent val="0"/>
          <c:showBubbleSize val="0"/>
        </c:dLbls>
        <c:gapWidth val="219"/>
        <c:overlap val="-27"/>
        <c:axId val="822560256"/>
        <c:axId val="822560648"/>
      </c:barChart>
      <c:catAx>
        <c:axId val="82256025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AU" b="1"/>
                  <a:t>Year</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2560648"/>
        <c:crosses val="autoZero"/>
        <c:auto val="1"/>
        <c:lblAlgn val="ctr"/>
        <c:lblOffset val="100"/>
        <c:noMultiLvlLbl val="0"/>
      </c:catAx>
      <c:valAx>
        <c:axId val="822560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Increase</a:t>
                </a:r>
                <a:r>
                  <a:rPr lang="en-AU" baseline="0"/>
                  <a:t> (%)</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2560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Sheet1!$B$15</c:f>
              <c:strCache>
                <c:ptCount val="1"/>
                <c:pt idx="0">
                  <c:v>Lowest remuneration</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cat>
            <c:strRef>
              <c:f>Sheet1!$A$27:$A$30</c:f>
              <c:strCache>
                <c:ptCount val="4"/>
                <c:pt idx="0">
                  <c:v>Band 1</c:v>
                </c:pt>
                <c:pt idx="1">
                  <c:v>Band 2</c:v>
                </c:pt>
                <c:pt idx="2">
                  <c:v>Band 3</c:v>
                </c:pt>
                <c:pt idx="3">
                  <c:v>Band 4</c:v>
                </c:pt>
              </c:strCache>
            </c:strRef>
          </c:cat>
          <c:val>
            <c:numRef>
              <c:f>Sheet1!$B$27:$B$30</c:f>
              <c:numCache>
                <c:formatCode>"$"#,##0_);[Red]\("$"#,##0\)</c:formatCode>
                <c:ptCount val="4"/>
                <c:pt idx="0">
                  <c:v>149007</c:v>
                </c:pt>
                <c:pt idx="1">
                  <c:v>199397</c:v>
                </c:pt>
                <c:pt idx="2">
                  <c:v>269796</c:v>
                </c:pt>
                <c:pt idx="3">
                  <c:v>313608</c:v>
                </c:pt>
              </c:numCache>
            </c:numRef>
          </c:val>
        </c:ser>
        <c:ser>
          <c:idx val="0"/>
          <c:order val="1"/>
          <c:tx>
            <c:strRef>
              <c:f>Sheet1!$C$15</c:f>
              <c:strCache>
                <c:ptCount val="1"/>
                <c:pt idx="0">
                  <c:v>Highest remuneration</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cat>
            <c:strRef>
              <c:f>Sheet1!$A$27:$A$30</c:f>
              <c:strCache>
                <c:ptCount val="4"/>
                <c:pt idx="0">
                  <c:v>Band 1</c:v>
                </c:pt>
                <c:pt idx="1">
                  <c:v>Band 2</c:v>
                </c:pt>
                <c:pt idx="2">
                  <c:v>Band 3</c:v>
                </c:pt>
                <c:pt idx="3">
                  <c:v>Band 4</c:v>
                </c:pt>
              </c:strCache>
            </c:strRef>
          </c:cat>
          <c:val>
            <c:numRef>
              <c:f>Sheet1!$C$27:$C$30</c:f>
              <c:numCache>
                <c:formatCode>"$"#,##0_);[Red]\("$"#,##0\)</c:formatCode>
                <c:ptCount val="4"/>
                <c:pt idx="0">
                  <c:v>184627</c:v>
                </c:pt>
                <c:pt idx="1">
                  <c:v>263216</c:v>
                </c:pt>
                <c:pt idx="2">
                  <c:v>304474</c:v>
                </c:pt>
                <c:pt idx="3">
                  <c:v>364398</c:v>
                </c:pt>
              </c:numCache>
            </c:numRef>
          </c:val>
        </c:ser>
        <c:dLbls>
          <c:showLegendKey val="0"/>
          <c:showVal val="0"/>
          <c:showCatName val="0"/>
          <c:showSerName val="0"/>
          <c:showPercent val="0"/>
          <c:showBubbleSize val="0"/>
        </c:dLbls>
        <c:gapWidth val="100"/>
        <c:overlap val="-24"/>
        <c:axId val="822561432"/>
        <c:axId val="822561824"/>
      </c:barChart>
      <c:catAx>
        <c:axId val="822561432"/>
        <c:scaling>
          <c:orientation val="minMax"/>
        </c:scaling>
        <c:delete val="0"/>
        <c:axPos val="b"/>
        <c:title>
          <c:tx>
            <c:rich>
              <a:bodyPr rot="0" spcFirstLastPara="1" vertOverflow="ellipsis" vert="horz" wrap="square" anchor="ctr" anchorCtr="1"/>
              <a:lstStyle/>
              <a:p>
                <a:pPr>
                  <a:defRPr sz="1000" b="0" i="0" u="none" strike="noStrike" kern="1200" cap="all" baseline="0">
                    <a:solidFill>
                      <a:schemeClr val="tx1">
                        <a:lumMod val="50000"/>
                        <a:lumOff val="50000"/>
                      </a:schemeClr>
                    </a:solidFill>
                    <a:latin typeface="+mn-lt"/>
                    <a:ea typeface="+mn-ea"/>
                    <a:cs typeface="+mn-cs"/>
                  </a:defRPr>
                </a:pPr>
                <a:r>
                  <a:rPr lang="en-AU" sz="1000" b="1" cap="none" baseline="0"/>
                  <a:t>Band</a:t>
                </a:r>
              </a:p>
            </c:rich>
          </c:tx>
          <c:layout/>
          <c:overlay val="0"/>
          <c:spPr>
            <a:noFill/>
            <a:ln>
              <a:noFill/>
            </a:ln>
            <a:effectLst/>
          </c:spPr>
          <c:txPr>
            <a:bodyPr rot="0" spcFirstLastPara="1" vertOverflow="ellipsis" vert="horz" wrap="square" anchor="ctr" anchorCtr="1"/>
            <a:lstStyle/>
            <a:p>
              <a:pPr>
                <a:defRPr sz="10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22561824"/>
        <c:crosses val="autoZero"/>
        <c:auto val="1"/>
        <c:lblAlgn val="ctr"/>
        <c:lblOffset val="100"/>
        <c:noMultiLvlLbl val="0"/>
      </c:catAx>
      <c:valAx>
        <c:axId val="822561824"/>
        <c:scaling>
          <c:orientation val="minMax"/>
          <c:min val="1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AU" b="1" cap="none" baseline="0"/>
                  <a:t>Remuneration</a:t>
                </a:r>
              </a:p>
            </c:rich>
          </c:tx>
          <c:layout>
            <c:manualLayout>
              <c:xMode val="edge"/>
              <c:yMode val="edge"/>
              <c:x val="2.7010435850214856E-2"/>
              <c:y val="0.34151163891398822"/>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225614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1"/>
          <c:order val="0"/>
          <c:invertIfNegative val="0"/>
          <c:cat>
            <c:strRef>
              <c:f>Sheet1!$A$70:$A$73</c:f>
              <c:strCache>
                <c:ptCount val="4"/>
                <c:pt idx="0">
                  <c:v>2.1</c:v>
                </c:pt>
                <c:pt idx="1">
                  <c:v>2.2 (old 2.4 Level)</c:v>
                </c:pt>
                <c:pt idx="2">
                  <c:v>2.3 (old 2.5 Level)</c:v>
                </c:pt>
                <c:pt idx="3">
                  <c:v>2.4 (old 2.6 Level)</c:v>
                </c:pt>
              </c:strCache>
            </c:strRef>
          </c:cat>
          <c:val>
            <c:numRef>
              <c:f>Sheet1!$B$70:$B$73</c:f>
              <c:numCache>
                <c:formatCode>"$"#,##0_);[Red]\("$"#,##0\)</c:formatCode>
                <c:ptCount val="4"/>
                <c:pt idx="0">
                  <c:v>199397</c:v>
                </c:pt>
                <c:pt idx="1">
                  <c:v>210138</c:v>
                </c:pt>
                <c:pt idx="2">
                  <c:v>225891</c:v>
                </c:pt>
                <c:pt idx="3">
                  <c:v>263216</c:v>
                </c:pt>
              </c:numCache>
            </c:numRef>
          </c:val>
        </c:ser>
        <c:dLbls>
          <c:showLegendKey val="0"/>
          <c:showVal val="0"/>
          <c:showCatName val="0"/>
          <c:showSerName val="0"/>
          <c:showPercent val="0"/>
          <c:showBubbleSize val="0"/>
        </c:dLbls>
        <c:gapWidth val="150"/>
        <c:axId val="999181088"/>
        <c:axId val="999181480"/>
      </c:barChart>
      <c:catAx>
        <c:axId val="999181088"/>
        <c:scaling>
          <c:orientation val="minMax"/>
        </c:scaling>
        <c:delete val="0"/>
        <c:axPos val="b"/>
        <c:title>
          <c:tx>
            <c:rich>
              <a:bodyPr/>
              <a:lstStyle/>
              <a:p>
                <a:pPr>
                  <a:defRPr/>
                </a:pPr>
                <a:r>
                  <a:rPr lang="en-AU"/>
                  <a:t>Band</a:t>
                </a:r>
              </a:p>
            </c:rich>
          </c:tx>
          <c:layout/>
          <c:overlay val="0"/>
        </c:title>
        <c:numFmt formatCode="General" sourceLinked="1"/>
        <c:majorTickMark val="out"/>
        <c:minorTickMark val="none"/>
        <c:tickLblPos val="nextTo"/>
        <c:crossAx val="999181480"/>
        <c:crosses val="autoZero"/>
        <c:auto val="1"/>
        <c:lblAlgn val="ctr"/>
        <c:lblOffset val="100"/>
        <c:noMultiLvlLbl val="0"/>
      </c:catAx>
      <c:valAx>
        <c:axId val="999181480"/>
        <c:scaling>
          <c:orientation val="minMax"/>
          <c:min val="160000"/>
        </c:scaling>
        <c:delete val="0"/>
        <c:axPos val="l"/>
        <c:majorGridlines/>
        <c:title>
          <c:tx>
            <c:rich>
              <a:bodyPr/>
              <a:lstStyle/>
              <a:p>
                <a:pPr>
                  <a:defRPr/>
                </a:pPr>
                <a:r>
                  <a:rPr lang="en-AU"/>
                  <a:t>Remuneration</a:t>
                </a:r>
              </a:p>
            </c:rich>
          </c:tx>
          <c:layout/>
          <c:overlay val="0"/>
        </c:title>
        <c:numFmt formatCode="&quot;$&quot;#,##0_);[Red]\(&quot;$&quot;#,##0\)" sourceLinked="1"/>
        <c:majorTickMark val="out"/>
        <c:minorTickMark val="none"/>
        <c:tickLblPos val="nextTo"/>
        <c:crossAx val="99918108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Sheet1!$A$3:$A$6</c:f>
              <c:strCache>
                <c:ptCount val="4"/>
                <c:pt idx="0">
                  <c:v>Level 4.1</c:v>
                </c:pt>
                <c:pt idx="1">
                  <c:v>Level 4.2</c:v>
                </c:pt>
                <c:pt idx="2">
                  <c:v>Level 4.3</c:v>
                </c:pt>
                <c:pt idx="3">
                  <c:v>Level 4.4</c:v>
                </c:pt>
              </c:strCache>
            </c:strRef>
          </c:cat>
          <c:val>
            <c:numRef>
              <c:f>Sheet1!$B$3:$B$6</c:f>
              <c:numCache>
                <c:formatCode>#,##0</c:formatCode>
                <c:ptCount val="4"/>
                <c:pt idx="0">
                  <c:v>313608</c:v>
                </c:pt>
                <c:pt idx="1">
                  <c:v>320228</c:v>
                </c:pt>
                <c:pt idx="2">
                  <c:v>337862</c:v>
                </c:pt>
                <c:pt idx="3">
                  <c:v>364398</c:v>
                </c:pt>
              </c:numCache>
            </c:numRef>
          </c:val>
        </c:ser>
        <c:dLbls>
          <c:showLegendKey val="0"/>
          <c:showVal val="0"/>
          <c:showCatName val="0"/>
          <c:showSerName val="0"/>
          <c:showPercent val="0"/>
          <c:showBubbleSize val="0"/>
        </c:dLbls>
        <c:gapWidth val="219"/>
        <c:overlap val="-27"/>
        <c:axId val="631541584"/>
        <c:axId val="631541976"/>
      </c:barChart>
      <c:catAx>
        <c:axId val="631541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t>Band</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541976"/>
        <c:crosses val="autoZero"/>
        <c:auto val="1"/>
        <c:lblAlgn val="ctr"/>
        <c:lblOffset val="100"/>
        <c:noMultiLvlLbl val="0"/>
      </c:catAx>
      <c:valAx>
        <c:axId val="631541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1"/>
                  <a:t>Remuneration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541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v>APS</c:v>
          </c:tx>
          <c:invertIfNegative val="0"/>
          <c:dPt>
            <c:idx val="0"/>
            <c:invertIfNegative val="0"/>
            <c:bubble3D val="0"/>
            <c:spPr>
              <a:noFill/>
            </c:spPr>
          </c:dPt>
          <c:dPt>
            <c:idx val="1"/>
            <c:invertIfNegative val="0"/>
            <c:bubble3D val="0"/>
            <c:spPr>
              <a:noFill/>
            </c:spPr>
          </c:dPt>
          <c:dPt>
            <c:idx val="2"/>
            <c:invertIfNegative val="0"/>
            <c:bubble3D val="0"/>
            <c:spPr>
              <a:noFill/>
            </c:spPr>
          </c:dPt>
          <c:dPt>
            <c:idx val="3"/>
            <c:invertIfNegative val="0"/>
            <c:bubble3D val="0"/>
            <c:spPr>
              <a:noFill/>
            </c:spPr>
          </c:dPt>
          <c:dPt>
            <c:idx val="4"/>
            <c:invertIfNegative val="0"/>
            <c:bubble3D val="0"/>
            <c:spPr>
              <a:noFill/>
            </c:spPr>
          </c:dPt>
          <c:dPt>
            <c:idx val="5"/>
            <c:invertIfNegative val="0"/>
            <c:bubble3D val="0"/>
            <c:spPr>
              <a:noFill/>
            </c:spPr>
          </c:dPt>
          <c:dPt>
            <c:idx val="6"/>
            <c:invertIfNegative val="0"/>
            <c:bubble3D val="0"/>
            <c:spPr>
              <a:noFill/>
            </c:spPr>
          </c:dPt>
          <c:dPt>
            <c:idx val="7"/>
            <c:invertIfNegative val="0"/>
            <c:bubble3D val="0"/>
            <c:spPr>
              <a:noFill/>
            </c:spPr>
          </c:dPt>
          <c:cat>
            <c:strRef>
              <c:f>'Sheet1 (2)'!$A$31:$A$38</c:f>
              <c:strCache>
                <c:ptCount val="8"/>
                <c:pt idx="0">
                  <c:v>ACTPS SES Band 1</c:v>
                </c:pt>
                <c:pt idx="1">
                  <c:v>APS SES Band 1</c:v>
                </c:pt>
                <c:pt idx="2">
                  <c:v>ACTPS SES Band 2</c:v>
                </c:pt>
                <c:pt idx="3">
                  <c:v>APS SES Band 2</c:v>
                </c:pt>
                <c:pt idx="4">
                  <c:v>ACTPS SES Band 3</c:v>
                </c:pt>
                <c:pt idx="5">
                  <c:v>APS SES Band 3</c:v>
                </c:pt>
                <c:pt idx="6">
                  <c:v>ACTPS SES Band 4</c:v>
                </c:pt>
                <c:pt idx="7">
                  <c:v>APS SES Band 4</c:v>
                </c:pt>
              </c:strCache>
            </c:strRef>
          </c:cat>
          <c:val>
            <c:numRef>
              <c:f>'Sheet1 (2)'!$B$55:$B$62</c:f>
              <c:numCache>
                <c:formatCode>"$"#,##0</c:formatCode>
                <c:ptCount val="8"/>
                <c:pt idx="0">
                  <c:v>149007</c:v>
                </c:pt>
                <c:pt idx="1">
                  <c:v>146162</c:v>
                </c:pt>
                <c:pt idx="2">
                  <c:v>199397</c:v>
                </c:pt>
                <c:pt idx="3">
                  <c:v>193349</c:v>
                </c:pt>
                <c:pt idx="4">
                  <c:v>269796</c:v>
                </c:pt>
                <c:pt idx="5">
                  <c:v>180040</c:v>
                </c:pt>
                <c:pt idx="6">
                  <c:v>313608</c:v>
                </c:pt>
                <c:pt idx="7">
                  <c:v>494445</c:v>
                </c:pt>
              </c:numCache>
            </c:numRef>
          </c:val>
        </c:ser>
        <c:ser>
          <c:idx val="1"/>
          <c:order val="1"/>
          <c:tx>
            <c:v>ACTPS</c:v>
          </c:tx>
          <c:invertIfNegative val="0"/>
          <c:dPt>
            <c:idx val="0"/>
            <c:invertIfNegative val="0"/>
            <c:bubble3D val="0"/>
            <c:spPr>
              <a:solidFill>
                <a:srgbClr val="BF95DF"/>
              </a:solidFill>
            </c:spPr>
          </c:dPt>
          <c:dPt>
            <c:idx val="1"/>
            <c:invertIfNegative val="0"/>
            <c:bubble3D val="0"/>
            <c:spPr>
              <a:solidFill>
                <a:schemeClr val="accent6">
                  <a:lumMod val="40000"/>
                  <a:lumOff val="60000"/>
                </a:schemeClr>
              </a:solidFill>
            </c:spPr>
          </c:dPt>
          <c:dPt>
            <c:idx val="2"/>
            <c:invertIfNegative val="0"/>
            <c:bubble3D val="0"/>
            <c:spPr>
              <a:solidFill>
                <a:srgbClr val="BF95DF"/>
              </a:solidFill>
            </c:spPr>
          </c:dPt>
          <c:dPt>
            <c:idx val="3"/>
            <c:invertIfNegative val="0"/>
            <c:bubble3D val="0"/>
            <c:spPr>
              <a:solidFill>
                <a:schemeClr val="accent6">
                  <a:lumMod val="40000"/>
                  <a:lumOff val="60000"/>
                </a:schemeClr>
              </a:solidFill>
            </c:spPr>
          </c:dPt>
          <c:dPt>
            <c:idx val="4"/>
            <c:invertIfNegative val="0"/>
            <c:bubble3D val="0"/>
            <c:spPr>
              <a:solidFill>
                <a:srgbClr val="BF95DF"/>
              </a:solidFill>
            </c:spPr>
          </c:dPt>
          <c:dPt>
            <c:idx val="5"/>
            <c:invertIfNegative val="0"/>
            <c:bubble3D val="0"/>
            <c:spPr>
              <a:solidFill>
                <a:schemeClr val="accent6">
                  <a:lumMod val="40000"/>
                  <a:lumOff val="60000"/>
                </a:schemeClr>
              </a:solidFill>
            </c:spPr>
          </c:dPt>
          <c:dPt>
            <c:idx val="6"/>
            <c:invertIfNegative val="0"/>
            <c:bubble3D val="0"/>
            <c:spPr>
              <a:solidFill>
                <a:srgbClr val="BF95DF"/>
              </a:solidFill>
            </c:spPr>
          </c:dPt>
          <c:dPt>
            <c:idx val="7"/>
            <c:invertIfNegative val="0"/>
            <c:bubble3D val="0"/>
            <c:spPr>
              <a:solidFill>
                <a:schemeClr val="accent6">
                  <a:lumMod val="40000"/>
                  <a:lumOff val="60000"/>
                </a:schemeClr>
              </a:solidFill>
            </c:spPr>
          </c:dPt>
          <c:cat>
            <c:strRef>
              <c:f>'Sheet1 (2)'!$A$31:$A$38</c:f>
              <c:strCache>
                <c:ptCount val="8"/>
                <c:pt idx="0">
                  <c:v>ACTPS SES Band 1</c:v>
                </c:pt>
                <c:pt idx="1">
                  <c:v>APS SES Band 1</c:v>
                </c:pt>
                <c:pt idx="2">
                  <c:v>ACTPS SES Band 2</c:v>
                </c:pt>
                <c:pt idx="3">
                  <c:v>APS SES Band 2</c:v>
                </c:pt>
                <c:pt idx="4">
                  <c:v>ACTPS SES Band 3</c:v>
                </c:pt>
                <c:pt idx="5">
                  <c:v>APS SES Band 3</c:v>
                </c:pt>
                <c:pt idx="6">
                  <c:v>ACTPS SES Band 4</c:v>
                </c:pt>
                <c:pt idx="7">
                  <c:v>APS SES Band 4</c:v>
                </c:pt>
              </c:strCache>
            </c:strRef>
          </c:cat>
          <c:val>
            <c:numRef>
              <c:f>'Sheet1 (2)'!$C$55:$C$62</c:f>
              <c:numCache>
                <c:formatCode>"$"#,##0</c:formatCode>
                <c:ptCount val="8"/>
                <c:pt idx="0">
                  <c:v>35620</c:v>
                </c:pt>
                <c:pt idx="1">
                  <c:v>226005</c:v>
                </c:pt>
                <c:pt idx="2">
                  <c:v>63819</c:v>
                </c:pt>
                <c:pt idx="3">
                  <c:v>388916</c:v>
                </c:pt>
                <c:pt idx="4">
                  <c:v>34678</c:v>
                </c:pt>
                <c:pt idx="5">
                  <c:v>452853</c:v>
                </c:pt>
                <c:pt idx="6">
                  <c:v>50790</c:v>
                </c:pt>
                <c:pt idx="7">
                  <c:v>133119</c:v>
                </c:pt>
              </c:numCache>
            </c:numRef>
          </c:val>
        </c:ser>
        <c:dLbls>
          <c:showLegendKey val="0"/>
          <c:showVal val="0"/>
          <c:showCatName val="0"/>
          <c:showSerName val="0"/>
          <c:showPercent val="0"/>
          <c:showBubbleSize val="0"/>
        </c:dLbls>
        <c:gapWidth val="55"/>
        <c:overlap val="100"/>
        <c:axId val="631542760"/>
        <c:axId val="631543152"/>
      </c:barChart>
      <c:catAx>
        <c:axId val="631542760"/>
        <c:scaling>
          <c:orientation val="minMax"/>
        </c:scaling>
        <c:delete val="0"/>
        <c:axPos val="l"/>
        <c:numFmt formatCode="General" sourceLinked="0"/>
        <c:majorTickMark val="none"/>
        <c:minorTickMark val="none"/>
        <c:tickLblPos val="nextTo"/>
        <c:spPr>
          <a:ln w="12700"/>
        </c:spPr>
        <c:txPr>
          <a:bodyPr/>
          <a:lstStyle/>
          <a:p>
            <a:pPr>
              <a:defRPr sz="1200" b="1"/>
            </a:pPr>
            <a:endParaRPr lang="en-US"/>
          </a:p>
        </c:txPr>
        <c:crossAx val="631543152"/>
        <c:crosses val="autoZero"/>
        <c:auto val="1"/>
        <c:lblAlgn val="ctr"/>
        <c:lblOffset val="100"/>
        <c:noMultiLvlLbl val="0"/>
      </c:catAx>
      <c:valAx>
        <c:axId val="631543152"/>
        <c:scaling>
          <c:orientation val="minMax"/>
        </c:scaling>
        <c:delete val="0"/>
        <c:axPos val="b"/>
        <c:majorGridlines/>
        <c:numFmt formatCode="&quot;$&quot;#,##0" sourceLinked="1"/>
        <c:majorTickMark val="none"/>
        <c:minorTickMark val="none"/>
        <c:tickLblPos val="nextTo"/>
        <c:txPr>
          <a:bodyPr/>
          <a:lstStyle/>
          <a:p>
            <a:pPr>
              <a:defRPr b="1"/>
            </a:pPr>
            <a:endParaRPr lang="en-US"/>
          </a:p>
        </c:txPr>
        <c:crossAx val="631542760"/>
        <c:crosses val="autoZero"/>
        <c:crossBetween val="between"/>
      </c:valAx>
      <c:spPr>
        <a:noFill/>
        <a:effectLst>
          <a:outerShdw blurRad="50800" dist="50800" dir="5400000" algn="ctr" rotWithShape="0">
            <a:schemeClr val="tx2">
              <a:lumMod val="20000"/>
              <a:lumOff val="80000"/>
            </a:schemeClr>
          </a:outerShdw>
        </a:effectLst>
      </c:spPr>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v>APS</c:v>
          </c:tx>
          <c:spPr>
            <a:noFill/>
          </c:spPr>
          <c:invertIfNegative val="0"/>
          <c:cat>
            <c:strRef>
              <c:f>'Sheet1 (2)'!$A$31:$A$38</c:f>
              <c:strCache>
                <c:ptCount val="8"/>
                <c:pt idx="0">
                  <c:v>ACTPS SES Band 1</c:v>
                </c:pt>
                <c:pt idx="1">
                  <c:v>APS SES Band 1</c:v>
                </c:pt>
                <c:pt idx="2">
                  <c:v>ACTPS SES Band 2</c:v>
                </c:pt>
                <c:pt idx="3">
                  <c:v>APS SES Band 2</c:v>
                </c:pt>
                <c:pt idx="4">
                  <c:v>ACTPS SES Band 3</c:v>
                </c:pt>
                <c:pt idx="5">
                  <c:v>APS SES Band 3</c:v>
                </c:pt>
                <c:pt idx="6">
                  <c:v>ACTPS SES Band 4</c:v>
                </c:pt>
                <c:pt idx="7">
                  <c:v>APS SES Band 4</c:v>
                </c:pt>
              </c:strCache>
            </c:strRef>
          </c:cat>
          <c:val>
            <c:numRef>
              <c:f>'Sheet1 (2)'!$B$31:$B$38</c:f>
              <c:numCache>
                <c:formatCode>"$"#,##0</c:formatCode>
                <c:ptCount val="8"/>
                <c:pt idx="0">
                  <c:v>198153</c:v>
                </c:pt>
                <c:pt idx="1">
                  <c:v>171161</c:v>
                </c:pt>
                <c:pt idx="2">
                  <c:v>254334</c:v>
                </c:pt>
                <c:pt idx="3">
                  <c:v>226578</c:v>
                </c:pt>
                <c:pt idx="4">
                  <c:v>332624</c:v>
                </c:pt>
                <c:pt idx="5">
                  <c:v>243540</c:v>
                </c:pt>
                <c:pt idx="6">
                  <c:v>381537</c:v>
                </c:pt>
                <c:pt idx="7">
                  <c:v>706350</c:v>
                </c:pt>
              </c:numCache>
            </c:numRef>
          </c:val>
        </c:ser>
        <c:ser>
          <c:idx val="1"/>
          <c:order val="1"/>
          <c:tx>
            <c:v>ACTPS</c:v>
          </c:tx>
          <c:invertIfNegative val="0"/>
          <c:dPt>
            <c:idx val="0"/>
            <c:invertIfNegative val="0"/>
            <c:bubble3D val="0"/>
            <c:spPr>
              <a:solidFill>
                <a:srgbClr val="BF95DF"/>
              </a:solidFill>
            </c:spPr>
          </c:dPt>
          <c:dPt>
            <c:idx val="1"/>
            <c:invertIfNegative val="0"/>
            <c:bubble3D val="0"/>
            <c:spPr>
              <a:solidFill>
                <a:schemeClr val="accent6">
                  <a:lumMod val="40000"/>
                  <a:lumOff val="60000"/>
                </a:schemeClr>
              </a:solidFill>
            </c:spPr>
          </c:dPt>
          <c:dPt>
            <c:idx val="2"/>
            <c:invertIfNegative val="0"/>
            <c:bubble3D val="0"/>
            <c:spPr>
              <a:solidFill>
                <a:srgbClr val="BF95DF"/>
              </a:solidFill>
            </c:spPr>
          </c:dPt>
          <c:dPt>
            <c:idx val="3"/>
            <c:invertIfNegative val="0"/>
            <c:bubble3D val="0"/>
            <c:spPr>
              <a:solidFill>
                <a:schemeClr val="accent6">
                  <a:lumMod val="40000"/>
                  <a:lumOff val="60000"/>
                </a:schemeClr>
              </a:solidFill>
            </c:spPr>
          </c:dPt>
          <c:dPt>
            <c:idx val="4"/>
            <c:invertIfNegative val="0"/>
            <c:bubble3D val="0"/>
            <c:spPr>
              <a:solidFill>
                <a:srgbClr val="BF95DF"/>
              </a:solidFill>
            </c:spPr>
          </c:dPt>
          <c:dPt>
            <c:idx val="5"/>
            <c:invertIfNegative val="0"/>
            <c:bubble3D val="0"/>
            <c:spPr>
              <a:solidFill>
                <a:schemeClr val="accent6">
                  <a:lumMod val="40000"/>
                  <a:lumOff val="60000"/>
                </a:schemeClr>
              </a:solidFill>
            </c:spPr>
          </c:dPt>
          <c:dPt>
            <c:idx val="6"/>
            <c:invertIfNegative val="0"/>
            <c:bubble3D val="0"/>
            <c:spPr>
              <a:solidFill>
                <a:srgbClr val="BF95DF"/>
              </a:solidFill>
            </c:spPr>
          </c:dPt>
          <c:dPt>
            <c:idx val="7"/>
            <c:invertIfNegative val="0"/>
            <c:bubble3D val="0"/>
            <c:spPr>
              <a:solidFill>
                <a:schemeClr val="accent6">
                  <a:lumMod val="40000"/>
                  <a:lumOff val="60000"/>
                </a:schemeClr>
              </a:solidFill>
            </c:spPr>
          </c:dPt>
          <c:cat>
            <c:strRef>
              <c:f>'Sheet1 (2)'!$A$31:$A$38</c:f>
              <c:strCache>
                <c:ptCount val="8"/>
                <c:pt idx="0">
                  <c:v>ACTPS SES Band 1</c:v>
                </c:pt>
                <c:pt idx="1">
                  <c:v>APS SES Band 1</c:v>
                </c:pt>
                <c:pt idx="2">
                  <c:v>ACTPS SES Band 2</c:v>
                </c:pt>
                <c:pt idx="3">
                  <c:v>APS SES Band 2</c:v>
                </c:pt>
                <c:pt idx="4">
                  <c:v>ACTPS SES Band 3</c:v>
                </c:pt>
                <c:pt idx="5">
                  <c:v>APS SES Band 3</c:v>
                </c:pt>
                <c:pt idx="6">
                  <c:v>ACTPS SES Band 4</c:v>
                </c:pt>
                <c:pt idx="7">
                  <c:v>APS SES Band 4</c:v>
                </c:pt>
              </c:strCache>
            </c:strRef>
          </c:cat>
          <c:val>
            <c:numRef>
              <c:f>'Sheet1 (2)'!$C$31:$C$38</c:f>
              <c:numCache>
                <c:formatCode>"$"#,##0</c:formatCode>
                <c:ptCount val="8"/>
                <c:pt idx="0">
                  <c:v>39360</c:v>
                </c:pt>
                <c:pt idx="1">
                  <c:v>249003</c:v>
                </c:pt>
                <c:pt idx="2">
                  <c:v>70520</c:v>
                </c:pt>
                <c:pt idx="3">
                  <c:v>375736</c:v>
                </c:pt>
                <c:pt idx="4">
                  <c:v>38320</c:v>
                </c:pt>
                <c:pt idx="5">
                  <c:v>468155</c:v>
                </c:pt>
                <c:pt idx="6">
                  <c:v>56123</c:v>
                </c:pt>
                <c:pt idx="7">
                  <c:v>190170</c:v>
                </c:pt>
              </c:numCache>
            </c:numRef>
          </c:val>
        </c:ser>
        <c:dLbls>
          <c:showLegendKey val="0"/>
          <c:showVal val="0"/>
          <c:showCatName val="0"/>
          <c:showSerName val="0"/>
          <c:showPercent val="0"/>
          <c:showBubbleSize val="0"/>
        </c:dLbls>
        <c:gapWidth val="55"/>
        <c:overlap val="100"/>
        <c:axId val="628055312"/>
        <c:axId val="628055704"/>
      </c:barChart>
      <c:catAx>
        <c:axId val="628055312"/>
        <c:scaling>
          <c:orientation val="minMax"/>
        </c:scaling>
        <c:delete val="0"/>
        <c:axPos val="l"/>
        <c:numFmt formatCode="General" sourceLinked="0"/>
        <c:majorTickMark val="none"/>
        <c:minorTickMark val="none"/>
        <c:tickLblPos val="nextTo"/>
        <c:spPr>
          <a:ln w="12700"/>
        </c:spPr>
        <c:txPr>
          <a:bodyPr/>
          <a:lstStyle/>
          <a:p>
            <a:pPr>
              <a:defRPr sz="1200" b="1"/>
            </a:pPr>
            <a:endParaRPr lang="en-US"/>
          </a:p>
        </c:txPr>
        <c:crossAx val="628055704"/>
        <c:crosses val="autoZero"/>
        <c:auto val="1"/>
        <c:lblAlgn val="ctr"/>
        <c:lblOffset val="100"/>
        <c:noMultiLvlLbl val="0"/>
      </c:catAx>
      <c:valAx>
        <c:axId val="628055704"/>
        <c:scaling>
          <c:orientation val="minMax"/>
        </c:scaling>
        <c:delete val="0"/>
        <c:axPos val="b"/>
        <c:majorGridlines/>
        <c:numFmt formatCode="&quot;$&quot;#,##0" sourceLinked="1"/>
        <c:majorTickMark val="none"/>
        <c:minorTickMark val="none"/>
        <c:tickLblPos val="nextTo"/>
        <c:txPr>
          <a:bodyPr/>
          <a:lstStyle/>
          <a:p>
            <a:pPr>
              <a:defRPr b="1"/>
            </a:pPr>
            <a:endParaRPr lang="en-US"/>
          </a:p>
        </c:txPr>
        <c:crossAx val="628055312"/>
        <c:crosses val="autoZero"/>
        <c:crossBetween val="between"/>
      </c:valAx>
      <c:spPr>
        <a:noFill/>
        <a:effectLst>
          <a:outerShdw blurRad="50800" dist="50800" dir="5400000" algn="ctr" rotWithShape="0">
            <a:schemeClr val="tx2">
              <a:lumMod val="20000"/>
              <a:lumOff val="80000"/>
            </a:schemeClr>
          </a:outerShdw>
        </a:effectLst>
      </c:spPr>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noFill/>
            <a:ln>
              <a:noFill/>
            </a:ln>
          </c:spPr>
          <c:invertIfNegative val="0"/>
          <c:cat>
            <c:strRef>
              <c:f>'[AH analysis - Julie West - APS SES salary comparison.xlsx]Sheet1'!$A$5:$A$22</c:f>
              <c:strCache>
                <c:ptCount val="18"/>
                <c:pt idx="0">
                  <c:v>Agency A - SES Band 1</c:v>
                </c:pt>
                <c:pt idx="1">
                  <c:v>Agency A - SES Band 2</c:v>
                </c:pt>
                <c:pt idx="2">
                  <c:v>Agency A - SES Band 3</c:v>
                </c:pt>
                <c:pt idx="3">
                  <c:v>Agency B - SES Band 1</c:v>
                </c:pt>
                <c:pt idx="4">
                  <c:v>Agency B - SES Band 2</c:v>
                </c:pt>
                <c:pt idx="5">
                  <c:v>Agency B - SES Band 3</c:v>
                </c:pt>
                <c:pt idx="6">
                  <c:v>Agency C - SES Band 1</c:v>
                </c:pt>
                <c:pt idx="7">
                  <c:v>Agency C - SES Band 2</c:v>
                </c:pt>
                <c:pt idx="8">
                  <c:v>Agency C - SES Band 3</c:v>
                </c:pt>
                <c:pt idx="9">
                  <c:v>Agency D - SES Band 1</c:v>
                </c:pt>
                <c:pt idx="10">
                  <c:v>Agency D - SES Band 2</c:v>
                </c:pt>
                <c:pt idx="11">
                  <c:v>Agency D - SES Band 3</c:v>
                </c:pt>
                <c:pt idx="12">
                  <c:v>Agency E - SES Band 1</c:v>
                </c:pt>
                <c:pt idx="13">
                  <c:v>Agency E - SES Band 2</c:v>
                </c:pt>
                <c:pt idx="14">
                  <c:v>Agency E - SES Band 3</c:v>
                </c:pt>
                <c:pt idx="15">
                  <c:v>Agency F - SES Band 1</c:v>
                </c:pt>
                <c:pt idx="16">
                  <c:v>Agency F - SES Band 2</c:v>
                </c:pt>
                <c:pt idx="17">
                  <c:v>Agency F - SES Band 3</c:v>
                </c:pt>
              </c:strCache>
            </c:strRef>
          </c:cat>
          <c:val>
            <c:numRef>
              <c:f>'[AH analysis - Julie West - APS SES salary comparison.xlsx]Sheet1'!$B$5:$B$22</c:f>
              <c:numCache>
                <c:formatCode>"$"#,##0</c:formatCode>
                <c:ptCount val="18"/>
                <c:pt idx="0">
                  <c:v>168422</c:v>
                </c:pt>
                <c:pt idx="1">
                  <c:v>217356</c:v>
                </c:pt>
                <c:pt idx="2">
                  <c:v>320000</c:v>
                </c:pt>
                <c:pt idx="3">
                  <c:v>171577</c:v>
                </c:pt>
                <c:pt idx="4">
                  <c:v>217202</c:v>
                </c:pt>
                <c:pt idx="5">
                  <c:v>281479</c:v>
                </c:pt>
                <c:pt idx="6">
                  <c:v>168545</c:v>
                </c:pt>
                <c:pt idx="7">
                  <c:v>218484</c:v>
                </c:pt>
                <c:pt idx="8">
                  <c:v>306000</c:v>
                </c:pt>
                <c:pt idx="9">
                  <c:v>177526</c:v>
                </c:pt>
                <c:pt idx="10">
                  <c:v>248829</c:v>
                </c:pt>
                <c:pt idx="11">
                  <c:v>307377</c:v>
                </c:pt>
                <c:pt idx="12">
                  <c:v>159125</c:v>
                </c:pt>
                <c:pt idx="13">
                  <c:v>212885</c:v>
                </c:pt>
                <c:pt idx="14">
                  <c:v>326282</c:v>
                </c:pt>
                <c:pt idx="15">
                  <c:v>157000</c:v>
                </c:pt>
                <c:pt idx="16">
                  <c:v>210000</c:v>
                </c:pt>
                <c:pt idx="17">
                  <c:v>297000</c:v>
                </c:pt>
              </c:numCache>
            </c:numRef>
          </c:val>
        </c:ser>
        <c:ser>
          <c:idx val="1"/>
          <c:order val="1"/>
          <c:spPr>
            <a:solidFill>
              <a:schemeClr val="accent1"/>
            </a:solidFill>
          </c:spPr>
          <c:invertIfNegative val="0"/>
          <c:dPt>
            <c:idx val="1"/>
            <c:invertIfNegative val="0"/>
            <c:bubble3D val="0"/>
            <c:spPr>
              <a:solidFill>
                <a:schemeClr val="accent1"/>
              </a:solidFill>
              <a:ln>
                <a:solidFill>
                  <a:schemeClr val="accent1"/>
                </a:solidFill>
              </a:ln>
            </c:spPr>
          </c:dPt>
          <c:dPt>
            <c:idx val="3"/>
            <c:invertIfNegative val="0"/>
            <c:bubble3D val="0"/>
            <c:spPr>
              <a:solidFill>
                <a:schemeClr val="accent2"/>
              </a:solidFill>
            </c:spPr>
          </c:dPt>
          <c:dPt>
            <c:idx val="4"/>
            <c:invertIfNegative val="0"/>
            <c:bubble3D val="0"/>
            <c:spPr>
              <a:solidFill>
                <a:schemeClr val="accent2"/>
              </a:solidFill>
            </c:spPr>
          </c:dPt>
          <c:dPt>
            <c:idx val="5"/>
            <c:invertIfNegative val="0"/>
            <c:bubble3D val="0"/>
            <c:spPr>
              <a:solidFill>
                <a:schemeClr val="accent2"/>
              </a:solidFill>
            </c:spPr>
          </c:dPt>
          <c:dPt>
            <c:idx val="6"/>
            <c:invertIfNegative val="0"/>
            <c:bubble3D val="0"/>
            <c:spPr>
              <a:solidFill>
                <a:schemeClr val="accent3"/>
              </a:solidFill>
            </c:spPr>
          </c:dPt>
          <c:dPt>
            <c:idx val="7"/>
            <c:invertIfNegative val="0"/>
            <c:bubble3D val="0"/>
            <c:spPr>
              <a:solidFill>
                <a:schemeClr val="accent3"/>
              </a:solidFill>
            </c:spPr>
          </c:dPt>
          <c:dPt>
            <c:idx val="8"/>
            <c:invertIfNegative val="0"/>
            <c:bubble3D val="0"/>
            <c:spPr>
              <a:solidFill>
                <a:schemeClr val="accent3"/>
              </a:solidFill>
            </c:spPr>
          </c:dPt>
          <c:dPt>
            <c:idx val="9"/>
            <c:invertIfNegative val="0"/>
            <c:bubble3D val="0"/>
            <c:spPr>
              <a:solidFill>
                <a:schemeClr val="accent4"/>
              </a:solidFill>
            </c:spPr>
          </c:dPt>
          <c:dPt>
            <c:idx val="10"/>
            <c:invertIfNegative val="0"/>
            <c:bubble3D val="0"/>
            <c:spPr>
              <a:solidFill>
                <a:schemeClr val="accent4"/>
              </a:solidFill>
            </c:spPr>
          </c:dPt>
          <c:dPt>
            <c:idx val="11"/>
            <c:invertIfNegative val="0"/>
            <c:bubble3D val="0"/>
            <c:spPr>
              <a:solidFill>
                <a:schemeClr val="accent4"/>
              </a:solidFill>
            </c:spPr>
          </c:dPt>
          <c:dPt>
            <c:idx val="12"/>
            <c:invertIfNegative val="0"/>
            <c:bubble3D val="0"/>
            <c:spPr>
              <a:solidFill>
                <a:schemeClr val="accent6"/>
              </a:solidFill>
            </c:spPr>
          </c:dPt>
          <c:dPt>
            <c:idx val="13"/>
            <c:invertIfNegative val="0"/>
            <c:bubble3D val="0"/>
            <c:spPr>
              <a:solidFill>
                <a:schemeClr val="accent6"/>
              </a:solidFill>
            </c:spPr>
          </c:dPt>
          <c:dPt>
            <c:idx val="14"/>
            <c:invertIfNegative val="0"/>
            <c:bubble3D val="0"/>
            <c:spPr>
              <a:solidFill>
                <a:schemeClr val="accent6"/>
              </a:solidFill>
            </c:spPr>
          </c:dPt>
          <c:dPt>
            <c:idx val="15"/>
            <c:invertIfNegative val="0"/>
            <c:bubble3D val="0"/>
            <c:spPr>
              <a:solidFill>
                <a:srgbClr val="BF95DF"/>
              </a:solidFill>
            </c:spPr>
          </c:dPt>
          <c:dPt>
            <c:idx val="16"/>
            <c:invertIfNegative val="0"/>
            <c:bubble3D val="0"/>
            <c:spPr>
              <a:solidFill>
                <a:srgbClr val="BF95DF"/>
              </a:solidFill>
            </c:spPr>
          </c:dPt>
          <c:dPt>
            <c:idx val="17"/>
            <c:invertIfNegative val="0"/>
            <c:bubble3D val="0"/>
            <c:spPr>
              <a:solidFill>
                <a:srgbClr val="BF95DF"/>
              </a:solidFill>
            </c:spPr>
          </c:dPt>
          <c:cat>
            <c:strRef>
              <c:f>'[AH analysis - Julie West - APS SES salary comparison.xlsx]Sheet1'!$A$5:$A$22</c:f>
              <c:strCache>
                <c:ptCount val="18"/>
                <c:pt idx="0">
                  <c:v>Agency A - SES Band 1</c:v>
                </c:pt>
                <c:pt idx="1">
                  <c:v>Agency A - SES Band 2</c:v>
                </c:pt>
                <c:pt idx="2">
                  <c:v>Agency A - SES Band 3</c:v>
                </c:pt>
                <c:pt idx="3">
                  <c:v>Agency B - SES Band 1</c:v>
                </c:pt>
                <c:pt idx="4">
                  <c:v>Agency B - SES Band 2</c:v>
                </c:pt>
                <c:pt idx="5">
                  <c:v>Agency B - SES Band 3</c:v>
                </c:pt>
                <c:pt idx="6">
                  <c:v>Agency C - SES Band 1</c:v>
                </c:pt>
                <c:pt idx="7">
                  <c:v>Agency C - SES Band 2</c:v>
                </c:pt>
                <c:pt idx="8">
                  <c:v>Agency C - SES Band 3</c:v>
                </c:pt>
                <c:pt idx="9">
                  <c:v>Agency D - SES Band 1</c:v>
                </c:pt>
                <c:pt idx="10">
                  <c:v>Agency D - SES Band 2</c:v>
                </c:pt>
                <c:pt idx="11">
                  <c:v>Agency D - SES Band 3</c:v>
                </c:pt>
                <c:pt idx="12">
                  <c:v>Agency E - SES Band 1</c:v>
                </c:pt>
                <c:pt idx="13">
                  <c:v>Agency E - SES Band 2</c:v>
                </c:pt>
                <c:pt idx="14">
                  <c:v>Agency E - SES Band 3</c:v>
                </c:pt>
                <c:pt idx="15">
                  <c:v>Agency F - SES Band 1</c:v>
                </c:pt>
                <c:pt idx="16">
                  <c:v>Agency F - SES Band 2</c:v>
                </c:pt>
                <c:pt idx="17">
                  <c:v>Agency F - SES Band 3</c:v>
                </c:pt>
              </c:strCache>
            </c:strRef>
          </c:cat>
          <c:val>
            <c:numRef>
              <c:f>'[AH analysis - Julie West - APS SES salary comparison.xlsx]Sheet1'!$C$5:$C$22</c:f>
              <c:numCache>
                <c:formatCode>"$"#,##0</c:formatCode>
                <c:ptCount val="18"/>
                <c:pt idx="0">
                  <c:v>27312</c:v>
                </c:pt>
                <c:pt idx="1">
                  <c:v>25036</c:v>
                </c:pt>
                <c:pt idx="2">
                  <c:v>10000</c:v>
                </c:pt>
                <c:pt idx="3">
                  <c:v>27366</c:v>
                </c:pt>
                <c:pt idx="4">
                  <c:v>37021</c:v>
                </c:pt>
                <c:pt idx="5">
                  <c:v>48176</c:v>
                </c:pt>
                <c:pt idx="6">
                  <c:v>44737</c:v>
                </c:pt>
                <c:pt idx="7">
                  <c:v>52020</c:v>
                </c:pt>
                <c:pt idx="8">
                  <c:v>76574</c:v>
                </c:pt>
                <c:pt idx="9">
                  <c:v>70258</c:v>
                </c:pt>
                <c:pt idx="10">
                  <c:v>57503</c:v>
                </c:pt>
                <c:pt idx="11">
                  <c:v>53321</c:v>
                </c:pt>
                <c:pt idx="12">
                  <c:v>95942</c:v>
                </c:pt>
                <c:pt idx="13">
                  <c:v>63124</c:v>
                </c:pt>
                <c:pt idx="14">
                  <c:v>10000</c:v>
                </c:pt>
                <c:pt idx="15">
                  <c:v>46000</c:v>
                </c:pt>
                <c:pt idx="16">
                  <c:v>49000</c:v>
                </c:pt>
                <c:pt idx="17">
                  <c:v>55000</c:v>
                </c:pt>
              </c:numCache>
            </c:numRef>
          </c:val>
        </c:ser>
        <c:dLbls>
          <c:showLegendKey val="0"/>
          <c:showVal val="0"/>
          <c:showCatName val="0"/>
          <c:showSerName val="0"/>
          <c:showPercent val="0"/>
          <c:showBubbleSize val="0"/>
        </c:dLbls>
        <c:gapWidth val="55"/>
        <c:overlap val="100"/>
        <c:axId val="817366536"/>
        <c:axId val="817366928"/>
      </c:barChart>
      <c:catAx>
        <c:axId val="817366536"/>
        <c:scaling>
          <c:orientation val="minMax"/>
        </c:scaling>
        <c:delete val="0"/>
        <c:axPos val="l"/>
        <c:numFmt formatCode="General" sourceLinked="0"/>
        <c:majorTickMark val="none"/>
        <c:minorTickMark val="none"/>
        <c:tickLblPos val="nextTo"/>
        <c:spPr>
          <a:ln w="12700"/>
        </c:spPr>
        <c:txPr>
          <a:bodyPr/>
          <a:lstStyle/>
          <a:p>
            <a:pPr>
              <a:defRPr sz="1200" b="1"/>
            </a:pPr>
            <a:endParaRPr lang="en-US"/>
          </a:p>
        </c:txPr>
        <c:crossAx val="817366928"/>
        <c:crosses val="autoZero"/>
        <c:auto val="1"/>
        <c:lblAlgn val="ctr"/>
        <c:lblOffset val="100"/>
        <c:noMultiLvlLbl val="0"/>
      </c:catAx>
      <c:valAx>
        <c:axId val="817366928"/>
        <c:scaling>
          <c:orientation val="minMax"/>
          <c:min val="150000"/>
        </c:scaling>
        <c:delete val="0"/>
        <c:axPos val="b"/>
        <c:majorGridlines/>
        <c:numFmt formatCode="&quot;$&quot;#,##0" sourceLinked="1"/>
        <c:majorTickMark val="none"/>
        <c:minorTickMark val="none"/>
        <c:tickLblPos val="nextTo"/>
        <c:txPr>
          <a:bodyPr/>
          <a:lstStyle/>
          <a:p>
            <a:pPr>
              <a:defRPr b="1"/>
            </a:pPr>
            <a:endParaRPr lang="en-US"/>
          </a:p>
        </c:txPr>
        <c:crossAx val="817366536"/>
        <c:crosses val="autoZero"/>
        <c:crossBetween val="between"/>
      </c:valAx>
      <c:spPr>
        <a:noFill/>
        <a:effectLst>
          <a:outerShdw blurRad="50800" dist="50800" dir="5400000" algn="ctr" rotWithShape="0">
            <a:schemeClr val="tx2">
              <a:lumMod val="20000"/>
              <a:lumOff val="80000"/>
            </a:schemeClr>
          </a:outerShdw>
        </a:effectLst>
      </c:spPr>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6621F6-4D06-A44C-8D25-84779B48C18C}" type="doc">
      <dgm:prSet loTypeId="urn:microsoft.com/office/officeart/2005/8/layout/default" loCatId="" qsTypeId="urn:microsoft.com/office/officeart/2005/8/quickstyle/simple4" qsCatId="simple" csTypeId="urn:microsoft.com/office/officeart/2005/8/colors/colorful1" csCatId="colorful" phldr="1"/>
      <dgm:spPr/>
      <dgm:t>
        <a:bodyPr/>
        <a:lstStyle/>
        <a:p>
          <a:endParaRPr lang="en-US"/>
        </a:p>
      </dgm:t>
    </dgm:pt>
    <dgm:pt modelId="{AF119E99-A671-F842-BD0E-5BE14C531156}">
      <dgm:prSet phldrT="[Text]" custT="1"/>
      <dgm:spPr>
        <a:solidFill>
          <a:srgbClr val="371B7B"/>
        </a:solidFill>
        <a:effectLst>
          <a:outerShdw blurRad="50800" dist="38100" dir="10800000" algn="r" rotWithShape="0">
            <a:prstClr val="black">
              <a:alpha val="40000"/>
            </a:prstClr>
          </a:outerShdw>
        </a:effectLst>
      </dgm:spPr>
      <dgm:t>
        <a:bodyPr/>
        <a:lstStyle/>
        <a:p>
          <a:r>
            <a:rPr lang="en-US" sz="1000"/>
            <a:t>Female</a:t>
          </a:r>
        </a:p>
        <a:p>
          <a:r>
            <a:rPr lang="en-US" sz="1000"/>
            <a:t>46.1%</a:t>
          </a:r>
        </a:p>
      </dgm:t>
      <dgm:extLst>
        <a:ext uri="{E40237B7-FDA0-4F09-8148-C483321AD2D9}">
          <dgm14:cNvPr xmlns:dgm14="http://schemas.microsoft.com/office/drawing/2010/diagram" id="0" name="" title="Decorative"/>
        </a:ext>
      </dgm:extLst>
    </dgm:pt>
    <dgm:pt modelId="{17BC3F2B-3C34-9349-8257-87F7239C1169}" type="parTrans" cxnId="{4AF4DCB4-2CE1-AF46-A876-15023731ED30}">
      <dgm:prSet/>
      <dgm:spPr/>
      <dgm:t>
        <a:bodyPr/>
        <a:lstStyle/>
        <a:p>
          <a:endParaRPr lang="en-US"/>
        </a:p>
      </dgm:t>
    </dgm:pt>
    <dgm:pt modelId="{67648B72-6946-C144-BDF5-EAB34856379B}" type="sibTrans" cxnId="{4AF4DCB4-2CE1-AF46-A876-15023731ED30}">
      <dgm:prSet/>
      <dgm:spPr/>
      <dgm:t>
        <a:bodyPr/>
        <a:lstStyle/>
        <a:p>
          <a:endParaRPr lang="en-US"/>
        </a:p>
      </dgm:t>
    </dgm:pt>
    <dgm:pt modelId="{5BE8775F-C62C-994C-AA73-CAEFADE7A34B}">
      <dgm:prSet phldrT="[Text]"/>
      <dgm:spPr>
        <a:solidFill>
          <a:srgbClr val="139CE8"/>
        </a:solidFill>
        <a:effectLst>
          <a:outerShdw blurRad="50800" dist="38100" dir="10800000" algn="r" rotWithShape="0">
            <a:prstClr val="black">
              <a:alpha val="40000"/>
            </a:prstClr>
          </a:outerShdw>
        </a:effectLst>
      </dgm:spPr>
      <dgm:t>
        <a:bodyPr/>
        <a:lstStyle/>
        <a:p>
          <a:r>
            <a:rPr lang="en-US"/>
            <a:t>Aboriginal and Torres Strait Islander</a:t>
          </a:r>
        </a:p>
        <a:p>
          <a:r>
            <a:rPr lang="en-US"/>
            <a:t>2.1%</a:t>
          </a:r>
        </a:p>
      </dgm:t>
      <dgm:extLst>
        <a:ext uri="{E40237B7-FDA0-4F09-8148-C483321AD2D9}">
          <dgm14:cNvPr xmlns:dgm14="http://schemas.microsoft.com/office/drawing/2010/diagram" id="0" name="" title="Decorative"/>
        </a:ext>
      </dgm:extLst>
    </dgm:pt>
    <dgm:pt modelId="{95DA1E55-E030-904E-9494-4A4357976049}" type="parTrans" cxnId="{FA1AAA37-DEDF-134D-9A18-BFCEA1E6A33F}">
      <dgm:prSet/>
      <dgm:spPr/>
      <dgm:t>
        <a:bodyPr/>
        <a:lstStyle/>
        <a:p>
          <a:endParaRPr lang="en-US"/>
        </a:p>
      </dgm:t>
    </dgm:pt>
    <dgm:pt modelId="{55C22A4E-D8CA-C243-B601-79C2F81274FD}" type="sibTrans" cxnId="{FA1AAA37-DEDF-134D-9A18-BFCEA1E6A33F}">
      <dgm:prSet/>
      <dgm:spPr/>
      <dgm:t>
        <a:bodyPr/>
        <a:lstStyle/>
        <a:p>
          <a:endParaRPr lang="en-US"/>
        </a:p>
      </dgm:t>
    </dgm:pt>
    <dgm:pt modelId="{850E17DF-7B74-3643-9BD1-CFA3B2B8AC9D}">
      <dgm:prSet phldrT="[Text]"/>
      <dgm:spPr>
        <a:solidFill>
          <a:srgbClr val="9A2B87"/>
        </a:solidFill>
        <a:effectLst>
          <a:outerShdw blurRad="50800" dist="38100" dir="10800000" algn="r" rotWithShape="0">
            <a:prstClr val="black">
              <a:alpha val="40000"/>
            </a:prstClr>
          </a:outerShdw>
        </a:effectLst>
      </dgm:spPr>
      <dgm:t>
        <a:bodyPr/>
        <a:lstStyle/>
        <a:p>
          <a:r>
            <a:rPr lang="en-US"/>
            <a:t>People with Disability</a:t>
          </a:r>
        </a:p>
        <a:p>
          <a:r>
            <a:rPr lang="en-US"/>
            <a:t>6.2%</a:t>
          </a:r>
        </a:p>
      </dgm:t>
      <dgm:extLst>
        <a:ext uri="{E40237B7-FDA0-4F09-8148-C483321AD2D9}">
          <dgm14:cNvPr xmlns:dgm14="http://schemas.microsoft.com/office/drawing/2010/diagram" id="0" name="" title="Decorative"/>
        </a:ext>
      </dgm:extLst>
    </dgm:pt>
    <dgm:pt modelId="{8CCF2987-7C0B-014D-9851-A86DD3F7F764}" type="parTrans" cxnId="{90F1FFE9-7D67-C34E-B28C-927BD0DA70A1}">
      <dgm:prSet/>
      <dgm:spPr/>
      <dgm:t>
        <a:bodyPr/>
        <a:lstStyle/>
        <a:p>
          <a:endParaRPr lang="en-US"/>
        </a:p>
      </dgm:t>
    </dgm:pt>
    <dgm:pt modelId="{AF6E939E-9BDF-2A46-ABA0-01A67213FEE4}" type="sibTrans" cxnId="{90F1FFE9-7D67-C34E-B28C-927BD0DA70A1}">
      <dgm:prSet/>
      <dgm:spPr/>
      <dgm:t>
        <a:bodyPr/>
        <a:lstStyle/>
        <a:p>
          <a:endParaRPr lang="en-US"/>
        </a:p>
      </dgm:t>
    </dgm:pt>
    <dgm:pt modelId="{3242FBBF-90CD-BF45-A86B-31A802C63F7D}">
      <dgm:prSet phldrT="[Text]"/>
      <dgm:spPr>
        <a:solidFill>
          <a:srgbClr val="E81A33"/>
        </a:solidFill>
        <a:effectLst>
          <a:outerShdw blurRad="50800" dist="38100" dir="10800000" algn="r" rotWithShape="0">
            <a:prstClr val="black">
              <a:alpha val="40000"/>
            </a:prstClr>
          </a:outerShdw>
        </a:effectLst>
      </dgm:spPr>
      <dgm:t>
        <a:bodyPr/>
        <a:lstStyle/>
        <a:p>
          <a:r>
            <a:rPr lang="en-US"/>
            <a:t>Culturally and Linguistically Diverse</a:t>
          </a:r>
        </a:p>
        <a:p>
          <a:r>
            <a:rPr lang="en-US"/>
            <a:t>5.0%</a:t>
          </a:r>
        </a:p>
      </dgm:t>
      <dgm:extLst>
        <a:ext uri="{E40237B7-FDA0-4F09-8148-C483321AD2D9}">
          <dgm14:cNvPr xmlns:dgm14="http://schemas.microsoft.com/office/drawing/2010/diagram" id="0" name="" title="Decorative"/>
        </a:ext>
      </dgm:extLst>
    </dgm:pt>
    <dgm:pt modelId="{6A10F756-45AF-634B-B455-203DF920DF48}" type="parTrans" cxnId="{3F9BA966-E403-1F4C-8C7B-E8D9CA37E865}">
      <dgm:prSet/>
      <dgm:spPr/>
      <dgm:t>
        <a:bodyPr/>
        <a:lstStyle/>
        <a:p>
          <a:endParaRPr lang="en-US"/>
        </a:p>
      </dgm:t>
    </dgm:pt>
    <dgm:pt modelId="{01BE60E0-5321-F147-BBC2-89C6620363D7}" type="sibTrans" cxnId="{3F9BA966-E403-1F4C-8C7B-E8D9CA37E865}">
      <dgm:prSet/>
      <dgm:spPr/>
      <dgm:t>
        <a:bodyPr/>
        <a:lstStyle/>
        <a:p>
          <a:endParaRPr lang="en-US"/>
        </a:p>
      </dgm:t>
    </dgm:pt>
    <dgm:pt modelId="{E19FB35F-7B7B-024F-8531-B813BA118F7E}" type="pres">
      <dgm:prSet presAssocID="{986621F6-4D06-A44C-8D25-84779B48C18C}" presName="diagram" presStyleCnt="0">
        <dgm:presLayoutVars>
          <dgm:dir/>
          <dgm:resizeHandles val="exact"/>
        </dgm:presLayoutVars>
      </dgm:prSet>
      <dgm:spPr/>
      <dgm:t>
        <a:bodyPr/>
        <a:lstStyle/>
        <a:p>
          <a:endParaRPr lang="en-US"/>
        </a:p>
      </dgm:t>
    </dgm:pt>
    <dgm:pt modelId="{830881DD-B22B-0046-81FF-3EEC56CCF640}" type="pres">
      <dgm:prSet presAssocID="{5BE8775F-C62C-994C-AA73-CAEFADE7A34B}" presName="node" presStyleLbl="node1" presStyleIdx="0" presStyleCnt="4" custScaleX="62111">
        <dgm:presLayoutVars>
          <dgm:bulletEnabled val="1"/>
        </dgm:presLayoutVars>
      </dgm:prSet>
      <dgm:spPr>
        <a:prstGeom prst="ellipse">
          <a:avLst/>
        </a:prstGeom>
      </dgm:spPr>
      <dgm:t>
        <a:bodyPr/>
        <a:lstStyle/>
        <a:p>
          <a:endParaRPr lang="en-US"/>
        </a:p>
      </dgm:t>
    </dgm:pt>
    <dgm:pt modelId="{CE9A5F64-4CB3-194E-9F0A-37654513437B}" type="pres">
      <dgm:prSet presAssocID="{55C22A4E-D8CA-C243-B601-79C2F81274FD}" presName="sibTrans" presStyleCnt="0"/>
      <dgm:spPr/>
    </dgm:pt>
    <dgm:pt modelId="{DD0867D4-BF44-D647-BB42-ED157A607317}" type="pres">
      <dgm:prSet presAssocID="{3242FBBF-90CD-BF45-A86B-31A802C63F7D}" presName="node" presStyleLbl="node1" presStyleIdx="1" presStyleCnt="4" custScaleX="62111">
        <dgm:presLayoutVars>
          <dgm:bulletEnabled val="1"/>
        </dgm:presLayoutVars>
      </dgm:prSet>
      <dgm:spPr>
        <a:prstGeom prst="ellipse">
          <a:avLst/>
        </a:prstGeom>
      </dgm:spPr>
      <dgm:t>
        <a:bodyPr/>
        <a:lstStyle/>
        <a:p>
          <a:endParaRPr lang="en-US"/>
        </a:p>
      </dgm:t>
    </dgm:pt>
    <dgm:pt modelId="{BBFFC66B-022E-C844-978A-85CA30937BA2}" type="pres">
      <dgm:prSet presAssocID="{01BE60E0-5321-F147-BBC2-89C6620363D7}" presName="sibTrans" presStyleCnt="0"/>
      <dgm:spPr/>
    </dgm:pt>
    <dgm:pt modelId="{1087ECBB-B8C0-3045-ACBA-5B32DC1D109D}" type="pres">
      <dgm:prSet presAssocID="{850E17DF-7B74-3643-9BD1-CFA3B2B8AC9D}" presName="node" presStyleLbl="node1" presStyleIdx="2" presStyleCnt="4" custScaleX="62111">
        <dgm:presLayoutVars>
          <dgm:bulletEnabled val="1"/>
        </dgm:presLayoutVars>
      </dgm:prSet>
      <dgm:spPr>
        <a:prstGeom prst="ellipse">
          <a:avLst/>
        </a:prstGeom>
      </dgm:spPr>
      <dgm:t>
        <a:bodyPr/>
        <a:lstStyle/>
        <a:p>
          <a:endParaRPr lang="en-US"/>
        </a:p>
      </dgm:t>
    </dgm:pt>
    <dgm:pt modelId="{880A8163-C3CD-B746-AB6A-8562DCA8EF9C}" type="pres">
      <dgm:prSet presAssocID="{AF6E939E-9BDF-2A46-ABA0-01A67213FEE4}" presName="sibTrans" presStyleCnt="0"/>
      <dgm:spPr/>
    </dgm:pt>
    <dgm:pt modelId="{CE073318-95D5-6D48-A87C-A456082ABF2E}" type="pres">
      <dgm:prSet presAssocID="{AF119E99-A671-F842-BD0E-5BE14C531156}" presName="node" presStyleLbl="node1" presStyleIdx="3" presStyleCnt="4" custScaleX="62111">
        <dgm:presLayoutVars>
          <dgm:bulletEnabled val="1"/>
        </dgm:presLayoutVars>
      </dgm:prSet>
      <dgm:spPr>
        <a:prstGeom prst="ellipse">
          <a:avLst/>
        </a:prstGeom>
      </dgm:spPr>
      <dgm:t>
        <a:bodyPr/>
        <a:lstStyle/>
        <a:p>
          <a:endParaRPr lang="en-US"/>
        </a:p>
      </dgm:t>
    </dgm:pt>
  </dgm:ptLst>
  <dgm:cxnLst>
    <dgm:cxn modelId="{95057243-FED7-4F8B-9B9B-D2F13265CA1A}" type="presOf" srcId="{3242FBBF-90CD-BF45-A86B-31A802C63F7D}" destId="{DD0867D4-BF44-D647-BB42-ED157A607317}" srcOrd="0" destOrd="0" presId="urn:microsoft.com/office/officeart/2005/8/layout/default"/>
    <dgm:cxn modelId="{3451828A-08CB-4931-9DD7-25E543C4AA04}" type="presOf" srcId="{AF119E99-A671-F842-BD0E-5BE14C531156}" destId="{CE073318-95D5-6D48-A87C-A456082ABF2E}" srcOrd="0" destOrd="0" presId="urn:microsoft.com/office/officeart/2005/8/layout/default"/>
    <dgm:cxn modelId="{90F1FFE9-7D67-C34E-B28C-927BD0DA70A1}" srcId="{986621F6-4D06-A44C-8D25-84779B48C18C}" destId="{850E17DF-7B74-3643-9BD1-CFA3B2B8AC9D}" srcOrd="2" destOrd="0" parTransId="{8CCF2987-7C0B-014D-9851-A86DD3F7F764}" sibTransId="{AF6E939E-9BDF-2A46-ABA0-01A67213FEE4}"/>
    <dgm:cxn modelId="{3F9BA966-E403-1F4C-8C7B-E8D9CA37E865}" srcId="{986621F6-4D06-A44C-8D25-84779B48C18C}" destId="{3242FBBF-90CD-BF45-A86B-31A802C63F7D}" srcOrd="1" destOrd="0" parTransId="{6A10F756-45AF-634B-B455-203DF920DF48}" sibTransId="{01BE60E0-5321-F147-BBC2-89C6620363D7}"/>
    <dgm:cxn modelId="{2DFC3C53-39BB-49B2-A676-C7A5830BC321}" type="presOf" srcId="{850E17DF-7B74-3643-9BD1-CFA3B2B8AC9D}" destId="{1087ECBB-B8C0-3045-ACBA-5B32DC1D109D}" srcOrd="0" destOrd="0" presId="urn:microsoft.com/office/officeart/2005/8/layout/default"/>
    <dgm:cxn modelId="{FA1AAA37-DEDF-134D-9A18-BFCEA1E6A33F}" srcId="{986621F6-4D06-A44C-8D25-84779B48C18C}" destId="{5BE8775F-C62C-994C-AA73-CAEFADE7A34B}" srcOrd="0" destOrd="0" parTransId="{95DA1E55-E030-904E-9494-4A4357976049}" sibTransId="{55C22A4E-D8CA-C243-B601-79C2F81274FD}"/>
    <dgm:cxn modelId="{9BEDA4DA-83DB-49AA-8634-964142DBCDB0}" type="presOf" srcId="{5BE8775F-C62C-994C-AA73-CAEFADE7A34B}" destId="{830881DD-B22B-0046-81FF-3EEC56CCF640}" srcOrd="0" destOrd="0" presId="urn:microsoft.com/office/officeart/2005/8/layout/default"/>
    <dgm:cxn modelId="{7D09B443-905D-42B2-B384-83E0730A2121}" type="presOf" srcId="{986621F6-4D06-A44C-8D25-84779B48C18C}" destId="{E19FB35F-7B7B-024F-8531-B813BA118F7E}" srcOrd="0" destOrd="0" presId="urn:microsoft.com/office/officeart/2005/8/layout/default"/>
    <dgm:cxn modelId="{4AF4DCB4-2CE1-AF46-A876-15023731ED30}" srcId="{986621F6-4D06-A44C-8D25-84779B48C18C}" destId="{AF119E99-A671-F842-BD0E-5BE14C531156}" srcOrd="3" destOrd="0" parTransId="{17BC3F2B-3C34-9349-8257-87F7239C1169}" sibTransId="{67648B72-6946-C144-BDF5-EAB34856379B}"/>
    <dgm:cxn modelId="{CBB610C6-8443-4F52-9A69-F34975894D31}" type="presParOf" srcId="{E19FB35F-7B7B-024F-8531-B813BA118F7E}" destId="{830881DD-B22B-0046-81FF-3EEC56CCF640}" srcOrd="0" destOrd="0" presId="urn:microsoft.com/office/officeart/2005/8/layout/default"/>
    <dgm:cxn modelId="{D313743A-FCC7-4225-B6B0-F24BE34A436B}" type="presParOf" srcId="{E19FB35F-7B7B-024F-8531-B813BA118F7E}" destId="{CE9A5F64-4CB3-194E-9F0A-37654513437B}" srcOrd="1" destOrd="0" presId="urn:microsoft.com/office/officeart/2005/8/layout/default"/>
    <dgm:cxn modelId="{D8BF5564-933E-4509-9304-02A5889532E3}" type="presParOf" srcId="{E19FB35F-7B7B-024F-8531-B813BA118F7E}" destId="{DD0867D4-BF44-D647-BB42-ED157A607317}" srcOrd="2" destOrd="0" presId="urn:microsoft.com/office/officeart/2005/8/layout/default"/>
    <dgm:cxn modelId="{5D52F520-E908-45A0-B3CC-4B0D064CBFDC}" type="presParOf" srcId="{E19FB35F-7B7B-024F-8531-B813BA118F7E}" destId="{BBFFC66B-022E-C844-978A-85CA30937BA2}" srcOrd="3" destOrd="0" presId="urn:microsoft.com/office/officeart/2005/8/layout/default"/>
    <dgm:cxn modelId="{6A4F2C79-1712-46E9-AE08-78AFAB21FE40}" type="presParOf" srcId="{E19FB35F-7B7B-024F-8531-B813BA118F7E}" destId="{1087ECBB-B8C0-3045-ACBA-5B32DC1D109D}" srcOrd="4" destOrd="0" presId="urn:microsoft.com/office/officeart/2005/8/layout/default"/>
    <dgm:cxn modelId="{AF4FC251-7032-4429-9494-4BED01481A00}" type="presParOf" srcId="{E19FB35F-7B7B-024F-8531-B813BA118F7E}" destId="{880A8163-C3CD-B746-AB6A-8562DCA8EF9C}" srcOrd="5" destOrd="0" presId="urn:microsoft.com/office/officeart/2005/8/layout/default"/>
    <dgm:cxn modelId="{B5837DF4-B07E-46E6-B648-3E35ACDE42BC}" type="presParOf" srcId="{E19FB35F-7B7B-024F-8531-B813BA118F7E}" destId="{CE073318-95D5-6D48-A87C-A456082ABF2E}" srcOrd="6" destOrd="0" presId="urn:microsoft.com/office/officeart/2005/8/layout/default"/>
  </dgm:cxnLst>
  <dgm:bg>
    <a:noFill/>
  </dgm:bg>
  <dgm:whole/>
  <dgm:extLst>
    <a:ext uri="http://schemas.microsoft.com/office/drawing/2008/diagram">
      <dsp:dataModelExt xmlns:dsp="http://schemas.microsoft.com/office/drawing/2008/diagram" relId="rId15"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BD9741FB-E2A1-4DE6-8017-03F91E51FEB4}" type="doc">
      <dgm:prSet loTypeId="urn:microsoft.com/office/officeart/2005/8/layout/vList5" loCatId="list" qsTypeId="urn:microsoft.com/office/officeart/2005/8/quickstyle/simple1" qsCatId="simple" csTypeId="urn:microsoft.com/office/officeart/2005/8/colors/colorful4" csCatId="colorful" phldr="1"/>
      <dgm:spPr/>
      <dgm:t>
        <a:bodyPr/>
        <a:lstStyle/>
        <a:p>
          <a:endParaRPr lang="en-GB"/>
        </a:p>
      </dgm:t>
    </dgm:pt>
    <dgm:pt modelId="{CDD2307A-AE17-4441-B910-B24BD8739EDB}">
      <dgm:prSet phldrT="[Text]" custT="1"/>
      <dgm:spPr/>
      <dgm:t>
        <a:bodyPr/>
        <a:lstStyle/>
        <a:p>
          <a:r>
            <a:rPr lang="en-GB" sz="1500"/>
            <a:t>Leads and values people</a:t>
          </a:r>
        </a:p>
      </dgm:t>
    </dgm:pt>
    <dgm:pt modelId="{BADE7415-8921-4914-9803-475B9039D035}" type="parTrans" cxnId="{512B218F-3350-4554-BD6C-0B12A3C8BF0D}">
      <dgm:prSet/>
      <dgm:spPr/>
      <dgm:t>
        <a:bodyPr/>
        <a:lstStyle/>
        <a:p>
          <a:endParaRPr lang="en-GB"/>
        </a:p>
      </dgm:t>
    </dgm:pt>
    <dgm:pt modelId="{B01CB642-2F38-4C44-BC3D-9A3A547B7208}" type="sibTrans" cxnId="{512B218F-3350-4554-BD6C-0B12A3C8BF0D}">
      <dgm:prSet/>
      <dgm:spPr/>
      <dgm:t>
        <a:bodyPr/>
        <a:lstStyle/>
        <a:p>
          <a:endParaRPr lang="en-GB"/>
        </a:p>
      </dgm:t>
    </dgm:pt>
    <dgm:pt modelId="{DCAB0A43-3840-4802-BE30-7CA5B378997E}">
      <dgm:prSet phldrT="[Text]" custT="1"/>
      <dgm:spPr/>
      <dgm:t>
        <a:bodyPr/>
        <a:lstStyle/>
        <a:p>
          <a:r>
            <a:rPr lang="en-AU" sz="1050"/>
            <a:t>Motivates and develops people </a:t>
          </a:r>
          <a:endParaRPr lang="en-GB" sz="1050"/>
        </a:p>
      </dgm:t>
    </dgm:pt>
    <dgm:pt modelId="{18888555-441E-4ABD-BB8B-02E1870E230F}" type="parTrans" cxnId="{26609777-21E5-4487-85C2-C5637506EC2C}">
      <dgm:prSet/>
      <dgm:spPr/>
      <dgm:t>
        <a:bodyPr/>
        <a:lstStyle/>
        <a:p>
          <a:endParaRPr lang="en-GB"/>
        </a:p>
      </dgm:t>
    </dgm:pt>
    <dgm:pt modelId="{943D5222-8778-4AFE-A243-F08E2F27741A}" type="sibTrans" cxnId="{26609777-21E5-4487-85C2-C5637506EC2C}">
      <dgm:prSet/>
      <dgm:spPr/>
      <dgm:t>
        <a:bodyPr/>
        <a:lstStyle/>
        <a:p>
          <a:endParaRPr lang="en-GB"/>
        </a:p>
      </dgm:t>
    </dgm:pt>
    <dgm:pt modelId="{E38C98EE-656B-46E8-8071-48799858828F}">
      <dgm:prSet phldrT="[Text]" custT="1"/>
      <dgm:spPr/>
      <dgm:t>
        <a:bodyPr/>
        <a:lstStyle/>
        <a:p>
          <a:r>
            <a:rPr lang="en-GB" sz="1500"/>
            <a:t>Shapes strategic thinking</a:t>
          </a:r>
        </a:p>
      </dgm:t>
    </dgm:pt>
    <dgm:pt modelId="{432245A5-D291-4DDA-A137-D7CED9B1E0D2}" type="parTrans" cxnId="{299BF6F8-E1B2-4658-857F-F09435E0D752}">
      <dgm:prSet/>
      <dgm:spPr/>
      <dgm:t>
        <a:bodyPr/>
        <a:lstStyle/>
        <a:p>
          <a:endParaRPr lang="en-GB"/>
        </a:p>
      </dgm:t>
    </dgm:pt>
    <dgm:pt modelId="{1FC3293B-62B5-4175-B028-C94AB64DBFCD}" type="sibTrans" cxnId="{299BF6F8-E1B2-4658-857F-F09435E0D752}">
      <dgm:prSet/>
      <dgm:spPr/>
      <dgm:t>
        <a:bodyPr/>
        <a:lstStyle/>
        <a:p>
          <a:endParaRPr lang="en-GB"/>
        </a:p>
      </dgm:t>
    </dgm:pt>
    <dgm:pt modelId="{77DE3777-8DA1-4050-BD65-E6DE239239E5}">
      <dgm:prSet phldrT="[Text]" custT="1"/>
      <dgm:spPr/>
      <dgm:t>
        <a:bodyPr/>
        <a:lstStyle/>
        <a:p>
          <a:r>
            <a:rPr lang="en-GB" sz="1050"/>
            <a:t>Inspires a sense of purpose and direction </a:t>
          </a:r>
        </a:p>
      </dgm:t>
    </dgm:pt>
    <dgm:pt modelId="{2A21688C-78AE-4602-9722-10823BFD0FAB}" type="parTrans" cxnId="{81E37234-6B05-4558-A5B7-12009D481EA6}">
      <dgm:prSet/>
      <dgm:spPr/>
      <dgm:t>
        <a:bodyPr/>
        <a:lstStyle/>
        <a:p>
          <a:endParaRPr lang="en-GB"/>
        </a:p>
      </dgm:t>
    </dgm:pt>
    <dgm:pt modelId="{F3D9CF7A-CC74-456D-9FED-AE70E3EBF5B4}" type="sibTrans" cxnId="{81E37234-6B05-4558-A5B7-12009D481EA6}">
      <dgm:prSet/>
      <dgm:spPr/>
      <dgm:t>
        <a:bodyPr/>
        <a:lstStyle/>
        <a:p>
          <a:endParaRPr lang="en-GB"/>
        </a:p>
      </dgm:t>
    </dgm:pt>
    <dgm:pt modelId="{BE8AF275-EC09-45F7-A6EF-AB342F6A7772}">
      <dgm:prSet phldrT="[Text]" custT="1"/>
      <dgm:spPr/>
      <dgm:t>
        <a:bodyPr/>
        <a:lstStyle/>
        <a:p>
          <a:r>
            <a:rPr lang="en-GB" sz="1500"/>
            <a:t>Achieves results with integrity</a:t>
          </a:r>
        </a:p>
      </dgm:t>
    </dgm:pt>
    <dgm:pt modelId="{7E4E9BC1-6A9A-46EC-A328-09B24524AA20}" type="parTrans" cxnId="{94553D59-5E2C-4E7E-9423-A320C60BF9C0}">
      <dgm:prSet/>
      <dgm:spPr/>
      <dgm:t>
        <a:bodyPr/>
        <a:lstStyle/>
        <a:p>
          <a:endParaRPr lang="en-GB"/>
        </a:p>
      </dgm:t>
    </dgm:pt>
    <dgm:pt modelId="{ADD7F9A2-588A-4881-BE7B-4B61C5040AA4}" type="sibTrans" cxnId="{94553D59-5E2C-4E7E-9423-A320C60BF9C0}">
      <dgm:prSet/>
      <dgm:spPr/>
      <dgm:t>
        <a:bodyPr/>
        <a:lstStyle/>
        <a:p>
          <a:endParaRPr lang="en-GB"/>
        </a:p>
      </dgm:t>
    </dgm:pt>
    <dgm:pt modelId="{F32AAD28-704B-440A-9CF9-321080B07EFA}">
      <dgm:prSet phldrT="[Text]" custT="1"/>
      <dgm:spPr/>
      <dgm:t>
        <a:bodyPr/>
        <a:lstStyle/>
        <a:p>
          <a:r>
            <a:rPr lang="en-AU" sz="1050"/>
            <a:t>Develops organisational capability to deliver results </a:t>
          </a:r>
          <a:endParaRPr lang="en-GB" sz="1050"/>
        </a:p>
      </dgm:t>
    </dgm:pt>
    <dgm:pt modelId="{8A3F51AF-31E1-4CFC-96A6-8C205593466D}" type="parTrans" cxnId="{4219069A-1A9B-43BE-993B-A0996653892D}">
      <dgm:prSet/>
      <dgm:spPr/>
      <dgm:t>
        <a:bodyPr/>
        <a:lstStyle/>
        <a:p>
          <a:endParaRPr lang="en-GB"/>
        </a:p>
      </dgm:t>
    </dgm:pt>
    <dgm:pt modelId="{D1C23326-AA38-47C0-910E-8DD9E782D7C6}" type="sibTrans" cxnId="{4219069A-1A9B-43BE-993B-A0996653892D}">
      <dgm:prSet/>
      <dgm:spPr/>
      <dgm:t>
        <a:bodyPr/>
        <a:lstStyle/>
        <a:p>
          <a:endParaRPr lang="en-GB"/>
        </a:p>
      </dgm:t>
    </dgm:pt>
    <dgm:pt modelId="{8273C856-8517-40CC-8FCF-63830EF30D8B}">
      <dgm:prSet phldrT="[Text]" custT="1"/>
      <dgm:spPr/>
      <dgm:t>
        <a:bodyPr/>
        <a:lstStyle/>
        <a:p>
          <a:r>
            <a:rPr lang="en-GB" sz="1500"/>
            <a:t>Fosters collaboration</a:t>
          </a:r>
        </a:p>
      </dgm:t>
    </dgm:pt>
    <dgm:pt modelId="{2DCB9DF9-656D-47DE-8A47-5A05AFEE1B3A}" type="parTrans" cxnId="{E0A2DDA0-4BB5-480E-AC0B-F453656A5295}">
      <dgm:prSet/>
      <dgm:spPr/>
      <dgm:t>
        <a:bodyPr/>
        <a:lstStyle/>
        <a:p>
          <a:endParaRPr lang="en-GB"/>
        </a:p>
      </dgm:t>
    </dgm:pt>
    <dgm:pt modelId="{6757AC13-5E39-4704-9408-E1FF69C3861C}" type="sibTrans" cxnId="{E0A2DDA0-4BB5-480E-AC0B-F453656A5295}">
      <dgm:prSet/>
      <dgm:spPr/>
      <dgm:t>
        <a:bodyPr/>
        <a:lstStyle/>
        <a:p>
          <a:endParaRPr lang="en-GB"/>
        </a:p>
      </dgm:t>
    </dgm:pt>
    <dgm:pt modelId="{491D014D-1E35-4463-A3BC-819AA7780420}">
      <dgm:prSet phldrT="[Text]" custT="1"/>
      <dgm:spPr/>
      <dgm:t>
        <a:bodyPr/>
        <a:lstStyle/>
        <a:p>
          <a:r>
            <a:rPr lang="en-GB" sz="1500"/>
            <a:t>Exemplifies citizen, community and service focus</a:t>
          </a:r>
        </a:p>
      </dgm:t>
    </dgm:pt>
    <dgm:pt modelId="{D51B0555-7B0B-4784-A56D-6D340E68BF28}" type="parTrans" cxnId="{6F5E9AE3-C732-4519-BC4E-886137D5A953}">
      <dgm:prSet/>
      <dgm:spPr/>
      <dgm:t>
        <a:bodyPr/>
        <a:lstStyle/>
        <a:p>
          <a:endParaRPr lang="en-GB"/>
        </a:p>
      </dgm:t>
    </dgm:pt>
    <dgm:pt modelId="{56FB2C50-1202-495E-B570-CB97F163EC2A}" type="sibTrans" cxnId="{6F5E9AE3-C732-4519-BC4E-886137D5A953}">
      <dgm:prSet/>
      <dgm:spPr/>
      <dgm:t>
        <a:bodyPr/>
        <a:lstStyle/>
        <a:p>
          <a:endParaRPr lang="en-GB"/>
        </a:p>
      </dgm:t>
    </dgm:pt>
    <dgm:pt modelId="{19DB61A2-1614-41F9-8E59-79E0A02504D5}">
      <dgm:prSet custT="1"/>
      <dgm:spPr/>
      <dgm:t>
        <a:bodyPr/>
        <a:lstStyle/>
        <a:p>
          <a:r>
            <a:rPr lang="en-AU" sz="1050"/>
            <a:t>Values diversity and respects individuals </a:t>
          </a:r>
          <a:endParaRPr lang="en-GB" sz="1050"/>
        </a:p>
      </dgm:t>
    </dgm:pt>
    <dgm:pt modelId="{4F4D1FDE-C3E1-4559-B370-3C81E08EF9DC}" type="parTrans" cxnId="{CD7910F6-20BD-4BAF-AD65-CDCF2CDBFF57}">
      <dgm:prSet/>
      <dgm:spPr/>
      <dgm:t>
        <a:bodyPr/>
        <a:lstStyle/>
        <a:p>
          <a:endParaRPr lang="en-GB"/>
        </a:p>
      </dgm:t>
    </dgm:pt>
    <dgm:pt modelId="{29749ADC-7F91-4557-82AC-BCB08FB8A1D9}" type="sibTrans" cxnId="{CD7910F6-20BD-4BAF-AD65-CDCF2CDBFF57}">
      <dgm:prSet/>
      <dgm:spPr/>
      <dgm:t>
        <a:bodyPr/>
        <a:lstStyle/>
        <a:p>
          <a:endParaRPr lang="en-GB"/>
        </a:p>
      </dgm:t>
    </dgm:pt>
    <dgm:pt modelId="{87C15908-E5AC-40F3-AB8E-E760B4368950}">
      <dgm:prSet custT="1"/>
      <dgm:spPr/>
      <dgm:t>
        <a:bodyPr/>
        <a:lstStyle/>
        <a:p>
          <a:r>
            <a:rPr lang="en-AU" sz="1050"/>
            <a:t>Builds a culture of improving practice</a:t>
          </a:r>
          <a:endParaRPr lang="en-GB" sz="1050"/>
        </a:p>
      </dgm:t>
    </dgm:pt>
    <dgm:pt modelId="{CF4FACB2-EE24-4C09-84D6-3EE19E4C38EC}" type="parTrans" cxnId="{0AD3099B-8842-4347-8AF8-1620B3827B7E}">
      <dgm:prSet/>
      <dgm:spPr/>
      <dgm:t>
        <a:bodyPr/>
        <a:lstStyle/>
        <a:p>
          <a:endParaRPr lang="en-GB"/>
        </a:p>
      </dgm:t>
    </dgm:pt>
    <dgm:pt modelId="{F6A10BB4-DD10-482B-BF3E-3FF2BE3D7BBE}" type="sibTrans" cxnId="{0AD3099B-8842-4347-8AF8-1620B3827B7E}">
      <dgm:prSet/>
      <dgm:spPr/>
      <dgm:t>
        <a:bodyPr/>
        <a:lstStyle/>
        <a:p>
          <a:endParaRPr lang="en-GB"/>
        </a:p>
      </dgm:t>
    </dgm:pt>
    <dgm:pt modelId="{3BF4FAFC-B78C-42DA-927F-BB69107135A2}">
      <dgm:prSet custT="1"/>
      <dgm:spPr/>
      <dgm:t>
        <a:bodyPr/>
        <a:lstStyle/>
        <a:p>
          <a:r>
            <a:rPr lang="en-GB" sz="1050"/>
            <a:t>Encourages innovation and engages with risk </a:t>
          </a:r>
        </a:p>
      </dgm:t>
    </dgm:pt>
    <dgm:pt modelId="{C7FA2E72-B6E9-4D17-BEC9-1DD9352DB92C}" type="parTrans" cxnId="{CB549048-54AA-48FC-843E-34DEFA6A2C84}">
      <dgm:prSet/>
      <dgm:spPr/>
      <dgm:t>
        <a:bodyPr/>
        <a:lstStyle/>
        <a:p>
          <a:endParaRPr lang="en-GB"/>
        </a:p>
      </dgm:t>
    </dgm:pt>
    <dgm:pt modelId="{19F1DE9F-EC47-4BE1-9BF4-0557293E07D1}" type="sibTrans" cxnId="{CB549048-54AA-48FC-843E-34DEFA6A2C84}">
      <dgm:prSet/>
      <dgm:spPr/>
      <dgm:t>
        <a:bodyPr/>
        <a:lstStyle/>
        <a:p>
          <a:endParaRPr lang="en-GB"/>
        </a:p>
      </dgm:t>
    </dgm:pt>
    <dgm:pt modelId="{D7E99340-7F72-4CB2-9E99-AD811D8B151F}">
      <dgm:prSet custT="1"/>
      <dgm:spPr/>
      <dgm:t>
        <a:bodyPr/>
        <a:lstStyle/>
        <a:p>
          <a:r>
            <a:rPr lang="en-GB" sz="1050"/>
            <a:t>Thinks broadly and develops solutions</a:t>
          </a:r>
        </a:p>
      </dgm:t>
    </dgm:pt>
    <dgm:pt modelId="{6B8CFC8E-55BA-419A-A123-F3805D8C5715}" type="parTrans" cxnId="{46E2961A-DB16-4A59-8B0A-A269039C2FA9}">
      <dgm:prSet/>
      <dgm:spPr/>
      <dgm:t>
        <a:bodyPr/>
        <a:lstStyle/>
        <a:p>
          <a:endParaRPr lang="en-GB"/>
        </a:p>
      </dgm:t>
    </dgm:pt>
    <dgm:pt modelId="{2AA4F714-EC99-427D-BD98-8DC403769FDD}" type="sibTrans" cxnId="{46E2961A-DB16-4A59-8B0A-A269039C2FA9}">
      <dgm:prSet/>
      <dgm:spPr/>
      <dgm:t>
        <a:bodyPr/>
        <a:lstStyle/>
        <a:p>
          <a:endParaRPr lang="en-GB"/>
        </a:p>
      </dgm:t>
    </dgm:pt>
    <dgm:pt modelId="{705320B0-B8A1-4D4A-AB7D-1802916248EB}">
      <dgm:prSet custT="1"/>
      <dgm:spPr/>
      <dgm:t>
        <a:bodyPr/>
        <a:lstStyle/>
        <a:p>
          <a:r>
            <a:rPr lang="en-AU" sz="1050"/>
            <a:t>Manages resources wisely and with probity </a:t>
          </a:r>
          <a:endParaRPr lang="en-GB" sz="1050"/>
        </a:p>
      </dgm:t>
    </dgm:pt>
    <dgm:pt modelId="{566F7453-D44C-4983-A6E6-9F9AF73699DD}" type="parTrans" cxnId="{45C11418-A5BD-4FDF-B686-F8B09EA68976}">
      <dgm:prSet/>
      <dgm:spPr/>
      <dgm:t>
        <a:bodyPr/>
        <a:lstStyle/>
        <a:p>
          <a:endParaRPr lang="en-GB"/>
        </a:p>
      </dgm:t>
    </dgm:pt>
    <dgm:pt modelId="{031EADC5-637B-473D-A200-F6402008FFB3}" type="sibTrans" cxnId="{45C11418-A5BD-4FDF-B686-F8B09EA68976}">
      <dgm:prSet/>
      <dgm:spPr/>
      <dgm:t>
        <a:bodyPr/>
        <a:lstStyle/>
        <a:p>
          <a:endParaRPr lang="en-GB"/>
        </a:p>
      </dgm:t>
    </dgm:pt>
    <dgm:pt modelId="{5DC34E68-75FB-4E41-A758-6B5BBF430CEA}">
      <dgm:prSet custT="1"/>
      <dgm:spPr/>
      <dgm:t>
        <a:bodyPr/>
        <a:lstStyle/>
        <a:p>
          <a:r>
            <a:rPr lang="en-AU" sz="1050"/>
            <a:t>Progresses evidence based policies and procedures </a:t>
          </a:r>
          <a:endParaRPr lang="en-GB" sz="1050"/>
        </a:p>
      </dgm:t>
    </dgm:pt>
    <dgm:pt modelId="{4406EE85-ACF4-4342-8717-CCF478DDAAE1}" type="parTrans" cxnId="{97D3B4B8-2185-4AE8-A099-4D72664E48EC}">
      <dgm:prSet/>
      <dgm:spPr/>
      <dgm:t>
        <a:bodyPr/>
        <a:lstStyle/>
        <a:p>
          <a:endParaRPr lang="en-GB"/>
        </a:p>
      </dgm:t>
    </dgm:pt>
    <dgm:pt modelId="{A1CADD4D-D8BB-4918-9809-0EC26342B340}" type="sibTrans" cxnId="{97D3B4B8-2185-4AE8-A099-4D72664E48EC}">
      <dgm:prSet/>
      <dgm:spPr/>
      <dgm:t>
        <a:bodyPr/>
        <a:lstStyle/>
        <a:p>
          <a:endParaRPr lang="en-GB"/>
        </a:p>
      </dgm:t>
    </dgm:pt>
    <dgm:pt modelId="{0EC828E3-24EE-45E7-9AEB-C3258F6E72F0}">
      <dgm:prSet custT="1"/>
      <dgm:spPr/>
      <dgm:t>
        <a:bodyPr/>
        <a:lstStyle/>
        <a:p>
          <a:r>
            <a:rPr lang="en-AU" sz="1050"/>
            <a:t>Shows sound judgement, is responsive and ethical</a:t>
          </a:r>
          <a:endParaRPr lang="en-GB" sz="1050"/>
        </a:p>
      </dgm:t>
    </dgm:pt>
    <dgm:pt modelId="{57DDE8D8-F551-4F2D-AEA0-0C2F7FFAD371}" type="parTrans" cxnId="{50896F28-2B58-4BD4-9A5D-6C3391574375}">
      <dgm:prSet/>
      <dgm:spPr/>
      <dgm:t>
        <a:bodyPr/>
        <a:lstStyle/>
        <a:p>
          <a:endParaRPr lang="en-GB"/>
        </a:p>
      </dgm:t>
    </dgm:pt>
    <dgm:pt modelId="{6D8561D4-C62B-48B6-992D-B9BD6511A720}" type="sibTrans" cxnId="{50896F28-2B58-4BD4-9A5D-6C3391574375}">
      <dgm:prSet/>
      <dgm:spPr/>
      <dgm:t>
        <a:bodyPr/>
        <a:lstStyle/>
        <a:p>
          <a:endParaRPr lang="en-GB"/>
        </a:p>
      </dgm:t>
    </dgm:pt>
    <dgm:pt modelId="{92EEC30C-394F-4E30-BD29-5BF496C71B9D}">
      <dgm:prSet phldrT="[Text]" custT="1"/>
      <dgm:spPr/>
      <dgm:t>
        <a:bodyPr/>
        <a:lstStyle/>
        <a:p>
          <a:r>
            <a:rPr lang="en-GB" sz="1050"/>
            <a:t>Listens and communicates with influence </a:t>
          </a:r>
        </a:p>
      </dgm:t>
    </dgm:pt>
    <dgm:pt modelId="{32FCE019-41B0-45C5-B12E-3C27C874C296}" type="parTrans" cxnId="{FA337CD7-E94C-414F-BC1F-0D083164EDBE}">
      <dgm:prSet/>
      <dgm:spPr/>
      <dgm:t>
        <a:bodyPr/>
        <a:lstStyle/>
        <a:p>
          <a:endParaRPr lang="en-GB"/>
        </a:p>
      </dgm:t>
    </dgm:pt>
    <dgm:pt modelId="{9B8A0174-E72E-403E-9003-88528FDA962C}" type="sibTrans" cxnId="{FA337CD7-E94C-414F-BC1F-0D083164EDBE}">
      <dgm:prSet/>
      <dgm:spPr/>
      <dgm:t>
        <a:bodyPr/>
        <a:lstStyle/>
        <a:p>
          <a:endParaRPr lang="en-GB"/>
        </a:p>
      </dgm:t>
    </dgm:pt>
    <dgm:pt modelId="{769DE744-B1AE-4762-BFDE-5710FFA8F239}">
      <dgm:prSet phldrT="[Text]" custT="1"/>
      <dgm:spPr/>
      <dgm:t>
        <a:bodyPr/>
        <a:lstStyle/>
        <a:p>
          <a:r>
            <a:rPr lang="en-GB" sz="1050"/>
            <a:t>Understands, anticipates and evaluates client needs </a:t>
          </a:r>
        </a:p>
      </dgm:t>
    </dgm:pt>
    <dgm:pt modelId="{1EA6EFB9-FA5B-4866-A749-C8B5554713CF}" type="parTrans" cxnId="{1FD902B1-4746-436B-889A-D612D1769828}">
      <dgm:prSet/>
      <dgm:spPr/>
      <dgm:t>
        <a:bodyPr/>
        <a:lstStyle/>
        <a:p>
          <a:endParaRPr lang="en-GB"/>
        </a:p>
      </dgm:t>
    </dgm:pt>
    <dgm:pt modelId="{D70ABBA9-FB6E-4083-826B-B2D9A12221FB}" type="sibTrans" cxnId="{1FD902B1-4746-436B-889A-D612D1769828}">
      <dgm:prSet/>
      <dgm:spPr/>
      <dgm:t>
        <a:bodyPr/>
        <a:lstStyle/>
        <a:p>
          <a:endParaRPr lang="en-GB"/>
        </a:p>
      </dgm:t>
    </dgm:pt>
    <dgm:pt modelId="{61ABB690-C4E3-455E-A329-9DCAEC2EDB1C}">
      <dgm:prSet custT="1"/>
      <dgm:spPr/>
      <dgm:t>
        <a:bodyPr/>
        <a:lstStyle/>
        <a:p>
          <a:r>
            <a:rPr lang="en-GB" sz="1050"/>
            <a:t>Engages effectively across government </a:t>
          </a:r>
        </a:p>
      </dgm:t>
    </dgm:pt>
    <dgm:pt modelId="{EBF70E60-055D-4EFA-A93A-0285D6A3E1EA}" type="parTrans" cxnId="{C9A7D57F-952A-4537-849C-99C2EBF1A9B0}">
      <dgm:prSet/>
      <dgm:spPr/>
      <dgm:t>
        <a:bodyPr/>
        <a:lstStyle/>
        <a:p>
          <a:endParaRPr lang="en-GB"/>
        </a:p>
      </dgm:t>
    </dgm:pt>
    <dgm:pt modelId="{35914410-840A-4E96-9142-72D9A5FDE027}" type="sibTrans" cxnId="{C9A7D57F-952A-4537-849C-99C2EBF1A9B0}">
      <dgm:prSet/>
      <dgm:spPr/>
      <dgm:t>
        <a:bodyPr/>
        <a:lstStyle/>
        <a:p>
          <a:endParaRPr lang="en-GB"/>
        </a:p>
      </dgm:t>
    </dgm:pt>
    <dgm:pt modelId="{F98278A6-7410-446C-9763-BC02AF27568B}">
      <dgm:prSet custT="1"/>
      <dgm:spPr/>
      <dgm:t>
        <a:bodyPr/>
        <a:lstStyle/>
        <a:p>
          <a:r>
            <a:rPr lang="en-GB" sz="1050"/>
            <a:t>Builds and maintains key relationships</a:t>
          </a:r>
        </a:p>
      </dgm:t>
    </dgm:pt>
    <dgm:pt modelId="{6216F6DB-6853-481F-88C1-DB80AC16F825}" type="parTrans" cxnId="{D490A600-E7D7-4AD0-9320-785AF7555DFD}">
      <dgm:prSet/>
      <dgm:spPr/>
      <dgm:t>
        <a:bodyPr/>
        <a:lstStyle/>
        <a:p>
          <a:endParaRPr lang="en-GB"/>
        </a:p>
      </dgm:t>
    </dgm:pt>
    <dgm:pt modelId="{5A03DE07-38D1-47D9-A94D-77A478F42132}" type="sibTrans" cxnId="{D490A600-E7D7-4AD0-9320-785AF7555DFD}">
      <dgm:prSet/>
      <dgm:spPr/>
      <dgm:t>
        <a:bodyPr/>
        <a:lstStyle/>
        <a:p>
          <a:endParaRPr lang="en-GB"/>
        </a:p>
      </dgm:t>
    </dgm:pt>
    <dgm:pt modelId="{53889494-3E53-4F8A-BA26-1EAF0D000B86}">
      <dgm:prSet custT="1"/>
      <dgm:spPr/>
      <dgm:t>
        <a:bodyPr/>
        <a:lstStyle/>
        <a:p>
          <a:endParaRPr lang="en-GB" sz="1050"/>
        </a:p>
      </dgm:t>
    </dgm:pt>
    <dgm:pt modelId="{9F34E1BB-A422-4184-8D04-AF272F2A3E3F}" type="parTrans" cxnId="{39C1C3ED-6212-4D89-8AEF-423964813F97}">
      <dgm:prSet/>
      <dgm:spPr/>
      <dgm:t>
        <a:bodyPr/>
        <a:lstStyle/>
        <a:p>
          <a:endParaRPr lang="en-GB"/>
        </a:p>
      </dgm:t>
    </dgm:pt>
    <dgm:pt modelId="{E0574B29-4E14-456C-BB6D-BF0E80F8613F}" type="sibTrans" cxnId="{39C1C3ED-6212-4D89-8AEF-423964813F97}">
      <dgm:prSet/>
      <dgm:spPr/>
      <dgm:t>
        <a:bodyPr/>
        <a:lstStyle/>
        <a:p>
          <a:endParaRPr lang="en-GB"/>
        </a:p>
      </dgm:t>
    </dgm:pt>
    <dgm:pt modelId="{6E1D0483-04C8-4AE8-A658-A6F40D020D53}">
      <dgm:prSet custT="1"/>
      <dgm:spPr/>
      <dgm:t>
        <a:bodyPr/>
        <a:lstStyle/>
        <a:p>
          <a:r>
            <a:rPr lang="en-GB" sz="1050"/>
            <a:t>Creates partnerships and co-operation </a:t>
          </a:r>
        </a:p>
      </dgm:t>
    </dgm:pt>
    <dgm:pt modelId="{C302CBE0-C88A-4B75-AC82-9E83BDDF8CEF}" type="parTrans" cxnId="{8BA3090A-B451-4D6F-9092-8B5DBC9036B1}">
      <dgm:prSet/>
      <dgm:spPr/>
      <dgm:t>
        <a:bodyPr/>
        <a:lstStyle/>
        <a:p>
          <a:endParaRPr lang="en-GB"/>
        </a:p>
      </dgm:t>
    </dgm:pt>
    <dgm:pt modelId="{B40B3BF3-EB0B-4863-9820-3F7EB58B9C10}" type="sibTrans" cxnId="{8BA3090A-B451-4D6F-9092-8B5DBC9036B1}">
      <dgm:prSet/>
      <dgm:spPr/>
      <dgm:t>
        <a:bodyPr/>
        <a:lstStyle/>
        <a:p>
          <a:endParaRPr lang="en-GB"/>
        </a:p>
      </dgm:t>
    </dgm:pt>
    <dgm:pt modelId="{90A800D2-446F-49E3-A156-1DAFEBE54ECC}">
      <dgm:prSet custT="1"/>
      <dgm:spPr/>
      <dgm:t>
        <a:bodyPr/>
        <a:lstStyle/>
        <a:p>
          <a:r>
            <a:rPr lang="en-GB" sz="1050"/>
            <a:t>Works to improve outcomes</a:t>
          </a:r>
        </a:p>
      </dgm:t>
    </dgm:pt>
    <dgm:pt modelId="{37BED49B-EADE-44BC-B694-AD297B7428E4}" type="parTrans" cxnId="{2D9BA16F-F9BD-4D73-BAF3-05C7D686B6D1}">
      <dgm:prSet/>
      <dgm:spPr/>
      <dgm:t>
        <a:bodyPr/>
        <a:lstStyle/>
        <a:p>
          <a:endParaRPr lang="en-GB"/>
        </a:p>
      </dgm:t>
    </dgm:pt>
    <dgm:pt modelId="{C52FB80B-6EED-4A15-8265-1BE8F48FDD51}" type="sibTrans" cxnId="{2D9BA16F-F9BD-4D73-BAF3-05C7D686B6D1}">
      <dgm:prSet/>
      <dgm:spPr/>
      <dgm:t>
        <a:bodyPr/>
        <a:lstStyle/>
        <a:p>
          <a:endParaRPr lang="en-GB"/>
        </a:p>
      </dgm:t>
    </dgm:pt>
    <dgm:pt modelId="{331344A3-C909-446E-909D-C7BD088ACF5E}">
      <dgm:prSet custT="1"/>
      <dgm:spPr/>
      <dgm:t>
        <a:bodyPr/>
        <a:lstStyle/>
        <a:p>
          <a:endParaRPr lang="en-GB" sz="1050"/>
        </a:p>
      </dgm:t>
    </dgm:pt>
    <dgm:pt modelId="{AD7B3FE5-C161-45D7-8C73-D41E17BF9546}" type="sibTrans" cxnId="{EF7C587F-33B6-425F-AF4B-F5F6C1F0DFCD}">
      <dgm:prSet/>
      <dgm:spPr/>
      <dgm:t>
        <a:bodyPr/>
        <a:lstStyle/>
        <a:p>
          <a:endParaRPr lang="en-GB"/>
        </a:p>
      </dgm:t>
    </dgm:pt>
    <dgm:pt modelId="{7B56AB1B-3062-49C3-AD1B-EBE9DF7B53B2}" type="parTrans" cxnId="{EF7C587F-33B6-425F-AF4B-F5F6C1F0DFCD}">
      <dgm:prSet/>
      <dgm:spPr/>
      <dgm:t>
        <a:bodyPr/>
        <a:lstStyle/>
        <a:p>
          <a:endParaRPr lang="en-GB"/>
        </a:p>
      </dgm:t>
    </dgm:pt>
    <dgm:pt modelId="{7B0A857B-7C67-443C-9E79-9B774B26573C}">
      <dgm:prSet phldrT="[Text]" custT="1"/>
      <dgm:spPr/>
      <dgm:t>
        <a:bodyPr/>
        <a:lstStyle/>
        <a:p>
          <a:endParaRPr lang="en-GB" sz="1050"/>
        </a:p>
      </dgm:t>
    </dgm:pt>
    <dgm:pt modelId="{186040FC-904A-4409-862B-A32F9F942B8D}" type="parTrans" cxnId="{260220F7-2CFD-494C-AD05-BFB79879E1A1}">
      <dgm:prSet/>
      <dgm:spPr/>
      <dgm:t>
        <a:bodyPr/>
        <a:lstStyle/>
        <a:p>
          <a:endParaRPr lang="en-GB"/>
        </a:p>
      </dgm:t>
    </dgm:pt>
    <dgm:pt modelId="{2046A3B1-B67C-4393-B4A1-52AFF09897DF}" type="sibTrans" cxnId="{260220F7-2CFD-494C-AD05-BFB79879E1A1}">
      <dgm:prSet/>
      <dgm:spPr/>
      <dgm:t>
        <a:bodyPr/>
        <a:lstStyle/>
        <a:p>
          <a:endParaRPr lang="en-GB"/>
        </a:p>
      </dgm:t>
    </dgm:pt>
    <dgm:pt modelId="{B8D8C345-402E-4C1F-B04F-0BFE578C726E}">
      <dgm:prSet phldrT="[Text]" custT="1"/>
      <dgm:spPr/>
      <dgm:t>
        <a:bodyPr/>
        <a:lstStyle/>
        <a:p>
          <a:endParaRPr lang="en-GB" sz="1050"/>
        </a:p>
      </dgm:t>
    </dgm:pt>
    <dgm:pt modelId="{27FA4D50-F38D-4385-8519-D9D8F8E08649}" type="parTrans" cxnId="{1322E152-B39C-45D8-8225-BCB8CCA1B548}">
      <dgm:prSet/>
      <dgm:spPr/>
      <dgm:t>
        <a:bodyPr/>
        <a:lstStyle/>
        <a:p>
          <a:endParaRPr lang="en-GB"/>
        </a:p>
      </dgm:t>
    </dgm:pt>
    <dgm:pt modelId="{89A5D7F0-DD34-4926-B2E8-CC279FF1C429}" type="sibTrans" cxnId="{1322E152-B39C-45D8-8225-BCB8CCA1B548}">
      <dgm:prSet/>
      <dgm:spPr/>
      <dgm:t>
        <a:bodyPr/>
        <a:lstStyle/>
        <a:p>
          <a:endParaRPr lang="en-GB"/>
        </a:p>
      </dgm:t>
    </dgm:pt>
    <dgm:pt modelId="{0798D119-EB10-4F0D-AC85-624C482E9B23}" type="pres">
      <dgm:prSet presAssocID="{BD9741FB-E2A1-4DE6-8017-03F91E51FEB4}" presName="Name0" presStyleCnt="0">
        <dgm:presLayoutVars>
          <dgm:dir/>
          <dgm:animLvl val="lvl"/>
          <dgm:resizeHandles val="exact"/>
        </dgm:presLayoutVars>
      </dgm:prSet>
      <dgm:spPr/>
      <dgm:t>
        <a:bodyPr/>
        <a:lstStyle/>
        <a:p>
          <a:endParaRPr lang="en-AU"/>
        </a:p>
      </dgm:t>
    </dgm:pt>
    <dgm:pt modelId="{D627C97D-2C9D-4176-A94D-A5B00DB6EE3A}" type="pres">
      <dgm:prSet presAssocID="{CDD2307A-AE17-4441-B910-B24BD8739EDB}" presName="linNode" presStyleCnt="0"/>
      <dgm:spPr/>
    </dgm:pt>
    <dgm:pt modelId="{791E59D7-0878-41CF-A3F4-4EE813D7313C}" type="pres">
      <dgm:prSet presAssocID="{CDD2307A-AE17-4441-B910-B24BD8739EDB}" presName="parentText" presStyleLbl="node1" presStyleIdx="0" presStyleCnt="5">
        <dgm:presLayoutVars>
          <dgm:chMax val="1"/>
          <dgm:bulletEnabled val="1"/>
        </dgm:presLayoutVars>
      </dgm:prSet>
      <dgm:spPr/>
      <dgm:t>
        <a:bodyPr/>
        <a:lstStyle/>
        <a:p>
          <a:endParaRPr lang="en-GB"/>
        </a:p>
      </dgm:t>
    </dgm:pt>
    <dgm:pt modelId="{B7E0F8B6-6669-4DD4-82D5-CEDAA32D6BDE}" type="pres">
      <dgm:prSet presAssocID="{CDD2307A-AE17-4441-B910-B24BD8739EDB}" presName="descendantText" presStyleLbl="alignAccFollowNode1" presStyleIdx="0" presStyleCnt="5" custScaleY="126921" custLinFactNeighborX="605" custLinFactNeighborY="-4849">
        <dgm:presLayoutVars>
          <dgm:bulletEnabled val="1"/>
        </dgm:presLayoutVars>
      </dgm:prSet>
      <dgm:spPr/>
      <dgm:t>
        <a:bodyPr/>
        <a:lstStyle/>
        <a:p>
          <a:endParaRPr lang="en-GB"/>
        </a:p>
      </dgm:t>
    </dgm:pt>
    <dgm:pt modelId="{1843C51B-3DCC-4FA4-99DD-7015388DAC05}" type="pres">
      <dgm:prSet presAssocID="{B01CB642-2F38-4C44-BC3D-9A3A547B7208}" presName="sp" presStyleCnt="0"/>
      <dgm:spPr/>
    </dgm:pt>
    <dgm:pt modelId="{5CEA1827-F8C9-42DD-83E2-10F4CD40D4DB}" type="pres">
      <dgm:prSet presAssocID="{E38C98EE-656B-46E8-8071-48799858828F}" presName="linNode" presStyleCnt="0"/>
      <dgm:spPr/>
    </dgm:pt>
    <dgm:pt modelId="{7905C0E4-7E41-48C5-B7B4-3490A7F6528D}" type="pres">
      <dgm:prSet presAssocID="{E38C98EE-656B-46E8-8071-48799858828F}" presName="parentText" presStyleLbl="node1" presStyleIdx="1" presStyleCnt="5">
        <dgm:presLayoutVars>
          <dgm:chMax val="1"/>
          <dgm:bulletEnabled val="1"/>
        </dgm:presLayoutVars>
      </dgm:prSet>
      <dgm:spPr/>
      <dgm:t>
        <a:bodyPr/>
        <a:lstStyle/>
        <a:p>
          <a:endParaRPr lang="en-AU"/>
        </a:p>
      </dgm:t>
    </dgm:pt>
    <dgm:pt modelId="{02CDEF20-9109-42C5-BA53-52EBED5914BF}" type="pres">
      <dgm:prSet presAssocID="{E38C98EE-656B-46E8-8071-48799858828F}" presName="descendantText" presStyleLbl="alignAccFollowNode1" presStyleIdx="1" presStyleCnt="5">
        <dgm:presLayoutVars>
          <dgm:bulletEnabled val="1"/>
        </dgm:presLayoutVars>
      </dgm:prSet>
      <dgm:spPr/>
      <dgm:t>
        <a:bodyPr/>
        <a:lstStyle/>
        <a:p>
          <a:endParaRPr lang="en-GB"/>
        </a:p>
      </dgm:t>
    </dgm:pt>
    <dgm:pt modelId="{A4EAB0CC-6490-44E0-8CF2-BD7CAD12D20E}" type="pres">
      <dgm:prSet presAssocID="{1FC3293B-62B5-4175-B028-C94AB64DBFCD}" presName="sp" presStyleCnt="0"/>
      <dgm:spPr/>
    </dgm:pt>
    <dgm:pt modelId="{5A26F4CD-D13A-4D0A-B507-05556D782FC9}" type="pres">
      <dgm:prSet presAssocID="{BE8AF275-EC09-45F7-A6EF-AB342F6A7772}" presName="linNode" presStyleCnt="0"/>
      <dgm:spPr/>
    </dgm:pt>
    <dgm:pt modelId="{7D0578CB-68A8-4D18-BF57-4644B44508C9}" type="pres">
      <dgm:prSet presAssocID="{BE8AF275-EC09-45F7-A6EF-AB342F6A7772}" presName="parentText" presStyleLbl="node1" presStyleIdx="2" presStyleCnt="5">
        <dgm:presLayoutVars>
          <dgm:chMax val="1"/>
          <dgm:bulletEnabled val="1"/>
        </dgm:presLayoutVars>
      </dgm:prSet>
      <dgm:spPr/>
      <dgm:t>
        <a:bodyPr/>
        <a:lstStyle/>
        <a:p>
          <a:endParaRPr lang="en-AU"/>
        </a:p>
      </dgm:t>
    </dgm:pt>
    <dgm:pt modelId="{CB80C87B-2C71-41D5-B478-E5EA745B2A57}" type="pres">
      <dgm:prSet presAssocID="{BE8AF275-EC09-45F7-A6EF-AB342F6A7772}" presName="descendantText" presStyleLbl="alignAccFollowNode1" presStyleIdx="2" presStyleCnt="5" custScaleY="131715">
        <dgm:presLayoutVars>
          <dgm:bulletEnabled val="1"/>
        </dgm:presLayoutVars>
      </dgm:prSet>
      <dgm:spPr/>
      <dgm:t>
        <a:bodyPr/>
        <a:lstStyle/>
        <a:p>
          <a:endParaRPr lang="en-GB"/>
        </a:p>
      </dgm:t>
    </dgm:pt>
    <dgm:pt modelId="{CF964B4D-5D64-486C-8A96-8A5D4CE5EB7E}" type="pres">
      <dgm:prSet presAssocID="{ADD7F9A2-588A-4881-BE7B-4B61C5040AA4}" presName="sp" presStyleCnt="0"/>
      <dgm:spPr/>
    </dgm:pt>
    <dgm:pt modelId="{C5539488-9824-4A18-A1D8-BE6E2BFEA0A9}" type="pres">
      <dgm:prSet presAssocID="{8273C856-8517-40CC-8FCF-63830EF30D8B}" presName="linNode" presStyleCnt="0"/>
      <dgm:spPr/>
    </dgm:pt>
    <dgm:pt modelId="{FDF30774-39BB-4D97-81FF-4853D88077BE}" type="pres">
      <dgm:prSet presAssocID="{8273C856-8517-40CC-8FCF-63830EF30D8B}" presName="parentText" presStyleLbl="node1" presStyleIdx="3" presStyleCnt="5">
        <dgm:presLayoutVars>
          <dgm:chMax val="1"/>
          <dgm:bulletEnabled val="1"/>
        </dgm:presLayoutVars>
      </dgm:prSet>
      <dgm:spPr/>
      <dgm:t>
        <a:bodyPr/>
        <a:lstStyle/>
        <a:p>
          <a:endParaRPr lang="en-AU"/>
        </a:p>
      </dgm:t>
    </dgm:pt>
    <dgm:pt modelId="{7025BE43-947D-4D43-9086-A5878E7E86CE}" type="pres">
      <dgm:prSet presAssocID="{8273C856-8517-40CC-8FCF-63830EF30D8B}" presName="descendantText" presStyleLbl="alignAccFollowNode1" presStyleIdx="3" presStyleCnt="5">
        <dgm:presLayoutVars>
          <dgm:bulletEnabled val="1"/>
        </dgm:presLayoutVars>
      </dgm:prSet>
      <dgm:spPr/>
      <dgm:t>
        <a:bodyPr/>
        <a:lstStyle/>
        <a:p>
          <a:endParaRPr lang="en-GB"/>
        </a:p>
      </dgm:t>
    </dgm:pt>
    <dgm:pt modelId="{22495C3C-6DDC-4A4F-8CAF-D7BD04159C09}" type="pres">
      <dgm:prSet presAssocID="{6757AC13-5E39-4704-9408-E1FF69C3861C}" presName="sp" presStyleCnt="0"/>
      <dgm:spPr/>
    </dgm:pt>
    <dgm:pt modelId="{81A16A2A-6F37-43A2-9FB1-0D85847ECB86}" type="pres">
      <dgm:prSet presAssocID="{491D014D-1E35-4463-A3BC-819AA7780420}" presName="linNode" presStyleCnt="0"/>
      <dgm:spPr/>
    </dgm:pt>
    <dgm:pt modelId="{4D77448F-9720-4CDC-A049-E1F7269AE785}" type="pres">
      <dgm:prSet presAssocID="{491D014D-1E35-4463-A3BC-819AA7780420}" presName="parentText" presStyleLbl="node1" presStyleIdx="4" presStyleCnt="5" custScaleY="102180">
        <dgm:presLayoutVars>
          <dgm:chMax val="1"/>
          <dgm:bulletEnabled val="1"/>
        </dgm:presLayoutVars>
      </dgm:prSet>
      <dgm:spPr/>
      <dgm:t>
        <a:bodyPr/>
        <a:lstStyle/>
        <a:p>
          <a:endParaRPr lang="en-GB"/>
        </a:p>
      </dgm:t>
    </dgm:pt>
    <dgm:pt modelId="{EF37C027-8B04-4AB8-BF62-4A89B94B58F5}" type="pres">
      <dgm:prSet presAssocID="{491D014D-1E35-4463-A3BC-819AA7780420}" presName="descendantText" presStyleLbl="alignAccFollowNode1" presStyleIdx="4" presStyleCnt="5" custScaleY="122251">
        <dgm:presLayoutVars>
          <dgm:bulletEnabled val="1"/>
        </dgm:presLayoutVars>
      </dgm:prSet>
      <dgm:spPr/>
      <dgm:t>
        <a:bodyPr/>
        <a:lstStyle/>
        <a:p>
          <a:endParaRPr lang="en-GB"/>
        </a:p>
      </dgm:t>
    </dgm:pt>
  </dgm:ptLst>
  <dgm:cxnLst>
    <dgm:cxn modelId="{AB23F568-434E-455F-B7C6-389DC6BFDFEF}" type="presOf" srcId="{331344A3-C909-446E-909D-C7BD088ACF5E}" destId="{EF37C027-8B04-4AB8-BF62-4A89B94B58F5}" srcOrd="0" destOrd="4" presId="urn:microsoft.com/office/officeart/2005/8/layout/vList5"/>
    <dgm:cxn modelId="{8BA3090A-B451-4D6F-9092-8B5DBC9036B1}" srcId="{491D014D-1E35-4463-A3BC-819AA7780420}" destId="{6E1D0483-04C8-4AE8-A658-A6F40D020D53}" srcOrd="2" destOrd="0" parTransId="{C302CBE0-C88A-4B75-AC82-9E83BDDF8CEF}" sibTransId="{B40B3BF3-EB0B-4863-9820-3F7EB58B9C10}"/>
    <dgm:cxn modelId="{C9A7D57F-952A-4537-849C-99C2EBF1A9B0}" srcId="{8273C856-8517-40CC-8FCF-63830EF30D8B}" destId="{61ABB690-C4E3-455E-A329-9DCAEC2EDB1C}" srcOrd="2" destOrd="0" parTransId="{EBF70E60-055D-4EFA-A93A-0285D6A3E1EA}" sibTransId="{35914410-840A-4E96-9142-72D9A5FDE027}"/>
    <dgm:cxn modelId="{AF952D28-C22D-4EF0-A388-7D0964B42ED1}" type="presOf" srcId="{61ABB690-C4E3-455E-A329-9DCAEC2EDB1C}" destId="{7025BE43-947D-4D43-9086-A5878E7E86CE}" srcOrd="0" destOrd="2" presId="urn:microsoft.com/office/officeart/2005/8/layout/vList5"/>
    <dgm:cxn modelId="{60A75509-7242-4C2F-AE82-DFC3DCD6D8E8}" type="presOf" srcId="{DCAB0A43-3840-4802-BE30-7CA5B378997E}" destId="{B7E0F8B6-6669-4DD4-82D5-CEDAA32D6BDE}" srcOrd="0" destOrd="0" presId="urn:microsoft.com/office/officeart/2005/8/layout/vList5"/>
    <dgm:cxn modelId="{8A7CBFAE-03E6-440B-AC69-660E496E6B66}" type="presOf" srcId="{D7E99340-7F72-4CB2-9E99-AD811D8B151F}" destId="{02CDEF20-9109-42C5-BA53-52EBED5914BF}" srcOrd="0" destOrd="2" presId="urn:microsoft.com/office/officeart/2005/8/layout/vList5"/>
    <dgm:cxn modelId="{52E314AB-01AE-4EDD-A293-4687FB64EAD4}" type="presOf" srcId="{92EEC30C-394F-4E30-BD29-5BF496C71B9D}" destId="{7025BE43-947D-4D43-9086-A5878E7E86CE}" srcOrd="0" destOrd="1" presId="urn:microsoft.com/office/officeart/2005/8/layout/vList5"/>
    <dgm:cxn modelId="{6F5E9AE3-C732-4519-BC4E-886137D5A953}" srcId="{BD9741FB-E2A1-4DE6-8017-03F91E51FEB4}" destId="{491D014D-1E35-4463-A3BC-819AA7780420}" srcOrd="4" destOrd="0" parTransId="{D51B0555-7B0B-4784-A56D-6D340E68BF28}" sibTransId="{56FB2C50-1202-495E-B570-CB97F163EC2A}"/>
    <dgm:cxn modelId="{5A100B13-64EC-4121-AF1E-31EB80F29095}" type="presOf" srcId="{5DC34E68-75FB-4E41-A758-6B5BBF430CEA}" destId="{CB80C87B-2C71-41D5-B478-E5EA745B2A57}" srcOrd="0" destOrd="2" presId="urn:microsoft.com/office/officeart/2005/8/layout/vList5"/>
    <dgm:cxn modelId="{39C1C3ED-6212-4D89-8AEF-423964813F97}" srcId="{8273C856-8517-40CC-8FCF-63830EF30D8B}" destId="{53889494-3E53-4F8A-BA26-1EAF0D000B86}" srcOrd="4" destOrd="0" parTransId="{9F34E1BB-A422-4184-8D04-AF272F2A3E3F}" sibTransId="{E0574B29-4E14-456C-BB6D-BF0E80F8613F}"/>
    <dgm:cxn modelId="{85CC9693-EBE5-49B5-975E-BE914B543B98}" type="presOf" srcId="{7B0A857B-7C67-443C-9E79-9B774B26573C}" destId="{7025BE43-947D-4D43-9086-A5878E7E86CE}" srcOrd="0" destOrd="0" presId="urn:microsoft.com/office/officeart/2005/8/layout/vList5"/>
    <dgm:cxn modelId="{1FD902B1-4746-436B-889A-D612D1769828}" srcId="{491D014D-1E35-4463-A3BC-819AA7780420}" destId="{769DE744-B1AE-4762-BFDE-5710FFA8F239}" srcOrd="1" destOrd="0" parTransId="{1EA6EFB9-FA5B-4866-A749-C8B5554713CF}" sibTransId="{D70ABBA9-FB6E-4083-826B-B2D9A12221FB}"/>
    <dgm:cxn modelId="{26609777-21E5-4487-85C2-C5637506EC2C}" srcId="{CDD2307A-AE17-4441-B910-B24BD8739EDB}" destId="{DCAB0A43-3840-4802-BE30-7CA5B378997E}" srcOrd="0" destOrd="0" parTransId="{18888555-441E-4ABD-BB8B-02E1870E230F}" sibTransId="{943D5222-8778-4AFE-A243-F08E2F27741A}"/>
    <dgm:cxn modelId="{3CD19D19-A147-4F1B-89C2-CE92BF99D360}" type="presOf" srcId="{F32AAD28-704B-440A-9CF9-321080B07EFA}" destId="{CB80C87B-2C71-41D5-B478-E5EA745B2A57}" srcOrd="0" destOrd="0" presId="urn:microsoft.com/office/officeart/2005/8/layout/vList5"/>
    <dgm:cxn modelId="{0186C715-1EA7-4696-908D-81F43BB0BA82}" type="presOf" srcId="{BE8AF275-EC09-45F7-A6EF-AB342F6A7772}" destId="{7D0578CB-68A8-4D18-BF57-4644B44508C9}" srcOrd="0" destOrd="0" presId="urn:microsoft.com/office/officeart/2005/8/layout/vList5"/>
    <dgm:cxn modelId="{29F08434-5CBE-4E87-8E08-05F1EE9568E3}" type="presOf" srcId="{87C15908-E5AC-40F3-AB8E-E760B4368950}" destId="{B7E0F8B6-6669-4DD4-82D5-CEDAA32D6BDE}" srcOrd="0" destOrd="2" presId="urn:microsoft.com/office/officeart/2005/8/layout/vList5"/>
    <dgm:cxn modelId="{1322E152-B39C-45D8-8225-BCB8CCA1B548}" srcId="{491D014D-1E35-4463-A3BC-819AA7780420}" destId="{B8D8C345-402E-4C1F-B04F-0BFE578C726E}" srcOrd="0" destOrd="0" parTransId="{27FA4D50-F38D-4385-8519-D9D8F8E08649}" sibTransId="{89A5D7F0-DD34-4926-B2E8-CC279FF1C429}"/>
    <dgm:cxn modelId="{2D9BA16F-F9BD-4D73-BAF3-05C7D686B6D1}" srcId="{491D014D-1E35-4463-A3BC-819AA7780420}" destId="{90A800D2-446F-49E3-A156-1DAFEBE54ECC}" srcOrd="3" destOrd="0" parTransId="{37BED49B-EADE-44BC-B694-AD297B7428E4}" sibTransId="{C52FB80B-6EED-4A15-8265-1BE8F48FDD51}"/>
    <dgm:cxn modelId="{87053F35-BC47-422C-BB6F-819B4DA9009D}" type="presOf" srcId="{77DE3777-8DA1-4050-BD65-E6DE239239E5}" destId="{02CDEF20-9109-42C5-BA53-52EBED5914BF}" srcOrd="0" destOrd="0" presId="urn:microsoft.com/office/officeart/2005/8/layout/vList5"/>
    <dgm:cxn modelId="{814EB979-4992-43C9-9A66-28E4230F491D}" type="presOf" srcId="{3BF4FAFC-B78C-42DA-927F-BB69107135A2}" destId="{02CDEF20-9109-42C5-BA53-52EBED5914BF}" srcOrd="0" destOrd="1" presId="urn:microsoft.com/office/officeart/2005/8/layout/vList5"/>
    <dgm:cxn modelId="{1298E602-1BF2-48EC-97F4-B4998D1BB8F2}" type="presOf" srcId="{19DB61A2-1614-41F9-8E59-79E0A02504D5}" destId="{B7E0F8B6-6669-4DD4-82D5-CEDAA32D6BDE}" srcOrd="0" destOrd="1" presId="urn:microsoft.com/office/officeart/2005/8/layout/vList5"/>
    <dgm:cxn modelId="{AE2574F9-9F30-4E1C-A56E-935B2248F539}" type="presOf" srcId="{705320B0-B8A1-4D4A-AB7D-1802916248EB}" destId="{CB80C87B-2C71-41D5-B478-E5EA745B2A57}" srcOrd="0" destOrd="1" presId="urn:microsoft.com/office/officeart/2005/8/layout/vList5"/>
    <dgm:cxn modelId="{FA337CD7-E94C-414F-BC1F-0D083164EDBE}" srcId="{8273C856-8517-40CC-8FCF-63830EF30D8B}" destId="{92EEC30C-394F-4E30-BD29-5BF496C71B9D}" srcOrd="1" destOrd="0" parTransId="{32FCE019-41B0-45C5-B12E-3C27C874C296}" sibTransId="{9B8A0174-E72E-403E-9003-88528FDA962C}"/>
    <dgm:cxn modelId="{299BF6F8-E1B2-4658-857F-F09435E0D752}" srcId="{BD9741FB-E2A1-4DE6-8017-03F91E51FEB4}" destId="{E38C98EE-656B-46E8-8071-48799858828F}" srcOrd="1" destOrd="0" parTransId="{432245A5-D291-4DDA-A137-D7CED9B1E0D2}" sibTransId="{1FC3293B-62B5-4175-B028-C94AB64DBFCD}"/>
    <dgm:cxn modelId="{EF7C587F-33B6-425F-AF4B-F5F6C1F0DFCD}" srcId="{491D014D-1E35-4463-A3BC-819AA7780420}" destId="{331344A3-C909-446E-909D-C7BD088ACF5E}" srcOrd="4" destOrd="0" parTransId="{7B56AB1B-3062-49C3-AD1B-EBE9DF7B53B2}" sibTransId="{AD7B3FE5-C161-45D7-8C73-D41E17BF9546}"/>
    <dgm:cxn modelId="{CB549048-54AA-48FC-843E-34DEFA6A2C84}" srcId="{E38C98EE-656B-46E8-8071-48799858828F}" destId="{3BF4FAFC-B78C-42DA-927F-BB69107135A2}" srcOrd="1" destOrd="0" parTransId="{C7FA2E72-B6E9-4D17-BEC9-1DD9352DB92C}" sibTransId="{19F1DE9F-EC47-4BE1-9BF4-0557293E07D1}"/>
    <dgm:cxn modelId="{631A932B-44D3-4CA8-9CC8-35FA27B71A85}" type="presOf" srcId="{491D014D-1E35-4463-A3BC-819AA7780420}" destId="{4D77448F-9720-4CDC-A049-E1F7269AE785}" srcOrd="0" destOrd="0" presId="urn:microsoft.com/office/officeart/2005/8/layout/vList5"/>
    <dgm:cxn modelId="{01EC6607-53DC-44A4-89F5-406BF449D172}" type="presOf" srcId="{F98278A6-7410-446C-9763-BC02AF27568B}" destId="{7025BE43-947D-4D43-9086-A5878E7E86CE}" srcOrd="0" destOrd="3" presId="urn:microsoft.com/office/officeart/2005/8/layout/vList5"/>
    <dgm:cxn modelId="{94553D59-5E2C-4E7E-9423-A320C60BF9C0}" srcId="{BD9741FB-E2A1-4DE6-8017-03F91E51FEB4}" destId="{BE8AF275-EC09-45F7-A6EF-AB342F6A7772}" srcOrd="2" destOrd="0" parTransId="{7E4E9BC1-6A9A-46EC-A328-09B24524AA20}" sibTransId="{ADD7F9A2-588A-4881-BE7B-4B61C5040AA4}"/>
    <dgm:cxn modelId="{0AD3099B-8842-4347-8AF8-1620B3827B7E}" srcId="{CDD2307A-AE17-4441-B910-B24BD8739EDB}" destId="{87C15908-E5AC-40F3-AB8E-E760B4368950}" srcOrd="2" destOrd="0" parTransId="{CF4FACB2-EE24-4C09-84D6-3EE19E4C38EC}" sibTransId="{F6A10BB4-DD10-482B-BF3E-3FF2BE3D7BBE}"/>
    <dgm:cxn modelId="{CD7910F6-20BD-4BAF-AD65-CDCF2CDBFF57}" srcId="{CDD2307A-AE17-4441-B910-B24BD8739EDB}" destId="{19DB61A2-1614-41F9-8E59-79E0A02504D5}" srcOrd="1" destOrd="0" parTransId="{4F4D1FDE-C3E1-4559-B370-3C81E08EF9DC}" sibTransId="{29749ADC-7F91-4557-82AC-BCB08FB8A1D9}"/>
    <dgm:cxn modelId="{81E37234-6B05-4558-A5B7-12009D481EA6}" srcId="{E38C98EE-656B-46E8-8071-48799858828F}" destId="{77DE3777-8DA1-4050-BD65-E6DE239239E5}" srcOrd="0" destOrd="0" parTransId="{2A21688C-78AE-4602-9722-10823BFD0FAB}" sibTransId="{F3D9CF7A-CC74-456D-9FED-AE70E3EBF5B4}"/>
    <dgm:cxn modelId="{86C18C60-8D74-4FB5-BE72-52D1FB78C8E6}" type="presOf" srcId="{B8D8C345-402E-4C1F-B04F-0BFE578C726E}" destId="{EF37C027-8B04-4AB8-BF62-4A89B94B58F5}" srcOrd="0" destOrd="0" presId="urn:microsoft.com/office/officeart/2005/8/layout/vList5"/>
    <dgm:cxn modelId="{4219069A-1A9B-43BE-993B-A0996653892D}" srcId="{BE8AF275-EC09-45F7-A6EF-AB342F6A7772}" destId="{F32AAD28-704B-440A-9CF9-321080B07EFA}" srcOrd="0" destOrd="0" parTransId="{8A3F51AF-31E1-4CFC-96A6-8C205593466D}" sibTransId="{D1C23326-AA38-47C0-910E-8DD9E782D7C6}"/>
    <dgm:cxn modelId="{D490A600-E7D7-4AD0-9320-785AF7555DFD}" srcId="{8273C856-8517-40CC-8FCF-63830EF30D8B}" destId="{F98278A6-7410-446C-9763-BC02AF27568B}" srcOrd="3" destOrd="0" parTransId="{6216F6DB-6853-481F-88C1-DB80AC16F825}" sibTransId="{5A03DE07-38D1-47D9-A94D-77A478F42132}"/>
    <dgm:cxn modelId="{6EAF1BE6-1940-4608-A3A7-FAEE20371984}" type="presOf" srcId="{90A800D2-446F-49E3-A156-1DAFEBE54ECC}" destId="{EF37C027-8B04-4AB8-BF62-4A89B94B58F5}" srcOrd="0" destOrd="3" presId="urn:microsoft.com/office/officeart/2005/8/layout/vList5"/>
    <dgm:cxn modelId="{8919D9AF-C011-4A98-97D8-A409B6574660}" type="presOf" srcId="{CDD2307A-AE17-4441-B910-B24BD8739EDB}" destId="{791E59D7-0878-41CF-A3F4-4EE813D7313C}" srcOrd="0" destOrd="0" presId="urn:microsoft.com/office/officeart/2005/8/layout/vList5"/>
    <dgm:cxn modelId="{97D3B4B8-2185-4AE8-A099-4D72664E48EC}" srcId="{BE8AF275-EC09-45F7-A6EF-AB342F6A7772}" destId="{5DC34E68-75FB-4E41-A758-6B5BBF430CEA}" srcOrd="2" destOrd="0" parTransId="{4406EE85-ACF4-4342-8717-CCF478DDAAE1}" sibTransId="{A1CADD4D-D8BB-4918-9809-0EC26342B340}"/>
    <dgm:cxn modelId="{A321697D-94EB-4548-9BE9-B43925374218}" type="presOf" srcId="{769DE744-B1AE-4762-BFDE-5710FFA8F239}" destId="{EF37C027-8B04-4AB8-BF62-4A89B94B58F5}" srcOrd="0" destOrd="1" presId="urn:microsoft.com/office/officeart/2005/8/layout/vList5"/>
    <dgm:cxn modelId="{A95808A3-723B-4029-B18A-857B1D46A217}" type="presOf" srcId="{6E1D0483-04C8-4AE8-A658-A6F40D020D53}" destId="{EF37C027-8B04-4AB8-BF62-4A89B94B58F5}" srcOrd="0" destOrd="2" presId="urn:microsoft.com/office/officeart/2005/8/layout/vList5"/>
    <dgm:cxn modelId="{2D9F6DAC-1329-40BA-9B74-627E0C2DEDD9}" type="presOf" srcId="{8273C856-8517-40CC-8FCF-63830EF30D8B}" destId="{FDF30774-39BB-4D97-81FF-4853D88077BE}" srcOrd="0" destOrd="0" presId="urn:microsoft.com/office/officeart/2005/8/layout/vList5"/>
    <dgm:cxn modelId="{AABA52FA-07DD-4BE5-9952-D84F6768A451}" type="presOf" srcId="{53889494-3E53-4F8A-BA26-1EAF0D000B86}" destId="{7025BE43-947D-4D43-9086-A5878E7E86CE}" srcOrd="0" destOrd="4" presId="urn:microsoft.com/office/officeart/2005/8/layout/vList5"/>
    <dgm:cxn modelId="{83369447-D13A-4229-B478-384CC2BCA1E1}" type="presOf" srcId="{BD9741FB-E2A1-4DE6-8017-03F91E51FEB4}" destId="{0798D119-EB10-4F0D-AC85-624C482E9B23}" srcOrd="0" destOrd="0" presId="urn:microsoft.com/office/officeart/2005/8/layout/vList5"/>
    <dgm:cxn modelId="{9334B856-2571-4213-B46D-DAFF4118C50D}" type="presOf" srcId="{E38C98EE-656B-46E8-8071-48799858828F}" destId="{7905C0E4-7E41-48C5-B7B4-3490A7F6528D}" srcOrd="0" destOrd="0" presId="urn:microsoft.com/office/officeart/2005/8/layout/vList5"/>
    <dgm:cxn modelId="{E0A2DDA0-4BB5-480E-AC0B-F453656A5295}" srcId="{BD9741FB-E2A1-4DE6-8017-03F91E51FEB4}" destId="{8273C856-8517-40CC-8FCF-63830EF30D8B}" srcOrd="3" destOrd="0" parTransId="{2DCB9DF9-656D-47DE-8A47-5A05AFEE1B3A}" sibTransId="{6757AC13-5E39-4704-9408-E1FF69C3861C}"/>
    <dgm:cxn modelId="{50896F28-2B58-4BD4-9A5D-6C3391574375}" srcId="{BE8AF275-EC09-45F7-A6EF-AB342F6A7772}" destId="{0EC828E3-24EE-45E7-9AEB-C3258F6E72F0}" srcOrd="3" destOrd="0" parTransId="{57DDE8D8-F551-4F2D-AEA0-0C2F7FFAD371}" sibTransId="{6D8561D4-C62B-48B6-992D-B9BD6511A720}"/>
    <dgm:cxn modelId="{46E2961A-DB16-4A59-8B0A-A269039C2FA9}" srcId="{E38C98EE-656B-46E8-8071-48799858828F}" destId="{D7E99340-7F72-4CB2-9E99-AD811D8B151F}" srcOrd="2" destOrd="0" parTransId="{6B8CFC8E-55BA-419A-A123-F3805D8C5715}" sibTransId="{2AA4F714-EC99-427D-BD98-8DC403769FDD}"/>
    <dgm:cxn modelId="{45C11418-A5BD-4FDF-B686-F8B09EA68976}" srcId="{BE8AF275-EC09-45F7-A6EF-AB342F6A7772}" destId="{705320B0-B8A1-4D4A-AB7D-1802916248EB}" srcOrd="1" destOrd="0" parTransId="{566F7453-D44C-4983-A6E6-9F9AF73699DD}" sibTransId="{031EADC5-637B-473D-A200-F6402008FFB3}"/>
    <dgm:cxn modelId="{96AC8266-94F6-46DC-AC42-6E74F45E668D}" type="presOf" srcId="{0EC828E3-24EE-45E7-9AEB-C3258F6E72F0}" destId="{CB80C87B-2C71-41D5-B478-E5EA745B2A57}" srcOrd="0" destOrd="3" presId="urn:microsoft.com/office/officeart/2005/8/layout/vList5"/>
    <dgm:cxn modelId="{260220F7-2CFD-494C-AD05-BFB79879E1A1}" srcId="{8273C856-8517-40CC-8FCF-63830EF30D8B}" destId="{7B0A857B-7C67-443C-9E79-9B774B26573C}" srcOrd="0" destOrd="0" parTransId="{186040FC-904A-4409-862B-A32F9F942B8D}" sibTransId="{2046A3B1-B67C-4393-B4A1-52AFF09897DF}"/>
    <dgm:cxn modelId="{512B218F-3350-4554-BD6C-0B12A3C8BF0D}" srcId="{BD9741FB-E2A1-4DE6-8017-03F91E51FEB4}" destId="{CDD2307A-AE17-4441-B910-B24BD8739EDB}" srcOrd="0" destOrd="0" parTransId="{BADE7415-8921-4914-9803-475B9039D035}" sibTransId="{B01CB642-2F38-4C44-BC3D-9A3A547B7208}"/>
    <dgm:cxn modelId="{B09567AC-8D62-4D82-9104-5C2D461D3221}" type="presParOf" srcId="{0798D119-EB10-4F0D-AC85-624C482E9B23}" destId="{D627C97D-2C9D-4176-A94D-A5B00DB6EE3A}" srcOrd="0" destOrd="0" presId="urn:microsoft.com/office/officeart/2005/8/layout/vList5"/>
    <dgm:cxn modelId="{7ECBD334-A7A7-4FCC-B881-A0BFAAA58B72}" type="presParOf" srcId="{D627C97D-2C9D-4176-A94D-A5B00DB6EE3A}" destId="{791E59D7-0878-41CF-A3F4-4EE813D7313C}" srcOrd="0" destOrd="0" presId="urn:microsoft.com/office/officeart/2005/8/layout/vList5"/>
    <dgm:cxn modelId="{A52823FB-455D-4B5C-9D84-5C100FD11EDA}" type="presParOf" srcId="{D627C97D-2C9D-4176-A94D-A5B00DB6EE3A}" destId="{B7E0F8B6-6669-4DD4-82D5-CEDAA32D6BDE}" srcOrd="1" destOrd="0" presId="urn:microsoft.com/office/officeart/2005/8/layout/vList5"/>
    <dgm:cxn modelId="{D676A3A8-3375-442B-B813-364FA0A64B21}" type="presParOf" srcId="{0798D119-EB10-4F0D-AC85-624C482E9B23}" destId="{1843C51B-3DCC-4FA4-99DD-7015388DAC05}" srcOrd="1" destOrd="0" presId="urn:microsoft.com/office/officeart/2005/8/layout/vList5"/>
    <dgm:cxn modelId="{FAEF18FA-AFF4-491B-9843-B22CEE67344A}" type="presParOf" srcId="{0798D119-EB10-4F0D-AC85-624C482E9B23}" destId="{5CEA1827-F8C9-42DD-83E2-10F4CD40D4DB}" srcOrd="2" destOrd="0" presId="urn:microsoft.com/office/officeart/2005/8/layout/vList5"/>
    <dgm:cxn modelId="{E5EC476A-C619-49A0-BBC9-14624275F49F}" type="presParOf" srcId="{5CEA1827-F8C9-42DD-83E2-10F4CD40D4DB}" destId="{7905C0E4-7E41-48C5-B7B4-3490A7F6528D}" srcOrd="0" destOrd="0" presId="urn:microsoft.com/office/officeart/2005/8/layout/vList5"/>
    <dgm:cxn modelId="{990C455B-57C4-4ECE-AEC0-E30ADE3A47ED}" type="presParOf" srcId="{5CEA1827-F8C9-42DD-83E2-10F4CD40D4DB}" destId="{02CDEF20-9109-42C5-BA53-52EBED5914BF}" srcOrd="1" destOrd="0" presId="urn:microsoft.com/office/officeart/2005/8/layout/vList5"/>
    <dgm:cxn modelId="{14FC3536-9904-423C-8573-CC2919F36A41}" type="presParOf" srcId="{0798D119-EB10-4F0D-AC85-624C482E9B23}" destId="{A4EAB0CC-6490-44E0-8CF2-BD7CAD12D20E}" srcOrd="3" destOrd="0" presId="urn:microsoft.com/office/officeart/2005/8/layout/vList5"/>
    <dgm:cxn modelId="{8F1C98D4-1436-428B-889C-66926B3D7176}" type="presParOf" srcId="{0798D119-EB10-4F0D-AC85-624C482E9B23}" destId="{5A26F4CD-D13A-4D0A-B507-05556D782FC9}" srcOrd="4" destOrd="0" presId="urn:microsoft.com/office/officeart/2005/8/layout/vList5"/>
    <dgm:cxn modelId="{78D6E31F-38C0-414C-B608-B018DDCA7409}" type="presParOf" srcId="{5A26F4CD-D13A-4D0A-B507-05556D782FC9}" destId="{7D0578CB-68A8-4D18-BF57-4644B44508C9}" srcOrd="0" destOrd="0" presId="urn:microsoft.com/office/officeart/2005/8/layout/vList5"/>
    <dgm:cxn modelId="{D05C3325-C40C-421C-8ADA-0906256364AB}" type="presParOf" srcId="{5A26F4CD-D13A-4D0A-B507-05556D782FC9}" destId="{CB80C87B-2C71-41D5-B478-E5EA745B2A57}" srcOrd="1" destOrd="0" presId="urn:microsoft.com/office/officeart/2005/8/layout/vList5"/>
    <dgm:cxn modelId="{59956C41-096F-4CC6-A650-8C5A4E01CBA4}" type="presParOf" srcId="{0798D119-EB10-4F0D-AC85-624C482E9B23}" destId="{CF964B4D-5D64-486C-8A96-8A5D4CE5EB7E}" srcOrd="5" destOrd="0" presId="urn:microsoft.com/office/officeart/2005/8/layout/vList5"/>
    <dgm:cxn modelId="{F8B095C2-DB4D-4948-8391-092990FDE3BE}" type="presParOf" srcId="{0798D119-EB10-4F0D-AC85-624C482E9B23}" destId="{C5539488-9824-4A18-A1D8-BE6E2BFEA0A9}" srcOrd="6" destOrd="0" presId="urn:microsoft.com/office/officeart/2005/8/layout/vList5"/>
    <dgm:cxn modelId="{55D0B037-0AB8-4DF1-9220-AB357FF9AB62}" type="presParOf" srcId="{C5539488-9824-4A18-A1D8-BE6E2BFEA0A9}" destId="{FDF30774-39BB-4D97-81FF-4853D88077BE}" srcOrd="0" destOrd="0" presId="urn:microsoft.com/office/officeart/2005/8/layout/vList5"/>
    <dgm:cxn modelId="{4004DD79-14F7-486E-8656-EA27BC9D8823}" type="presParOf" srcId="{C5539488-9824-4A18-A1D8-BE6E2BFEA0A9}" destId="{7025BE43-947D-4D43-9086-A5878E7E86CE}" srcOrd="1" destOrd="0" presId="urn:microsoft.com/office/officeart/2005/8/layout/vList5"/>
    <dgm:cxn modelId="{48B1E08A-785D-4840-AFBF-3F6B0C8A70D5}" type="presParOf" srcId="{0798D119-EB10-4F0D-AC85-624C482E9B23}" destId="{22495C3C-6DDC-4A4F-8CAF-D7BD04159C09}" srcOrd="7" destOrd="0" presId="urn:microsoft.com/office/officeart/2005/8/layout/vList5"/>
    <dgm:cxn modelId="{4C232061-7F7B-4D53-9828-C887183E05C7}" type="presParOf" srcId="{0798D119-EB10-4F0D-AC85-624C482E9B23}" destId="{81A16A2A-6F37-43A2-9FB1-0D85847ECB86}" srcOrd="8" destOrd="0" presId="urn:microsoft.com/office/officeart/2005/8/layout/vList5"/>
    <dgm:cxn modelId="{C7DE2050-EBED-40AC-B9F4-B1C750FF1F86}" type="presParOf" srcId="{81A16A2A-6F37-43A2-9FB1-0D85847ECB86}" destId="{4D77448F-9720-4CDC-A049-E1F7269AE785}" srcOrd="0" destOrd="0" presId="urn:microsoft.com/office/officeart/2005/8/layout/vList5"/>
    <dgm:cxn modelId="{F8C556BC-379D-4751-8BB7-78CE9886BAFF}" type="presParOf" srcId="{81A16A2A-6F37-43A2-9FB1-0D85847ECB86}" destId="{EF37C027-8B04-4AB8-BF62-4A89B94B58F5}" srcOrd="1" destOrd="0" presId="urn:microsoft.com/office/officeart/2005/8/layout/vList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0881DD-B22B-0046-81FF-3EEC56CCF640}">
      <dsp:nvSpPr>
        <dsp:cNvPr id="0" name=""/>
        <dsp:cNvSpPr/>
      </dsp:nvSpPr>
      <dsp:spPr>
        <a:xfrm>
          <a:off x="1690" y="28774"/>
          <a:ext cx="1074339" cy="1037825"/>
        </a:xfrm>
        <a:prstGeom prst="ellipse">
          <a:avLst/>
        </a:prstGeom>
        <a:solidFill>
          <a:srgbClr val="139CE8"/>
        </a:solidFill>
        <a:ln>
          <a:noFill/>
        </a:ln>
        <a:effectLst>
          <a:outerShdw blurRad="50800" dist="38100" dir="10800000" algn="r"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Aboriginal and Torres Strait Islander</a:t>
          </a:r>
        </a:p>
        <a:p>
          <a:pPr lvl="0" algn="ctr" defTabSz="400050">
            <a:lnSpc>
              <a:spcPct val="90000"/>
            </a:lnSpc>
            <a:spcBef>
              <a:spcPct val="0"/>
            </a:spcBef>
            <a:spcAft>
              <a:spcPct val="35000"/>
            </a:spcAft>
          </a:pPr>
          <a:r>
            <a:rPr lang="en-US" sz="900" kern="1200"/>
            <a:t>2.1%</a:t>
          </a:r>
        </a:p>
      </dsp:txBody>
      <dsp:txXfrm>
        <a:off x="159023" y="180760"/>
        <a:ext cx="759673" cy="733853"/>
      </dsp:txXfrm>
    </dsp:sp>
    <dsp:sp modelId="{DD0867D4-BF44-D647-BB42-ED157A607317}">
      <dsp:nvSpPr>
        <dsp:cNvPr id="0" name=""/>
        <dsp:cNvSpPr/>
      </dsp:nvSpPr>
      <dsp:spPr>
        <a:xfrm>
          <a:off x="1249000" y="28774"/>
          <a:ext cx="1074339" cy="1037825"/>
        </a:xfrm>
        <a:prstGeom prst="ellipse">
          <a:avLst/>
        </a:prstGeom>
        <a:solidFill>
          <a:srgbClr val="E81A33"/>
        </a:solidFill>
        <a:ln>
          <a:noFill/>
        </a:ln>
        <a:effectLst>
          <a:outerShdw blurRad="50800" dist="38100" dir="10800000" algn="r"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Culturally and Linguistically Diverse</a:t>
          </a:r>
        </a:p>
        <a:p>
          <a:pPr lvl="0" algn="ctr" defTabSz="400050">
            <a:lnSpc>
              <a:spcPct val="90000"/>
            </a:lnSpc>
            <a:spcBef>
              <a:spcPct val="0"/>
            </a:spcBef>
            <a:spcAft>
              <a:spcPct val="35000"/>
            </a:spcAft>
          </a:pPr>
          <a:r>
            <a:rPr lang="en-US" sz="900" kern="1200"/>
            <a:t>5.0%</a:t>
          </a:r>
        </a:p>
      </dsp:txBody>
      <dsp:txXfrm>
        <a:off x="1406333" y="180760"/>
        <a:ext cx="759673" cy="733853"/>
      </dsp:txXfrm>
    </dsp:sp>
    <dsp:sp modelId="{1087ECBB-B8C0-3045-ACBA-5B32DC1D109D}">
      <dsp:nvSpPr>
        <dsp:cNvPr id="0" name=""/>
        <dsp:cNvSpPr/>
      </dsp:nvSpPr>
      <dsp:spPr>
        <a:xfrm>
          <a:off x="2496310" y="28774"/>
          <a:ext cx="1074339" cy="1037825"/>
        </a:xfrm>
        <a:prstGeom prst="ellipse">
          <a:avLst/>
        </a:prstGeom>
        <a:solidFill>
          <a:srgbClr val="9A2B87"/>
        </a:solidFill>
        <a:ln>
          <a:noFill/>
        </a:ln>
        <a:effectLst>
          <a:outerShdw blurRad="50800" dist="38100" dir="10800000" algn="r"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People with Disability</a:t>
          </a:r>
        </a:p>
        <a:p>
          <a:pPr lvl="0" algn="ctr" defTabSz="400050">
            <a:lnSpc>
              <a:spcPct val="90000"/>
            </a:lnSpc>
            <a:spcBef>
              <a:spcPct val="0"/>
            </a:spcBef>
            <a:spcAft>
              <a:spcPct val="35000"/>
            </a:spcAft>
          </a:pPr>
          <a:r>
            <a:rPr lang="en-US" sz="900" kern="1200"/>
            <a:t>6.2%</a:t>
          </a:r>
        </a:p>
      </dsp:txBody>
      <dsp:txXfrm>
        <a:off x="2653643" y="180760"/>
        <a:ext cx="759673" cy="733853"/>
      </dsp:txXfrm>
    </dsp:sp>
    <dsp:sp modelId="{CE073318-95D5-6D48-A87C-A456082ABF2E}">
      <dsp:nvSpPr>
        <dsp:cNvPr id="0" name=""/>
        <dsp:cNvSpPr/>
      </dsp:nvSpPr>
      <dsp:spPr>
        <a:xfrm>
          <a:off x="3743620" y="28774"/>
          <a:ext cx="1074339" cy="1037825"/>
        </a:xfrm>
        <a:prstGeom prst="ellipse">
          <a:avLst/>
        </a:prstGeom>
        <a:solidFill>
          <a:srgbClr val="371B7B"/>
        </a:solidFill>
        <a:ln>
          <a:noFill/>
        </a:ln>
        <a:effectLst>
          <a:outerShdw blurRad="50800" dist="38100" dir="10800000" algn="r"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Female</a:t>
          </a:r>
        </a:p>
        <a:p>
          <a:pPr lvl="0" algn="ctr" defTabSz="444500">
            <a:lnSpc>
              <a:spcPct val="90000"/>
            </a:lnSpc>
            <a:spcBef>
              <a:spcPct val="0"/>
            </a:spcBef>
            <a:spcAft>
              <a:spcPct val="35000"/>
            </a:spcAft>
          </a:pPr>
          <a:r>
            <a:rPr lang="en-US" sz="1000" kern="1200"/>
            <a:t>46.1%</a:t>
          </a:r>
        </a:p>
      </dsp:txBody>
      <dsp:txXfrm>
        <a:off x="3900953" y="180760"/>
        <a:ext cx="759673" cy="7338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E0F8B6-6669-4DD4-82D5-CEDAA32D6BDE}">
      <dsp:nvSpPr>
        <dsp:cNvPr id="0" name=""/>
        <dsp:cNvSpPr/>
      </dsp:nvSpPr>
      <dsp:spPr>
        <a:xfrm rot="5400000">
          <a:off x="3397690" y="-1432897"/>
          <a:ext cx="617712" cy="3483506"/>
        </a:xfrm>
        <a:prstGeom prst="round2Same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n-AU" sz="1050" kern="1200"/>
            <a:t>Motivates and develops people </a:t>
          </a:r>
          <a:endParaRPr lang="en-GB" sz="1050" kern="1200"/>
        </a:p>
        <a:p>
          <a:pPr marL="57150" lvl="1" indent="-57150" algn="l" defTabSz="466725">
            <a:lnSpc>
              <a:spcPct val="90000"/>
            </a:lnSpc>
            <a:spcBef>
              <a:spcPct val="0"/>
            </a:spcBef>
            <a:spcAft>
              <a:spcPct val="15000"/>
            </a:spcAft>
            <a:buChar char="••"/>
          </a:pPr>
          <a:r>
            <a:rPr lang="en-AU" sz="1050" kern="1200"/>
            <a:t>Values diversity and respects individuals </a:t>
          </a:r>
          <a:endParaRPr lang="en-GB" sz="1050" kern="1200"/>
        </a:p>
        <a:p>
          <a:pPr marL="57150" lvl="1" indent="-57150" algn="l" defTabSz="466725">
            <a:lnSpc>
              <a:spcPct val="90000"/>
            </a:lnSpc>
            <a:spcBef>
              <a:spcPct val="0"/>
            </a:spcBef>
            <a:spcAft>
              <a:spcPct val="15000"/>
            </a:spcAft>
            <a:buChar char="••"/>
          </a:pPr>
          <a:r>
            <a:rPr lang="en-AU" sz="1050" kern="1200"/>
            <a:t>Builds a culture of improving practice</a:t>
          </a:r>
          <a:endParaRPr lang="en-GB" sz="1050" kern="1200"/>
        </a:p>
      </dsp:txBody>
      <dsp:txXfrm rot="-5400000">
        <a:off x="1964793" y="30154"/>
        <a:ext cx="3453352" cy="557404"/>
      </dsp:txXfrm>
    </dsp:sp>
    <dsp:sp modelId="{791E59D7-0878-41CF-A3F4-4EE813D7313C}">
      <dsp:nvSpPr>
        <dsp:cNvPr id="0" name=""/>
        <dsp:cNvSpPr/>
      </dsp:nvSpPr>
      <dsp:spPr>
        <a:xfrm>
          <a:off x="0" y="5009"/>
          <a:ext cx="1959472" cy="608362"/>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GB" sz="1500" kern="1200"/>
            <a:t>Leads and values people</a:t>
          </a:r>
        </a:p>
      </dsp:txBody>
      <dsp:txXfrm>
        <a:off x="29698" y="34707"/>
        <a:ext cx="1900076" cy="548966"/>
      </dsp:txXfrm>
    </dsp:sp>
    <dsp:sp modelId="{02CDEF20-9109-42C5-BA53-52EBED5914BF}">
      <dsp:nvSpPr>
        <dsp:cNvPr id="0" name=""/>
        <dsp:cNvSpPr/>
      </dsp:nvSpPr>
      <dsp:spPr>
        <a:xfrm rot="5400000">
          <a:off x="3461498" y="-790809"/>
          <a:ext cx="486690" cy="3486912"/>
        </a:xfrm>
        <a:prstGeom prst="round2SameRect">
          <a:avLst/>
        </a:prstGeom>
        <a:solidFill>
          <a:schemeClr val="accent4">
            <a:tint val="40000"/>
            <a:alpha val="90000"/>
            <a:hueOff val="-986427"/>
            <a:satOff val="5539"/>
            <a:lumOff val="352"/>
            <a:alphaOff val="0"/>
          </a:schemeClr>
        </a:solidFill>
        <a:ln w="25400" cap="flat" cmpd="sng" algn="ctr">
          <a:solidFill>
            <a:schemeClr val="accent4">
              <a:tint val="40000"/>
              <a:alpha val="90000"/>
              <a:hueOff val="-986427"/>
              <a:satOff val="5539"/>
              <a:lumOff val="35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n-GB" sz="1050" kern="1200"/>
            <a:t>Inspires a sense of purpose and direction </a:t>
          </a:r>
        </a:p>
        <a:p>
          <a:pPr marL="57150" lvl="1" indent="-57150" algn="l" defTabSz="466725">
            <a:lnSpc>
              <a:spcPct val="90000"/>
            </a:lnSpc>
            <a:spcBef>
              <a:spcPct val="0"/>
            </a:spcBef>
            <a:spcAft>
              <a:spcPct val="15000"/>
            </a:spcAft>
            <a:buChar char="••"/>
          </a:pPr>
          <a:r>
            <a:rPr lang="en-GB" sz="1050" kern="1200"/>
            <a:t>Encourages innovation and engages with risk </a:t>
          </a:r>
        </a:p>
        <a:p>
          <a:pPr marL="57150" lvl="1" indent="-57150" algn="l" defTabSz="466725">
            <a:lnSpc>
              <a:spcPct val="90000"/>
            </a:lnSpc>
            <a:spcBef>
              <a:spcPct val="0"/>
            </a:spcBef>
            <a:spcAft>
              <a:spcPct val="15000"/>
            </a:spcAft>
            <a:buChar char="••"/>
          </a:pPr>
          <a:r>
            <a:rPr lang="en-GB" sz="1050" kern="1200"/>
            <a:t>Thinks broadly and develops solutions</a:t>
          </a:r>
        </a:p>
      </dsp:txBody>
      <dsp:txXfrm rot="-5400000">
        <a:off x="1961387" y="733060"/>
        <a:ext cx="3463154" cy="439174"/>
      </dsp:txXfrm>
    </dsp:sp>
    <dsp:sp modelId="{7905C0E4-7E41-48C5-B7B4-3490A7F6528D}">
      <dsp:nvSpPr>
        <dsp:cNvPr id="0" name=""/>
        <dsp:cNvSpPr/>
      </dsp:nvSpPr>
      <dsp:spPr>
        <a:xfrm>
          <a:off x="0" y="648465"/>
          <a:ext cx="1961388" cy="608362"/>
        </a:xfrm>
        <a:prstGeom prst="roundRect">
          <a:avLst/>
        </a:prstGeom>
        <a:solidFill>
          <a:schemeClr val="accent4">
            <a:hueOff val="-1116192"/>
            <a:satOff val="6725"/>
            <a:lumOff val="53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GB" sz="1500" kern="1200"/>
            <a:t>Shapes strategic thinking</a:t>
          </a:r>
        </a:p>
      </dsp:txBody>
      <dsp:txXfrm>
        <a:off x="29698" y="678163"/>
        <a:ext cx="1901992" cy="548966"/>
      </dsp:txXfrm>
    </dsp:sp>
    <dsp:sp modelId="{CB80C87B-2C71-41D5-B478-E5EA745B2A57}">
      <dsp:nvSpPr>
        <dsp:cNvPr id="0" name=""/>
        <dsp:cNvSpPr/>
      </dsp:nvSpPr>
      <dsp:spPr>
        <a:xfrm rot="5400000">
          <a:off x="3380703" y="-133984"/>
          <a:ext cx="641044" cy="3483506"/>
        </a:xfrm>
        <a:prstGeom prst="round2SameRect">
          <a:avLst/>
        </a:prstGeom>
        <a:solidFill>
          <a:schemeClr val="accent4">
            <a:tint val="40000"/>
            <a:alpha val="90000"/>
            <a:hueOff val="-1972855"/>
            <a:satOff val="11079"/>
            <a:lumOff val="704"/>
            <a:alphaOff val="0"/>
          </a:schemeClr>
        </a:solidFill>
        <a:ln w="25400" cap="flat" cmpd="sng" algn="ctr">
          <a:solidFill>
            <a:schemeClr val="accent4">
              <a:tint val="40000"/>
              <a:alpha val="90000"/>
              <a:hueOff val="-1972855"/>
              <a:satOff val="11079"/>
              <a:lumOff val="70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n-AU" sz="1050" kern="1200"/>
            <a:t>Develops organisational capability to deliver results </a:t>
          </a:r>
          <a:endParaRPr lang="en-GB" sz="1050" kern="1200"/>
        </a:p>
        <a:p>
          <a:pPr marL="57150" lvl="1" indent="-57150" algn="l" defTabSz="466725">
            <a:lnSpc>
              <a:spcPct val="90000"/>
            </a:lnSpc>
            <a:spcBef>
              <a:spcPct val="0"/>
            </a:spcBef>
            <a:spcAft>
              <a:spcPct val="15000"/>
            </a:spcAft>
            <a:buChar char="••"/>
          </a:pPr>
          <a:r>
            <a:rPr lang="en-AU" sz="1050" kern="1200"/>
            <a:t>Manages resources wisely and with probity </a:t>
          </a:r>
          <a:endParaRPr lang="en-GB" sz="1050" kern="1200"/>
        </a:p>
        <a:p>
          <a:pPr marL="57150" lvl="1" indent="-57150" algn="l" defTabSz="466725">
            <a:lnSpc>
              <a:spcPct val="90000"/>
            </a:lnSpc>
            <a:spcBef>
              <a:spcPct val="0"/>
            </a:spcBef>
            <a:spcAft>
              <a:spcPct val="15000"/>
            </a:spcAft>
            <a:buChar char="••"/>
          </a:pPr>
          <a:r>
            <a:rPr lang="en-AU" sz="1050" kern="1200"/>
            <a:t>Progresses evidence based policies and procedures </a:t>
          </a:r>
          <a:endParaRPr lang="en-GB" sz="1050" kern="1200"/>
        </a:p>
        <a:p>
          <a:pPr marL="57150" lvl="1" indent="-57150" algn="l" defTabSz="466725">
            <a:lnSpc>
              <a:spcPct val="90000"/>
            </a:lnSpc>
            <a:spcBef>
              <a:spcPct val="0"/>
            </a:spcBef>
            <a:spcAft>
              <a:spcPct val="15000"/>
            </a:spcAft>
            <a:buChar char="••"/>
          </a:pPr>
          <a:r>
            <a:rPr lang="en-AU" sz="1050" kern="1200"/>
            <a:t>Shows sound judgement, is responsive and ethical</a:t>
          </a:r>
          <a:endParaRPr lang="en-GB" sz="1050" kern="1200"/>
        </a:p>
      </dsp:txBody>
      <dsp:txXfrm rot="-5400000">
        <a:off x="1959473" y="1318539"/>
        <a:ext cx="3452213" cy="578458"/>
      </dsp:txXfrm>
    </dsp:sp>
    <dsp:sp modelId="{7D0578CB-68A8-4D18-BF57-4644B44508C9}">
      <dsp:nvSpPr>
        <dsp:cNvPr id="0" name=""/>
        <dsp:cNvSpPr/>
      </dsp:nvSpPr>
      <dsp:spPr>
        <a:xfrm>
          <a:off x="0" y="1303587"/>
          <a:ext cx="1959472" cy="608362"/>
        </a:xfrm>
        <a:prstGeom prst="roundRect">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GB" sz="1500" kern="1200"/>
            <a:t>Achieves results with integrity</a:t>
          </a:r>
        </a:p>
      </dsp:txBody>
      <dsp:txXfrm>
        <a:off x="29698" y="1333285"/>
        <a:ext cx="1900076" cy="548966"/>
      </dsp:txXfrm>
    </dsp:sp>
    <dsp:sp modelId="{7025BE43-947D-4D43-9086-A5878E7E86CE}">
      <dsp:nvSpPr>
        <dsp:cNvPr id="0" name=""/>
        <dsp:cNvSpPr/>
      </dsp:nvSpPr>
      <dsp:spPr>
        <a:xfrm rot="5400000">
          <a:off x="3461498" y="519434"/>
          <a:ext cx="486690" cy="3486912"/>
        </a:xfrm>
        <a:prstGeom prst="round2SameRect">
          <a:avLst/>
        </a:prstGeom>
        <a:solidFill>
          <a:schemeClr val="accent4">
            <a:tint val="40000"/>
            <a:alpha val="90000"/>
            <a:hueOff val="-2959282"/>
            <a:satOff val="16618"/>
            <a:lumOff val="1056"/>
            <a:alphaOff val="0"/>
          </a:schemeClr>
        </a:solidFill>
        <a:ln w="25400" cap="flat" cmpd="sng" algn="ctr">
          <a:solidFill>
            <a:schemeClr val="accent4">
              <a:tint val="40000"/>
              <a:alpha val="90000"/>
              <a:hueOff val="-2959282"/>
              <a:satOff val="16618"/>
              <a:lumOff val="10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endParaRPr lang="en-GB" sz="1050" kern="1200"/>
        </a:p>
        <a:p>
          <a:pPr marL="57150" lvl="1" indent="-57150" algn="l" defTabSz="466725">
            <a:lnSpc>
              <a:spcPct val="90000"/>
            </a:lnSpc>
            <a:spcBef>
              <a:spcPct val="0"/>
            </a:spcBef>
            <a:spcAft>
              <a:spcPct val="15000"/>
            </a:spcAft>
            <a:buChar char="••"/>
          </a:pPr>
          <a:r>
            <a:rPr lang="en-GB" sz="1050" kern="1200"/>
            <a:t>Listens and communicates with influence </a:t>
          </a:r>
        </a:p>
        <a:p>
          <a:pPr marL="57150" lvl="1" indent="-57150" algn="l" defTabSz="466725">
            <a:lnSpc>
              <a:spcPct val="90000"/>
            </a:lnSpc>
            <a:spcBef>
              <a:spcPct val="0"/>
            </a:spcBef>
            <a:spcAft>
              <a:spcPct val="15000"/>
            </a:spcAft>
            <a:buChar char="••"/>
          </a:pPr>
          <a:r>
            <a:rPr lang="en-GB" sz="1050" kern="1200"/>
            <a:t>Engages effectively across government </a:t>
          </a:r>
        </a:p>
        <a:p>
          <a:pPr marL="57150" lvl="1" indent="-57150" algn="l" defTabSz="466725">
            <a:lnSpc>
              <a:spcPct val="90000"/>
            </a:lnSpc>
            <a:spcBef>
              <a:spcPct val="0"/>
            </a:spcBef>
            <a:spcAft>
              <a:spcPct val="15000"/>
            </a:spcAft>
            <a:buChar char="••"/>
          </a:pPr>
          <a:r>
            <a:rPr lang="en-GB" sz="1050" kern="1200"/>
            <a:t>Builds and maintains key relationships</a:t>
          </a:r>
        </a:p>
        <a:p>
          <a:pPr marL="57150" lvl="1" indent="-57150" algn="l" defTabSz="466725">
            <a:lnSpc>
              <a:spcPct val="90000"/>
            </a:lnSpc>
            <a:spcBef>
              <a:spcPct val="0"/>
            </a:spcBef>
            <a:spcAft>
              <a:spcPct val="15000"/>
            </a:spcAft>
            <a:buChar char="••"/>
          </a:pPr>
          <a:endParaRPr lang="en-GB" sz="1050" kern="1200"/>
        </a:p>
      </dsp:txBody>
      <dsp:txXfrm rot="-5400000">
        <a:off x="1961387" y="2043303"/>
        <a:ext cx="3463154" cy="439174"/>
      </dsp:txXfrm>
    </dsp:sp>
    <dsp:sp modelId="{FDF30774-39BB-4D97-81FF-4853D88077BE}">
      <dsp:nvSpPr>
        <dsp:cNvPr id="0" name=""/>
        <dsp:cNvSpPr/>
      </dsp:nvSpPr>
      <dsp:spPr>
        <a:xfrm>
          <a:off x="0" y="1958708"/>
          <a:ext cx="1961388" cy="608362"/>
        </a:xfrm>
        <a:prstGeom prst="roundRect">
          <a:avLst/>
        </a:prstGeom>
        <a:solidFill>
          <a:schemeClr val="accent4">
            <a:hueOff val="-3348577"/>
            <a:satOff val="20174"/>
            <a:lumOff val="161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GB" sz="1500" kern="1200"/>
            <a:t>Fosters collaboration</a:t>
          </a:r>
        </a:p>
      </dsp:txBody>
      <dsp:txXfrm>
        <a:off x="29698" y="1988406"/>
        <a:ext cx="1901992" cy="548966"/>
      </dsp:txXfrm>
    </dsp:sp>
    <dsp:sp modelId="{EF37C027-8B04-4AB8-BF62-4A89B94B58F5}">
      <dsp:nvSpPr>
        <dsp:cNvPr id="0" name=""/>
        <dsp:cNvSpPr/>
      </dsp:nvSpPr>
      <dsp:spPr>
        <a:xfrm rot="5400000">
          <a:off x="3403734" y="1166548"/>
          <a:ext cx="594983" cy="3483506"/>
        </a:xfrm>
        <a:prstGeom prst="round2SameRect">
          <a:avLst/>
        </a:prstGeom>
        <a:solidFill>
          <a:schemeClr val="accent4">
            <a:tint val="40000"/>
            <a:alpha val="90000"/>
            <a:hueOff val="-3945710"/>
            <a:satOff val="22157"/>
            <a:lumOff val="1408"/>
            <a:alphaOff val="0"/>
          </a:schemeClr>
        </a:solidFill>
        <a:ln w="25400" cap="flat" cmpd="sng" algn="ctr">
          <a:solidFill>
            <a:schemeClr val="accent4">
              <a:tint val="40000"/>
              <a:alpha val="90000"/>
              <a:hueOff val="-3945710"/>
              <a:satOff val="22157"/>
              <a:lumOff val="14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endParaRPr lang="en-GB" sz="1050" kern="1200"/>
        </a:p>
        <a:p>
          <a:pPr marL="57150" lvl="1" indent="-57150" algn="l" defTabSz="466725">
            <a:lnSpc>
              <a:spcPct val="90000"/>
            </a:lnSpc>
            <a:spcBef>
              <a:spcPct val="0"/>
            </a:spcBef>
            <a:spcAft>
              <a:spcPct val="15000"/>
            </a:spcAft>
            <a:buChar char="••"/>
          </a:pPr>
          <a:r>
            <a:rPr lang="en-GB" sz="1050" kern="1200"/>
            <a:t>Understands, anticipates and evaluates client needs </a:t>
          </a:r>
        </a:p>
        <a:p>
          <a:pPr marL="57150" lvl="1" indent="-57150" algn="l" defTabSz="466725">
            <a:lnSpc>
              <a:spcPct val="90000"/>
            </a:lnSpc>
            <a:spcBef>
              <a:spcPct val="0"/>
            </a:spcBef>
            <a:spcAft>
              <a:spcPct val="15000"/>
            </a:spcAft>
            <a:buChar char="••"/>
          </a:pPr>
          <a:r>
            <a:rPr lang="en-GB" sz="1050" kern="1200"/>
            <a:t>Creates partnerships and co-operation </a:t>
          </a:r>
        </a:p>
        <a:p>
          <a:pPr marL="57150" lvl="1" indent="-57150" algn="l" defTabSz="466725">
            <a:lnSpc>
              <a:spcPct val="90000"/>
            </a:lnSpc>
            <a:spcBef>
              <a:spcPct val="0"/>
            </a:spcBef>
            <a:spcAft>
              <a:spcPct val="15000"/>
            </a:spcAft>
            <a:buChar char="••"/>
          </a:pPr>
          <a:r>
            <a:rPr lang="en-GB" sz="1050" kern="1200"/>
            <a:t>Works to improve outcomes</a:t>
          </a:r>
        </a:p>
        <a:p>
          <a:pPr marL="57150" lvl="1" indent="-57150" algn="l" defTabSz="466725">
            <a:lnSpc>
              <a:spcPct val="90000"/>
            </a:lnSpc>
            <a:spcBef>
              <a:spcPct val="0"/>
            </a:spcBef>
            <a:spcAft>
              <a:spcPct val="15000"/>
            </a:spcAft>
            <a:buChar char="••"/>
          </a:pPr>
          <a:endParaRPr lang="en-GB" sz="1050" kern="1200"/>
        </a:p>
      </dsp:txBody>
      <dsp:txXfrm rot="-5400000">
        <a:off x="1959473" y="2639855"/>
        <a:ext cx="3454461" cy="536893"/>
      </dsp:txXfrm>
    </dsp:sp>
    <dsp:sp modelId="{4D77448F-9720-4CDC-A049-E1F7269AE785}">
      <dsp:nvSpPr>
        <dsp:cNvPr id="0" name=""/>
        <dsp:cNvSpPr/>
      </dsp:nvSpPr>
      <dsp:spPr>
        <a:xfrm>
          <a:off x="0" y="2597489"/>
          <a:ext cx="1959472" cy="621625"/>
        </a:xfrm>
        <a:prstGeom prst="roundRec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GB" sz="1500" kern="1200"/>
            <a:t>Exemplifies citizen, community and service focus</a:t>
          </a:r>
        </a:p>
      </dsp:txBody>
      <dsp:txXfrm>
        <a:off x="30345" y="2627834"/>
        <a:ext cx="1898782" cy="56093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D6FAFF-3D0B-4DC7-A4C2-6CA4564A4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47</Pages>
  <Words>12747</Words>
  <Characters>72658</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85235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 Jodie</dc:creator>
  <cp:keywords/>
  <dc:description/>
  <cp:lastModifiedBy>Savage, DanielJ</cp:lastModifiedBy>
  <cp:revision>6</cp:revision>
  <cp:lastPrinted>2019-02-28T03:51:00Z</cp:lastPrinted>
  <dcterms:created xsi:type="dcterms:W3CDTF">2019-03-05T01:34:00Z</dcterms:created>
  <dcterms:modified xsi:type="dcterms:W3CDTF">2019-03-06T03:10:00Z</dcterms:modified>
</cp:coreProperties>
</file>