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9590" w14:textId="77777777" w:rsidR="009E4C67" w:rsidRPr="003B1A08" w:rsidRDefault="00045FE9" w:rsidP="009E4C67">
      <w:pPr>
        <w:keepNext/>
        <w:keepLines/>
        <w:spacing w:before="120"/>
        <w:rPr>
          <w:rFonts w:cs="Arial"/>
          <w:sz w:val="28"/>
          <w:szCs w:val="28"/>
        </w:rPr>
      </w:pPr>
      <w:bookmarkStart w:id="0" w:name="_Toc44738651"/>
      <w:r>
        <w:rPr>
          <w:rFonts w:cs="Arial"/>
          <w:noProof/>
          <w:lang w:eastAsia="en-AU"/>
        </w:rPr>
        <w:drawing>
          <wp:inline distT="0" distB="0" distL="0" distR="0" wp14:anchorId="3C337A63" wp14:editId="1DEB0D92">
            <wp:extent cx="1010285" cy="92519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6BB08C74" w14:textId="77777777" w:rsidR="00E35C4B" w:rsidRPr="003B1A08" w:rsidRDefault="00E35C4B" w:rsidP="00E35C4B">
      <w:pPr>
        <w:pStyle w:val="Heading1"/>
        <w:keepLines/>
        <w:pageBreakBefore w:val="0"/>
        <w:pBdr>
          <w:bottom w:val="none" w:sz="0" w:space="0" w:color="auto"/>
        </w:pBdr>
        <w:spacing w:before="240"/>
      </w:pPr>
      <w:r>
        <w:t>ACT Supreme Court Judicial Positions</w:t>
      </w:r>
    </w:p>
    <w:p w14:paraId="6F09387F" w14:textId="34CC825D" w:rsidR="00D56A6B" w:rsidRPr="008D28B2" w:rsidRDefault="00D56A6B" w:rsidP="00D56A6B">
      <w:pPr>
        <w:pStyle w:val="Heading1"/>
        <w:keepLines/>
        <w:pageBreakBefore w:val="0"/>
        <w:pBdr>
          <w:bottom w:val="none" w:sz="0" w:space="0" w:color="auto"/>
        </w:pBdr>
        <w:spacing w:before="240"/>
      </w:pPr>
      <w:r w:rsidRPr="00D46DF6">
        <w:rPr>
          <w:color w:val="000000" w:themeColor="text1"/>
        </w:rPr>
        <w:t xml:space="preserve">Determination </w:t>
      </w:r>
      <w:r w:rsidR="00551480">
        <w:rPr>
          <w:color w:val="000000" w:themeColor="text1"/>
        </w:rPr>
        <w:t>1</w:t>
      </w:r>
      <w:r w:rsidR="00673B7A">
        <w:rPr>
          <w:color w:val="000000" w:themeColor="text1"/>
        </w:rPr>
        <w:t>1</w:t>
      </w:r>
      <w:r w:rsidR="00CC036B" w:rsidRPr="00D46DF6">
        <w:rPr>
          <w:color w:val="000000" w:themeColor="text1"/>
        </w:rPr>
        <w:t xml:space="preserve"> </w:t>
      </w:r>
      <w:r w:rsidRPr="00D46DF6">
        <w:rPr>
          <w:color w:val="000000" w:themeColor="text1"/>
        </w:rPr>
        <w:t xml:space="preserve">of </w:t>
      </w:r>
      <w:r w:rsidR="00D02D9B" w:rsidRPr="008D28B2">
        <w:t>20</w:t>
      </w:r>
      <w:r w:rsidR="00CD5165">
        <w:t>2</w:t>
      </w:r>
      <w:r w:rsidR="00673B7A">
        <w:t>3</w:t>
      </w:r>
      <w:r w:rsidR="00C95B39" w:rsidRPr="008D28B2">
        <w:t xml:space="preserve"> </w:t>
      </w:r>
    </w:p>
    <w:p w14:paraId="4FC951CD" w14:textId="77777777" w:rsidR="009E4C67" w:rsidRPr="003B1A08" w:rsidRDefault="009E4C67" w:rsidP="008E31D4">
      <w:r w:rsidRPr="003B1A08">
        <w:t xml:space="preserve">made under the </w:t>
      </w:r>
    </w:p>
    <w:p w14:paraId="79541470" w14:textId="77777777" w:rsidR="009E4C67" w:rsidRPr="000D1005" w:rsidRDefault="007F3DA2" w:rsidP="008E31D4">
      <w:pPr>
        <w:rPr>
          <w:rFonts w:cs="Arial"/>
          <w:b/>
        </w:rPr>
      </w:pPr>
      <w:r w:rsidRPr="000D1005">
        <w:rPr>
          <w:rFonts w:cs="Arial"/>
          <w:b/>
        </w:rPr>
        <w:t>Remuneration Tribunal Act 1995</w:t>
      </w:r>
      <w:r w:rsidR="000D1005">
        <w:rPr>
          <w:rFonts w:cs="Arial"/>
          <w:b/>
        </w:rPr>
        <w:t>, section 10 (Inquiries about holders of certain positions)</w:t>
      </w:r>
    </w:p>
    <w:p w14:paraId="29A10D44" w14:textId="77777777" w:rsidR="00C11250" w:rsidRDefault="009E4C67">
      <w:pPr>
        <w:pStyle w:val="Heading1"/>
        <w:keepLines/>
        <w:pageBreakBefore w:val="0"/>
        <w:pBdr>
          <w:bottom w:val="none" w:sz="0" w:space="0" w:color="auto"/>
        </w:pBdr>
        <w:spacing w:before="240"/>
      </w:pPr>
      <w:r w:rsidRPr="00F215BD">
        <w:t>AC</w:t>
      </w:r>
      <w:r w:rsidR="00FB3B06">
        <w:t>C</w:t>
      </w:r>
      <w:r w:rsidRPr="00F215BD">
        <w:t>OMPANYING STATEMENT</w:t>
      </w:r>
    </w:p>
    <w:p w14:paraId="2286B7DB" w14:textId="77777777" w:rsidR="009E4C67" w:rsidRPr="00F778DA" w:rsidRDefault="009E4C67" w:rsidP="009E4C67">
      <w:pPr>
        <w:pStyle w:val="N-line3"/>
        <w:pBdr>
          <w:top w:val="single" w:sz="12" w:space="1" w:color="auto"/>
          <w:bottom w:val="none" w:sz="0" w:space="0" w:color="auto"/>
        </w:pBdr>
        <w:rPr>
          <w:sz w:val="16"/>
          <w:szCs w:val="16"/>
        </w:rPr>
      </w:pPr>
    </w:p>
    <w:p w14:paraId="25481158" w14:textId="77777777" w:rsidR="00C11250" w:rsidRDefault="009E4C67" w:rsidP="00625249">
      <w:pPr>
        <w:pStyle w:val="Heading2"/>
        <w:spacing w:after="0"/>
      </w:pPr>
      <w:r>
        <w:t>Background</w:t>
      </w:r>
    </w:p>
    <w:p w14:paraId="58CE2D11" w14:textId="73AB377C" w:rsidR="00C11250" w:rsidRDefault="006A5F59" w:rsidP="00F4595C">
      <w:pPr>
        <w:spacing w:before="120" w:after="60"/>
      </w:pPr>
      <w:r>
        <w:t xml:space="preserve">Under section 10 of the </w:t>
      </w:r>
      <w:r w:rsidRPr="006A5F59">
        <w:rPr>
          <w:i/>
        </w:rPr>
        <w:t>Remuneration Tribunal Act 1995</w:t>
      </w:r>
      <w:r w:rsidR="00464859">
        <w:t xml:space="preserve"> (the Act)</w:t>
      </w:r>
      <w:r>
        <w:t xml:space="preserve">, the </w:t>
      </w:r>
      <w:r w:rsidR="00464859">
        <w:t xml:space="preserve">Remuneration </w:t>
      </w:r>
      <w:r>
        <w:t xml:space="preserve">Tribunal </w:t>
      </w:r>
      <w:r w:rsidR="00464859">
        <w:t xml:space="preserve">(the Tribunal) </w:t>
      </w:r>
      <w:r>
        <w:t xml:space="preserve">must inquire into and determine the remuneration, </w:t>
      </w:r>
      <w:proofErr w:type="gramStart"/>
      <w:r>
        <w:t>allowances</w:t>
      </w:r>
      <w:proofErr w:type="gramEnd"/>
      <w:r>
        <w:t xml:space="preserve"> and other entitlements to be paid to the </w:t>
      </w:r>
      <w:bookmarkStart w:id="1" w:name="_Hlk49515351"/>
      <w:r>
        <w:t xml:space="preserve">holders of Judicial positions </w:t>
      </w:r>
      <w:bookmarkEnd w:id="1"/>
      <w:r>
        <w:t>mentioned in Schedule 1</w:t>
      </w:r>
      <w:r w:rsidR="00287A77">
        <w:t xml:space="preserve"> of the Act</w:t>
      </w:r>
      <w:r>
        <w:t xml:space="preserve">, </w:t>
      </w:r>
      <w:r w:rsidR="005A139C">
        <w:t>including</w:t>
      </w:r>
      <w:r>
        <w:t xml:space="preserve"> the Chief</w:t>
      </w:r>
      <w:r w:rsidR="00F532B1">
        <w:t> </w:t>
      </w:r>
      <w:r>
        <w:t>Justice</w:t>
      </w:r>
      <w:r w:rsidR="005A6144">
        <w:t xml:space="preserve"> of the ACT Supreme Court</w:t>
      </w:r>
      <w:r>
        <w:t xml:space="preserve">, </w:t>
      </w:r>
      <w:r w:rsidR="009766A1">
        <w:t>and Acting J</w:t>
      </w:r>
      <w:r>
        <w:t>udges.</w:t>
      </w:r>
      <w:r w:rsidR="00F6462E">
        <w:t xml:space="preserve"> </w:t>
      </w:r>
      <w:r w:rsidR="00DF6B06">
        <w:t>For the Chief Justice, t</w:t>
      </w:r>
      <w:r w:rsidR="00293EEE">
        <w:t>h</w:t>
      </w:r>
      <w:r w:rsidR="00AC12D1">
        <w:t>is</w:t>
      </w:r>
      <w:r w:rsidR="00293EEE">
        <w:t xml:space="preserve"> entitlement </w:t>
      </w:r>
      <w:r w:rsidR="00AC12D1">
        <w:t xml:space="preserve">is </w:t>
      </w:r>
      <w:r w:rsidR="00293EEE">
        <w:t xml:space="preserve">in addition to </w:t>
      </w:r>
      <w:r w:rsidR="00DF6B06">
        <w:t xml:space="preserve">their </w:t>
      </w:r>
      <w:r w:rsidR="00293EEE">
        <w:t>entitlements</w:t>
      </w:r>
      <w:r w:rsidR="00DF6B06" w:rsidRPr="00DF6B06">
        <w:t xml:space="preserve"> </w:t>
      </w:r>
      <w:r w:rsidR="00DF6B06">
        <w:t xml:space="preserve">as a resident judge </w:t>
      </w:r>
      <w:r w:rsidR="006537A6">
        <w:t xml:space="preserve">under the </w:t>
      </w:r>
      <w:r w:rsidR="006537A6" w:rsidRPr="006537A6">
        <w:rPr>
          <w:i/>
        </w:rPr>
        <w:t>Supreme Court Act 1933</w:t>
      </w:r>
      <w:r w:rsidR="00293EEE">
        <w:t xml:space="preserve">. </w:t>
      </w:r>
    </w:p>
    <w:p w14:paraId="73FE50FC" w14:textId="77777777" w:rsidR="009239A2" w:rsidRPr="009D2938" w:rsidRDefault="009239A2" w:rsidP="009239A2">
      <w:pPr>
        <w:spacing w:before="120" w:after="60"/>
        <w:rPr>
          <w:color w:val="000000" w:themeColor="text1"/>
        </w:rPr>
      </w:pPr>
      <w:r w:rsidRPr="009D2938">
        <w:rPr>
          <w:b/>
          <w:color w:val="000000" w:themeColor="text1"/>
        </w:rPr>
        <w:t>Considerations</w:t>
      </w:r>
    </w:p>
    <w:p w14:paraId="7E75C775" w14:textId="77777777" w:rsidR="009239A2" w:rsidRPr="00033953" w:rsidRDefault="009239A2" w:rsidP="009239A2">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0771D3B6" w14:textId="77777777"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34D39880" w14:textId="77777777"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348E46DC" w14:textId="77777777"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51413006" w14:textId="29379838"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4CDC48AB" w14:textId="77777777"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39DCB6F1" w14:textId="77777777"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636307D3" w14:textId="77777777"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69302668" w14:textId="77777777" w:rsidR="009239A2" w:rsidRPr="005E17C8" w:rsidRDefault="009239A2" w:rsidP="009239A2">
      <w:pPr>
        <w:numPr>
          <w:ilvl w:val="0"/>
          <w:numId w:val="24"/>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773E4E2D" w14:textId="77777777" w:rsidR="009239A2" w:rsidRPr="001C56AB" w:rsidRDefault="009239A2" w:rsidP="009239A2">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2C4A11DB" w14:textId="77777777" w:rsidR="009239A2" w:rsidRPr="00EB1F62" w:rsidRDefault="009239A2" w:rsidP="009239A2">
      <w:pPr>
        <w:spacing w:after="120"/>
        <w:rPr>
          <w:rFonts w:cs="Calibri"/>
        </w:rPr>
      </w:pPr>
      <w:r w:rsidRPr="001B7AD8">
        <w:rPr>
          <w:rFonts w:cs="Calibri"/>
        </w:rPr>
        <w:t xml:space="preserve">At its meeting in </w:t>
      </w:r>
      <w:r>
        <w:rPr>
          <w:rFonts w:cs="Calibri"/>
        </w:rPr>
        <w:t>October </w:t>
      </w:r>
      <w:r w:rsidRPr="001B7AD8">
        <w:rPr>
          <w:rFonts w:cs="Calibri"/>
        </w:rPr>
        <w:t>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Pr>
          <w:rFonts w:cs="Calibri"/>
        </w:rPr>
        <w:t>, part-time public office holders</w:t>
      </w:r>
      <w:r w:rsidRPr="00EB1F62">
        <w:rPr>
          <w:rFonts w:cs="Calibri"/>
        </w:rPr>
        <w:t xml:space="preserve"> and departmental officials. </w:t>
      </w:r>
    </w:p>
    <w:p w14:paraId="309BBBA0" w14:textId="77777777" w:rsidR="009239A2" w:rsidRPr="001C56AB" w:rsidRDefault="009239A2" w:rsidP="009239A2">
      <w:pPr>
        <w:spacing w:after="120"/>
        <w:rPr>
          <w:rFonts w:cs="Calibri"/>
        </w:rPr>
      </w:pPr>
      <w:bookmarkStart w:id="2" w:name="_Hlk109216894"/>
      <w:bookmarkStart w:id="3" w:name="_Hlk136951829"/>
      <w:r w:rsidRPr="001217EA">
        <w:lastRenderedPageBreak/>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 xml:space="preserve">noted that employment growth was stronger than expected in the 2022-23 financial year. </w:t>
      </w:r>
      <w:bookmarkEnd w:id="2"/>
    </w:p>
    <w:p w14:paraId="6179C463" w14:textId="77777777" w:rsidR="009239A2" w:rsidRDefault="009239A2" w:rsidP="009239A2">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2"/>
      </w:r>
      <w:r>
        <w:rPr>
          <w:rFonts w:cs="Calibri"/>
          <w:color w:val="000000" w:themeColor="text1"/>
        </w:rPr>
        <w:t xml:space="preserve"> </w:t>
      </w:r>
    </w:p>
    <w:p w14:paraId="176FECF3" w14:textId="77777777" w:rsidR="009239A2" w:rsidRDefault="009239A2" w:rsidP="009239A2">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3BE1D7BB" w14:textId="77777777" w:rsidR="009239A2" w:rsidRDefault="009239A2" w:rsidP="009239A2">
      <w:pPr>
        <w:spacing w:after="120"/>
        <w:rPr>
          <w:rFonts w:cs="Calibri"/>
          <w:color w:val="000000" w:themeColor="text1"/>
        </w:rPr>
      </w:pPr>
      <w:r>
        <w:rPr>
          <w:rFonts w:cs="Calibri"/>
          <w:color w:val="000000" w:themeColor="text1"/>
        </w:rPr>
        <w:t xml:space="preserve">While the Tribunal noted that cost of living increases </w:t>
      </w:r>
      <w:proofErr w:type="gramStart"/>
      <w:r>
        <w:rPr>
          <w:rFonts w:cs="Calibri"/>
          <w:color w:val="000000" w:themeColor="text1"/>
        </w:rPr>
        <w:t>have</w:t>
      </w:r>
      <w:proofErr w:type="gramEnd"/>
      <w:r>
        <w:rPr>
          <w:rFonts w:cs="Calibri"/>
          <w:color w:val="000000" w:themeColor="text1"/>
        </w:rPr>
        <w:t xml:space="preserve"> been high, the Tribunal also noted that the consumer price index (CPI) forecast has a descending trend and the increase to remuneration provided in this determination reflects this.</w:t>
      </w:r>
    </w:p>
    <w:p w14:paraId="621DF646" w14:textId="77777777" w:rsidR="009239A2" w:rsidRDefault="009239A2" w:rsidP="009239A2">
      <w:pPr>
        <w:spacing w:after="120"/>
        <w:rPr>
          <w:rFonts w:cs="Calibri"/>
        </w:rPr>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Pr="001C56AB">
        <w:rPr>
          <w:rFonts w:cs="Calibri"/>
        </w:rPr>
        <w:t xml:space="preserve">The Tribunal </w:t>
      </w:r>
      <w:r>
        <w:rPr>
          <w:rFonts w:cs="Calibri"/>
        </w:rPr>
        <w:t xml:space="preserve">also continued to </w:t>
      </w:r>
      <w:proofErr w:type="gramStart"/>
      <w:r>
        <w:rPr>
          <w:rFonts w:cs="Calibri"/>
        </w:rPr>
        <w:t>give consideration</w:t>
      </w:r>
      <w:r w:rsidRPr="001C56AB">
        <w:rPr>
          <w:rFonts w:cs="Calibri"/>
        </w:rPr>
        <w:t xml:space="preserve"> </w:t>
      </w:r>
      <w:r>
        <w:rPr>
          <w:rFonts w:cs="Calibri"/>
        </w:rPr>
        <w:t>to</w:t>
      </w:r>
      <w:proofErr w:type="gramEnd"/>
      <w:r>
        <w:rPr>
          <w:rFonts w:cs="Calibri"/>
        </w:rPr>
        <w:t xml:space="preserve">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50F6C9FE" w14:textId="77777777" w:rsidR="00E82586" w:rsidRDefault="00E82586" w:rsidP="00E82586">
      <w:pPr>
        <w:spacing w:after="120"/>
        <w:rPr>
          <w:rFonts w:cs="Calibri"/>
          <w:color w:val="000000" w:themeColor="text1"/>
        </w:rPr>
      </w:pPr>
      <w:r>
        <w:rPr>
          <w:rFonts w:cs="Calibri"/>
          <w:color w:val="000000" w:themeColor="text1"/>
        </w:rPr>
        <w:t xml:space="preserve">The Tribunal received correspondence from Chief Justice McCallum noting the increase to the remuneration of Federal Court Judges, to which the remuneration of ACT Supreme Court Judges is linked under legislation. The correspondence outlined that in the absence of contemplation of reduction in remuneration, allowances or entitlements, the Chief Justice did not seek to put further submissions to the Tribunal. </w:t>
      </w:r>
    </w:p>
    <w:p w14:paraId="327DD75D" w14:textId="77777777" w:rsidR="009239A2" w:rsidRPr="008F6662" w:rsidRDefault="009239A2" w:rsidP="009239A2">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5"/>
      </w:r>
      <w:r>
        <w:rPr>
          <w:rFonts w:cs="Calibri"/>
        </w:rPr>
        <w:t xml:space="preserve"> </w:t>
      </w:r>
    </w:p>
    <w:p w14:paraId="20BBCEE6" w14:textId="0228E86E" w:rsidR="009239A2" w:rsidRPr="005131B0" w:rsidRDefault="009239A2" w:rsidP="009239A2">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3"/>
    </w:p>
    <w:p w14:paraId="06C84C61" w14:textId="77777777" w:rsidR="00E82586" w:rsidRDefault="00E82586" w:rsidP="009239A2">
      <w:pPr>
        <w:spacing w:before="120"/>
        <w:rPr>
          <w:b/>
        </w:rPr>
      </w:pPr>
    </w:p>
    <w:p w14:paraId="73A59112" w14:textId="382F39C7" w:rsidR="009239A2" w:rsidRPr="009D58BF" w:rsidRDefault="009239A2" w:rsidP="009239A2">
      <w:pPr>
        <w:spacing w:before="120"/>
        <w:rPr>
          <w:b/>
        </w:rPr>
      </w:pPr>
      <w:r w:rsidRPr="009D58BF">
        <w:rPr>
          <w:b/>
        </w:rPr>
        <w:lastRenderedPageBreak/>
        <w:t>Decision</w:t>
      </w:r>
    </w:p>
    <w:p w14:paraId="7E5BF6A6" w14:textId="0C6E8ED9" w:rsidR="00E82586" w:rsidRDefault="00E82586" w:rsidP="00E82586">
      <w:pPr>
        <w:spacing w:before="120" w:after="60"/>
        <w:rPr>
          <w:color w:val="000000" w:themeColor="text1"/>
        </w:rPr>
      </w:pPr>
      <w:r>
        <w:rPr>
          <w:color w:val="000000" w:themeColor="text1"/>
        </w:rPr>
        <w:t xml:space="preserve">The Tribunal determines to increase the allowance for the position of the Chief Justice of the ACT Supreme Court to $50,014 per annum continuing the existing relativity of this allowance to salary and </w:t>
      </w:r>
      <w:proofErr w:type="gramStart"/>
      <w:r>
        <w:rPr>
          <w:color w:val="000000" w:themeColor="text1"/>
        </w:rPr>
        <w:t>noting also</w:t>
      </w:r>
      <w:proofErr w:type="gramEnd"/>
      <w:r>
        <w:rPr>
          <w:color w:val="000000" w:themeColor="text1"/>
        </w:rPr>
        <w:t xml:space="preserve"> the increases in remuneration and entitlements provided to Federal Judicial positions in July 2023 by the Commonwealth Remuneration Tribunal which therefore determines the remuneration provided to ACT Judicial positions. </w:t>
      </w:r>
    </w:p>
    <w:p w14:paraId="7BAE1545" w14:textId="77777777" w:rsidR="009239A2" w:rsidRDefault="009239A2" w:rsidP="009239A2">
      <w:pPr>
        <w:spacing w:before="120" w:after="60"/>
        <w:rPr>
          <w:color w:val="000000" w:themeColor="text1"/>
        </w:rPr>
      </w:pPr>
      <w:r>
        <w:rPr>
          <w:color w:val="000000" w:themeColor="text1"/>
        </w:rPr>
        <w:t xml:space="preserve">Following the removal of the position of the Associate Judge from relevant legislation, the Tribunal has removed the Associate Judge from its determinations. </w:t>
      </w:r>
    </w:p>
    <w:p w14:paraId="6072E144" w14:textId="77777777" w:rsidR="009239A2" w:rsidRPr="00690D01" w:rsidRDefault="009239A2" w:rsidP="009239A2">
      <w:pPr>
        <w:spacing w:before="120" w:after="60"/>
        <w:rPr>
          <w:color w:val="000000" w:themeColor="text1"/>
        </w:rPr>
      </w:pPr>
      <w:r>
        <w:rPr>
          <w:color w:val="000000" w:themeColor="text1"/>
        </w:rPr>
        <w:t>The Tribunal determines to maintain the remuneration for the position of Acting Judge of the ACT Supreme Court, at the rate of 1/230 of the annual remuneration paid to a judge of the ACT Supreme Court per day.</w:t>
      </w:r>
      <w:r>
        <w:t xml:space="preserve"> </w:t>
      </w:r>
    </w:p>
    <w:p w14:paraId="3238C871" w14:textId="77777777" w:rsidR="009239A2" w:rsidRPr="0090602B" w:rsidRDefault="009239A2" w:rsidP="009239A2">
      <w:pPr>
        <w:spacing w:before="120" w:after="60"/>
        <w:rPr>
          <w:szCs w:val="24"/>
        </w:rPr>
      </w:pPr>
      <w:r w:rsidRPr="00FC43A1">
        <w:rPr>
          <w:szCs w:val="24"/>
        </w:rPr>
        <w:t xml:space="preserve">The retrospective application of this Determination </w:t>
      </w:r>
      <w:r>
        <w:rPr>
          <w:szCs w:val="24"/>
        </w:rPr>
        <w:t xml:space="preserve">to 1 July 2023 </w:t>
      </w:r>
      <w:r w:rsidRPr="00FC43A1">
        <w:rPr>
          <w:szCs w:val="24"/>
        </w:rPr>
        <w:t>does not affect the rights of a person (other than the ACT Government) in a manner prejudicial to that person, nor does it impose any liability on such person.</w:t>
      </w:r>
    </w:p>
    <w:p w14:paraId="374DCB02" w14:textId="77777777" w:rsidR="009239A2" w:rsidRDefault="009239A2" w:rsidP="00F4595C">
      <w:pPr>
        <w:spacing w:before="120" w:after="60"/>
      </w:pPr>
    </w:p>
    <w:p w14:paraId="39BC19B5" w14:textId="0C4F5E6A" w:rsidR="009E4C67" w:rsidRPr="009D58BF" w:rsidRDefault="002E5490" w:rsidP="00625249">
      <w:pPr>
        <w:ind w:left="360"/>
        <w:jc w:val="right"/>
        <w:rPr>
          <w:szCs w:val="24"/>
        </w:rPr>
      </w:pPr>
      <w:r>
        <w:rPr>
          <w:szCs w:val="24"/>
        </w:rPr>
        <w:t>22</w:t>
      </w:r>
      <w:r w:rsidR="00673B7A">
        <w:rPr>
          <w:szCs w:val="24"/>
        </w:rPr>
        <w:t xml:space="preserve"> November</w:t>
      </w:r>
      <w:r w:rsidR="00CD5165">
        <w:rPr>
          <w:szCs w:val="24"/>
        </w:rPr>
        <w:t xml:space="preserve"> 202</w:t>
      </w:r>
      <w:r w:rsidR="00673B7A">
        <w:rPr>
          <w:szCs w:val="24"/>
        </w:rPr>
        <w:t>3</w:t>
      </w:r>
    </w:p>
    <w:p w14:paraId="6E22BCDC" w14:textId="508DA570" w:rsidR="00143279" w:rsidRPr="009D58BF" w:rsidRDefault="00143279">
      <w:pPr>
        <w:rPr>
          <w:szCs w:val="24"/>
        </w:rPr>
      </w:pPr>
      <w:r w:rsidRPr="009D58BF">
        <w:rPr>
          <w:szCs w:val="24"/>
        </w:rPr>
        <w:br w:type="page"/>
      </w:r>
    </w:p>
    <w:p w14:paraId="45B446D2" w14:textId="77777777" w:rsidR="009E4C67" w:rsidRPr="003B1A08" w:rsidRDefault="00045FE9" w:rsidP="009E4C67">
      <w:pPr>
        <w:spacing w:before="120"/>
        <w:jc w:val="right"/>
        <w:rPr>
          <w:rFonts w:cs="Arial"/>
          <w:sz w:val="28"/>
          <w:szCs w:val="28"/>
        </w:rPr>
      </w:pPr>
      <w:r>
        <w:rPr>
          <w:rFonts w:cs="Arial"/>
          <w:noProof/>
          <w:lang w:eastAsia="en-AU"/>
        </w:rPr>
        <w:lastRenderedPageBreak/>
        <w:drawing>
          <wp:inline distT="0" distB="0" distL="0" distR="0" wp14:anchorId="5D745934" wp14:editId="538EFE73">
            <wp:extent cx="1010285" cy="92519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00DCCB8" w14:textId="77777777" w:rsidR="00896DBC" w:rsidRPr="003B1A08" w:rsidRDefault="00896DBC" w:rsidP="00896DBC">
      <w:pPr>
        <w:pStyle w:val="Heading1"/>
        <w:keepLines/>
        <w:pageBreakBefore w:val="0"/>
        <w:pBdr>
          <w:bottom w:val="none" w:sz="0" w:space="0" w:color="auto"/>
        </w:pBdr>
        <w:spacing w:before="240"/>
      </w:pPr>
      <w:r>
        <w:t>ACT Supreme Court Judicial Positions</w:t>
      </w:r>
    </w:p>
    <w:p w14:paraId="1C736DF0" w14:textId="060BC16E" w:rsidR="00896DBC" w:rsidRPr="00844136" w:rsidRDefault="00896DBC" w:rsidP="00896DBC">
      <w:pPr>
        <w:pStyle w:val="Heading1"/>
        <w:keepLines/>
        <w:pageBreakBefore w:val="0"/>
        <w:pBdr>
          <w:bottom w:val="none" w:sz="0" w:space="0" w:color="auto"/>
        </w:pBdr>
        <w:spacing w:before="240"/>
        <w:rPr>
          <w:color w:val="000000" w:themeColor="text1"/>
        </w:rPr>
      </w:pPr>
      <w:r w:rsidRPr="00D46DF6">
        <w:rPr>
          <w:color w:val="000000" w:themeColor="text1"/>
        </w:rPr>
        <w:t xml:space="preserve">Determination </w:t>
      </w:r>
      <w:r w:rsidR="00551480">
        <w:rPr>
          <w:color w:val="000000" w:themeColor="text1"/>
        </w:rPr>
        <w:t>1</w:t>
      </w:r>
      <w:r w:rsidR="00673B7A">
        <w:rPr>
          <w:color w:val="000000" w:themeColor="text1"/>
        </w:rPr>
        <w:t>1</w:t>
      </w:r>
      <w:r w:rsidRPr="00D46DF6">
        <w:rPr>
          <w:color w:val="000000" w:themeColor="text1"/>
        </w:rPr>
        <w:t xml:space="preserve"> of </w:t>
      </w:r>
      <w:r w:rsidRPr="008D28B2">
        <w:t>2</w:t>
      </w:r>
      <w:r w:rsidRPr="00844136">
        <w:rPr>
          <w:color w:val="000000" w:themeColor="text1"/>
        </w:rPr>
        <w:t>0</w:t>
      </w:r>
      <w:r w:rsidR="00CD5165">
        <w:rPr>
          <w:color w:val="000000" w:themeColor="text1"/>
        </w:rPr>
        <w:t>2</w:t>
      </w:r>
      <w:r w:rsidR="00673B7A">
        <w:rPr>
          <w:color w:val="000000" w:themeColor="text1"/>
        </w:rPr>
        <w:t>3</w:t>
      </w:r>
    </w:p>
    <w:p w14:paraId="134D416B" w14:textId="77777777" w:rsidR="009E4C67" w:rsidRPr="003B1A08" w:rsidRDefault="009E4C67" w:rsidP="008E31D4">
      <w:r w:rsidRPr="003B1A08">
        <w:t xml:space="preserve">made under the </w:t>
      </w:r>
    </w:p>
    <w:p w14:paraId="15D36650" w14:textId="77777777" w:rsidR="00076CA5" w:rsidRPr="000D1005" w:rsidRDefault="00076CA5" w:rsidP="00076CA5">
      <w:pPr>
        <w:rPr>
          <w:rFonts w:cs="Arial"/>
          <w:b/>
        </w:rPr>
      </w:pPr>
      <w:r w:rsidRPr="000D1005">
        <w:rPr>
          <w:rFonts w:cs="Arial"/>
          <w:b/>
        </w:rPr>
        <w:t>Remuneration Tribunal Act 1995</w:t>
      </w:r>
      <w:r>
        <w:rPr>
          <w:rFonts w:cs="Arial"/>
          <w:b/>
        </w:rPr>
        <w:t>, section 10 (Inquiries about holders of certain positions)</w:t>
      </w:r>
    </w:p>
    <w:p w14:paraId="6A08C6A1" w14:textId="77777777" w:rsidR="009E4C67" w:rsidRPr="003B1A08" w:rsidRDefault="009E4C67" w:rsidP="009E4C67">
      <w:pPr>
        <w:pStyle w:val="N-line3"/>
        <w:pBdr>
          <w:bottom w:val="none" w:sz="0" w:space="0" w:color="auto"/>
        </w:pBdr>
      </w:pPr>
    </w:p>
    <w:p w14:paraId="6DB8F7D6" w14:textId="77777777" w:rsidR="00C11250" w:rsidRDefault="00C11250">
      <w:pPr>
        <w:pStyle w:val="N-line3"/>
        <w:pBdr>
          <w:top w:val="single" w:sz="12" w:space="1" w:color="auto"/>
          <w:bottom w:val="none" w:sz="0" w:space="0" w:color="auto"/>
        </w:pBdr>
        <w:spacing w:before="120" w:after="60"/>
      </w:pPr>
    </w:p>
    <w:p w14:paraId="6C08B56A" w14:textId="77777777" w:rsidR="00C11250" w:rsidRDefault="007F3DA2">
      <w:pPr>
        <w:pStyle w:val="Heading2"/>
        <w:spacing w:before="120" w:after="60"/>
      </w:pPr>
      <w:r w:rsidRPr="007F3DA2">
        <w:t>1. Commencement</w:t>
      </w:r>
    </w:p>
    <w:p w14:paraId="25249A45" w14:textId="47713592" w:rsidR="00C11250" w:rsidRPr="009D58BF" w:rsidRDefault="00535602" w:rsidP="00DF1C00">
      <w:pPr>
        <w:spacing w:before="120" w:after="240"/>
      </w:pPr>
      <w:r w:rsidRPr="009D58BF">
        <w:t xml:space="preserve">This instrument </w:t>
      </w:r>
      <w:r w:rsidR="00CD5165">
        <w:t>is taken to have commenced</w:t>
      </w:r>
      <w:r w:rsidR="00CD6D68" w:rsidRPr="009D58BF">
        <w:t xml:space="preserve"> on </w:t>
      </w:r>
      <w:r w:rsidR="00CD5165">
        <w:t>1 July 202</w:t>
      </w:r>
      <w:r w:rsidR="00673B7A">
        <w:t>3</w:t>
      </w:r>
      <w:r w:rsidR="0096745A" w:rsidRPr="009D58BF">
        <w:t>.</w:t>
      </w:r>
    </w:p>
    <w:p w14:paraId="789B366B" w14:textId="77777777" w:rsidR="00C11250" w:rsidRPr="00A32CC2" w:rsidRDefault="007F3DA2">
      <w:pPr>
        <w:pStyle w:val="Heading2"/>
        <w:spacing w:before="120" w:after="60"/>
      </w:pPr>
      <w:r w:rsidRPr="00A32CC2">
        <w:t xml:space="preserve">2. </w:t>
      </w:r>
      <w:r w:rsidR="0081643F" w:rsidRPr="00A32CC2">
        <w:t xml:space="preserve">Remuneration </w:t>
      </w:r>
    </w:p>
    <w:p w14:paraId="75838E7E" w14:textId="0B8C8D85" w:rsidR="00C11250" w:rsidRPr="00A32CC2" w:rsidRDefault="00DF1C00" w:rsidP="00A01167">
      <w:pPr>
        <w:spacing w:before="120" w:after="240"/>
        <w:ind w:left="567" w:hanging="567"/>
      </w:pPr>
      <w:r w:rsidRPr="00A32CC2">
        <w:t>2.1</w:t>
      </w:r>
      <w:r w:rsidR="00A01167" w:rsidRPr="00A32CC2">
        <w:tab/>
      </w:r>
      <w:r w:rsidR="007A4970" w:rsidRPr="00A32CC2">
        <w:t xml:space="preserve">The </w:t>
      </w:r>
      <w:r w:rsidR="00FB4BFB" w:rsidRPr="00A32CC2">
        <w:t>benchmark</w:t>
      </w:r>
      <w:r w:rsidR="007A4970" w:rsidRPr="00A32CC2">
        <w:t xml:space="preserve"> </w:t>
      </w:r>
      <w:r w:rsidR="008035CE" w:rsidRPr="00A32CC2">
        <w:t xml:space="preserve">is </w:t>
      </w:r>
      <w:r w:rsidR="001015F3" w:rsidRPr="00A32CC2">
        <w:t>$</w:t>
      </w:r>
      <w:r w:rsidR="00673B7A">
        <w:t>500,140</w:t>
      </w:r>
      <w:r w:rsidR="001015F3" w:rsidRPr="00A32CC2">
        <w:t xml:space="preserve"> </w:t>
      </w:r>
      <w:r w:rsidR="00EE7426" w:rsidRPr="00A32CC2">
        <w:t xml:space="preserve">(being </w:t>
      </w:r>
      <w:r w:rsidR="0081643F" w:rsidRPr="00A32CC2">
        <w:t xml:space="preserve">the remuneration payable to a Federal Court </w:t>
      </w:r>
      <w:r w:rsidR="006537A6" w:rsidRPr="00A32CC2">
        <w:t xml:space="preserve">Judge and </w:t>
      </w:r>
      <w:r w:rsidR="0081643F" w:rsidRPr="00A32CC2">
        <w:t>ACT Supreme Court Judge</w:t>
      </w:r>
      <w:r w:rsidR="005511DA" w:rsidRPr="00A32CC2">
        <w:t xml:space="preserve"> </w:t>
      </w:r>
      <w:r w:rsidR="0020190A" w:rsidRPr="00A32CC2">
        <w:t>on</w:t>
      </w:r>
      <w:r w:rsidR="007D72F3" w:rsidRPr="00A32CC2">
        <w:t xml:space="preserve"> 1 </w:t>
      </w:r>
      <w:r w:rsidR="00380FF3" w:rsidRPr="00A32CC2">
        <w:t xml:space="preserve">July </w:t>
      </w:r>
      <w:r w:rsidR="00896DBC" w:rsidRPr="00A32CC2">
        <w:t>20</w:t>
      </w:r>
      <w:r w:rsidR="00CD5165">
        <w:t>2</w:t>
      </w:r>
      <w:r w:rsidR="00673B7A">
        <w:t>3</w:t>
      </w:r>
      <w:r w:rsidR="00EE7426" w:rsidRPr="00A32CC2">
        <w:t>)</w:t>
      </w:r>
      <w:r w:rsidR="007A4970" w:rsidRPr="00A32CC2">
        <w:t>.</w:t>
      </w:r>
      <w:r w:rsidR="001015F3" w:rsidRPr="00A32CC2">
        <w:t xml:space="preserve"> </w:t>
      </w:r>
    </w:p>
    <w:p w14:paraId="0883F59B" w14:textId="0D6C0A24" w:rsidR="00C11250" w:rsidRPr="00A32CC2" w:rsidRDefault="007232A0">
      <w:pPr>
        <w:pStyle w:val="Heading2"/>
        <w:spacing w:before="120" w:after="60"/>
        <w:rPr>
          <w:b w:val="0"/>
          <w:i/>
        </w:rPr>
      </w:pPr>
      <w:r w:rsidRPr="00A32CC2">
        <w:rPr>
          <w:b w:val="0"/>
          <w:i/>
        </w:rPr>
        <w:t>Chief Justice of the Supreme Court</w:t>
      </w:r>
    </w:p>
    <w:p w14:paraId="4971DE3A" w14:textId="10C2E709" w:rsidR="00FA7ED7" w:rsidRPr="00A32CC2" w:rsidRDefault="00DF1C00" w:rsidP="00A01167">
      <w:pPr>
        <w:spacing w:before="120" w:after="240"/>
        <w:ind w:left="567" w:hanging="567"/>
      </w:pPr>
      <w:r w:rsidRPr="00A32CC2">
        <w:t>2.2</w:t>
      </w:r>
      <w:r w:rsidR="00A01167" w:rsidRPr="00A32CC2">
        <w:tab/>
      </w:r>
      <w:r w:rsidR="007A4970" w:rsidRPr="00A32CC2">
        <w:t>The Chief Justice of the Supreme Court is entitled to an allowance</w:t>
      </w:r>
      <w:r w:rsidR="0081643F" w:rsidRPr="00A32CC2">
        <w:t xml:space="preserve"> of </w:t>
      </w:r>
      <w:r w:rsidR="00896DBC" w:rsidRPr="00A32CC2">
        <w:t>$</w:t>
      </w:r>
      <w:r w:rsidR="00673B7A">
        <w:t>50,014</w:t>
      </w:r>
      <w:r w:rsidR="00896DBC" w:rsidRPr="00A32CC2">
        <w:t xml:space="preserve"> </w:t>
      </w:r>
      <w:r w:rsidR="00267E35" w:rsidRPr="00A32CC2">
        <w:t xml:space="preserve">per annum </w:t>
      </w:r>
      <w:r w:rsidR="003B1FF4" w:rsidRPr="00A32CC2">
        <w:t>in addition to the benchmark</w:t>
      </w:r>
      <w:r w:rsidR="0081643F" w:rsidRPr="00A32CC2">
        <w:t>.</w:t>
      </w:r>
      <w:r w:rsidR="007A4970" w:rsidRPr="00A32CC2">
        <w:t xml:space="preserve"> </w:t>
      </w:r>
    </w:p>
    <w:p w14:paraId="51C031A1" w14:textId="3E1463B8" w:rsidR="00C11250" w:rsidRPr="009D58BF" w:rsidRDefault="003C3D49">
      <w:pPr>
        <w:pStyle w:val="Heading2"/>
        <w:spacing w:before="120" w:after="60"/>
        <w:rPr>
          <w:b w:val="0"/>
          <w:i/>
        </w:rPr>
      </w:pPr>
      <w:r w:rsidRPr="009D58BF">
        <w:rPr>
          <w:b w:val="0"/>
          <w:i/>
        </w:rPr>
        <w:t>Acting Judge</w:t>
      </w:r>
    </w:p>
    <w:p w14:paraId="15A4F2EC" w14:textId="7F2BFC6A" w:rsidR="001A4B4B" w:rsidRPr="00BE19DF" w:rsidRDefault="00DF1C00" w:rsidP="001A4B4B">
      <w:pPr>
        <w:spacing w:before="120" w:after="120"/>
        <w:ind w:left="567" w:hanging="567"/>
      </w:pPr>
      <w:r w:rsidRPr="009D58BF">
        <w:t>2.</w:t>
      </w:r>
      <w:r w:rsidR="00673B7A">
        <w:t>3</w:t>
      </w:r>
      <w:r w:rsidR="00A01167" w:rsidRPr="009D58BF">
        <w:tab/>
      </w:r>
      <w:r w:rsidR="00132A9D" w:rsidRPr="009D58BF">
        <w:t>If a</w:t>
      </w:r>
      <w:r w:rsidR="00093D63" w:rsidRPr="009D58BF">
        <w:t>n A</w:t>
      </w:r>
      <w:r w:rsidR="003C3D49" w:rsidRPr="009D58BF">
        <w:t>cting Judge</w:t>
      </w:r>
      <w:r w:rsidR="0018324E">
        <w:t xml:space="preserve"> </w:t>
      </w:r>
      <w:r w:rsidR="00132A9D" w:rsidRPr="00BE19DF">
        <w:t xml:space="preserve">undertakes judicial duties for </w:t>
      </w:r>
      <w:r w:rsidR="00D738C1" w:rsidRPr="00BE19DF">
        <w:t>3</w:t>
      </w:r>
      <w:r w:rsidR="00132A9D" w:rsidRPr="00BE19DF">
        <w:t xml:space="preserve"> hours or more on any given day, they are</w:t>
      </w:r>
      <w:r w:rsidR="003C3D49" w:rsidRPr="00BE19DF">
        <w:t xml:space="preserve"> entitled to</w:t>
      </w:r>
      <w:r w:rsidR="00132A9D" w:rsidRPr="00BE19DF">
        <w:t xml:space="preserve"> the daily remuneration calculated at the rate of</w:t>
      </w:r>
      <w:r w:rsidR="003C3D49" w:rsidRPr="00BE19DF">
        <w:t xml:space="preserve"> 1/230 of the </w:t>
      </w:r>
      <w:r w:rsidR="00267E35" w:rsidRPr="00BE19DF">
        <w:t xml:space="preserve">annual </w:t>
      </w:r>
      <w:r w:rsidR="003C3D49" w:rsidRPr="00BE19DF">
        <w:t>remuneration paid</w:t>
      </w:r>
      <w:r w:rsidR="008035CE" w:rsidRPr="00BE19DF">
        <w:t>, from time to time,</w:t>
      </w:r>
      <w:r w:rsidR="003C3D49" w:rsidRPr="00BE19DF">
        <w:t xml:space="preserve"> to a judge of the ACT Supreme Court.</w:t>
      </w:r>
      <w:r w:rsidR="001A4B4B" w:rsidRPr="00BE19DF">
        <w:rPr>
          <w:szCs w:val="24"/>
        </w:rPr>
        <w:t xml:space="preserve"> </w:t>
      </w:r>
    </w:p>
    <w:p w14:paraId="1804DA79" w14:textId="53CEC8A4" w:rsidR="00227441" w:rsidRPr="00BE19DF" w:rsidRDefault="001A4B4B" w:rsidP="00227441">
      <w:pPr>
        <w:spacing w:before="120" w:after="120"/>
        <w:ind w:left="567" w:hanging="567"/>
      </w:pPr>
      <w:r w:rsidRPr="00BE19DF">
        <w:t>2.</w:t>
      </w:r>
      <w:r w:rsidR="00673B7A">
        <w:t>4</w:t>
      </w:r>
      <w:r w:rsidRPr="00BE19DF">
        <w:tab/>
        <w:t>If an Acting Judge</w:t>
      </w:r>
      <w:r w:rsidR="0018324E" w:rsidRPr="00BE19DF">
        <w:t xml:space="preserve"> </w:t>
      </w:r>
      <w:r w:rsidRPr="00BE19DF">
        <w:t xml:space="preserve">undertakes judicial duties for </w:t>
      </w:r>
      <w:r w:rsidR="00D111E9" w:rsidRPr="00BE19DF">
        <w:t xml:space="preserve">fewer than </w:t>
      </w:r>
      <w:r w:rsidR="00D738C1" w:rsidRPr="00BE19DF">
        <w:t>3</w:t>
      </w:r>
      <w:r w:rsidRPr="00BE19DF">
        <w:t xml:space="preserve"> hours</w:t>
      </w:r>
      <w:r w:rsidR="00D111E9" w:rsidRPr="00BE19DF">
        <w:t xml:space="preserve"> on any given day</w:t>
      </w:r>
      <w:r w:rsidRPr="00BE19DF">
        <w:t xml:space="preserve">, they are entitled to </w:t>
      </w:r>
      <w:r w:rsidR="007C14CA" w:rsidRPr="00BE19DF">
        <w:t>half</w:t>
      </w:r>
      <w:r w:rsidRPr="00BE19DF">
        <w:t xml:space="preserve"> of the daily remuneration rate.</w:t>
      </w:r>
      <w:r w:rsidR="00227441" w:rsidRPr="00BE19DF">
        <w:t xml:space="preserve"> </w:t>
      </w:r>
    </w:p>
    <w:p w14:paraId="2192E5BE" w14:textId="7567A2F2" w:rsidR="00227441" w:rsidRPr="00880986" w:rsidRDefault="000047DF" w:rsidP="00880986">
      <w:pPr>
        <w:spacing w:before="120" w:after="120"/>
        <w:ind w:left="567" w:hanging="567"/>
        <w:rPr>
          <w:color w:val="000000" w:themeColor="text1"/>
        </w:rPr>
      </w:pPr>
      <w:r w:rsidRPr="00BE19DF">
        <w:rPr>
          <w:color w:val="000000" w:themeColor="text1"/>
        </w:rPr>
        <w:t>2.</w:t>
      </w:r>
      <w:r w:rsidR="00673B7A">
        <w:rPr>
          <w:color w:val="000000" w:themeColor="text1"/>
        </w:rPr>
        <w:t>5</w:t>
      </w:r>
      <w:r w:rsidRPr="00BE19DF">
        <w:rPr>
          <w:color w:val="000000" w:themeColor="text1"/>
        </w:rPr>
        <w:tab/>
        <w:t>In any 12</w:t>
      </w:r>
      <w:r w:rsidR="00673B7A">
        <w:rPr>
          <w:color w:val="000000" w:themeColor="text1"/>
        </w:rPr>
        <w:t>-</w:t>
      </w:r>
      <w:r w:rsidRPr="00BE19DF">
        <w:rPr>
          <w:color w:val="000000" w:themeColor="text1"/>
        </w:rPr>
        <w:t>month period, total remuneration paid to an Acting judge must not exceed that paid to a judge of the ACT Supreme Court.</w:t>
      </w:r>
    </w:p>
    <w:p w14:paraId="61A88A2E" w14:textId="0F7D730F" w:rsidR="00D111E9" w:rsidRPr="009D58BF" w:rsidRDefault="001A4B4B" w:rsidP="001A4B4B">
      <w:pPr>
        <w:spacing w:before="120" w:after="240"/>
        <w:ind w:left="567" w:hanging="567"/>
        <w:rPr>
          <w:szCs w:val="24"/>
        </w:rPr>
      </w:pPr>
      <w:r w:rsidRPr="009D58BF">
        <w:rPr>
          <w:szCs w:val="24"/>
        </w:rPr>
        <w:t>2.</w:t>
      </w:r>
      <w:r w:rsidR="00673B7A">
        <w:rPr>
          <w:szCs w:val="24"/>
        </w:rPr>
        <w:t>6</w:t>
      </w:r>
      <w:r w:rsidRPr="009D58BF">
        <w:rPr>
          <w:szCs w:val="24"/>
        </w:rPr>
        <w:tab/>
      </w:r>
      <w:r w:rsidR="00D111E9" w:rsidRPr="009D58BF">
        <w:rPr>
          <w:szCs w:val="24"/>
        </w:rPr>
        <w:t xml:space="preserve">The Chief Justice may include reasonable travelling time other than for travel between the person’s home and principal place of work in the number of hours </w:t>
      </w:r>
      <w:proofErr w:type="gramStart"/>
      <w:r w:rsidR="00D111E9" w:rsidRPr="009D58BF">
        <w:rPr>
          <w:szCs w:val="24"/>
        </w:rPr>
        <w:t>in a given</w:t>
      </w:r>
      <w:proofErr w:type="gramEnd"/>
      <w:r w:rsidR="00D111E9" w:rsidRPr="009D58BF">
        <w:rPr>
          <w:szCs w:val="24"/>
        </w:rPr>
        <w:t xml:space="preserve"> day in which the Chief Justice determines that the Acting Judge has undertaken judicial duties. </w:t>
      </w:r>
    </w:p>
    <w:p w14:paraId="1D3FA8BC" w14:textId="4549F0C7" w:rsidR="001A4B4B" w:rsidRPr="009D58BF" w:rsidRDefault="00D111E9" w:rsidP="001A4B4B">
      <w:pPr>
        <w:spacing w:before="120" w:after="240"/>
        <w:ind w:left="567" w:hanging="567"/>
      </w:pPr>
      <w:r w:rsidRPr="009D58BF">
        <w:t>2.</w:t>
      </w:r>
      <w:r w:rsidR="00673B7A">
        <w:t>7</w:t>
      </w:r>
      <w:r w:rsidRPr="009D58BF">
        <w:tab/>
      </w:r>
      <w:r w:rsidR="001A4B4B" w:rsidRPr="009D58BF">
        <w:rPr>
          <w:b/>
          <w:bCs/>
        </w:rPr>
        <w:t>Judicial duties</w:t>
      </w:r>
      <w:r w:rsidR="001A4B4B" w:rsidRPr="009D58BF">
        <w:t xml:space="preserve"> </w:t>
      </w:r>
      <w:proofErr w:type="gramStart"/>
      <w:r w:rsidR="001A4B4B" w:rsidRPr="009D58BF">
        <w:t>includes</w:t>
      </w:r>
      <w:proofErr w:type="gramEnd"/>
      <w:r w:rsidR="001A4B4B" w:rsidRPr="009D58BF">
        <w:t xml:space="preserve"> the following:</w:t>
      </w:r>
    </w:p>
    <w:p w14:paraId="2E38EC7F" w14:textId="4F182B59"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 xml:space="preserve">court sitting time, as listed by the Chief </w:t>
      </w:r>
      <w:proofErr w:type="gramStart"/>
      <w:r w:rsidRPr="009D58BF">
        <w:rPr>
          <w:szCs w:val="24"/>
        </w:rPr>
        <w:t>Justice;</w:t>
      </w:r>
      <w:proofErr w:type="gramEnd"/>
    </w:p>
    <w:p w14:paraId="58D58074" w14:textId="26DB0395"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 xml:space="preserve">preparation, decision writing and judicial education approved by the </w:t>
      </w:r>
      <w:r w:rsidRPr="009D58BF">
        <w:rPr>
          <w:szCs w:val="24"/>
        </w:rPr>
        <w:br/>
        <w:t>Chief Justice;</w:t>
      </w:r>
      <w:r w:rsidR="00E71600" w:rsidRPr="009D58BF">
        <w:rPr>
          <w:szCs w:val="24"/>
        </w:rPr>
        <w:t xml:space="preserve"> and</w:t>
      </w:r>
    </w:p>
    <w:p w14:paraId="11ADC473" w14:textId="5FF93F6D" w:rsidR="001A4B4B" w:rsidRPr="009D58BF" w:rsidRDefault="001A4B4B" w:rsidP="001A4B4B">
      <w:pPr>
        <w:pStyle w:val="ColorfulList-Accent11"/>
        <w:spacing w:before="120" w:after="60"/>
        <w:ind w:left="1134" w:hanging="425"/>
        <w:rPr>
          <w:szCs w:val="24"/>
        </w:rPr>
      </w:pPr>
      <w:r w:rsidRPr="009D58BF">
        <w:rPr>
          <w:szCs w:val="24"/>
        </w:rPr>
        <w:lastRenderedPageBreak/>
        <w:t>•</w:t>
      </w:r>
      <w:r w:rsidRPr="009D58BF">
        <w:rPr>
          <w:szCs w:val="24"/>
        </w:rPr>
        <w:tab/>
        <w:t>reasonable travelling time other than for travel between the person’s home and principal place of work.</w:t>
      </w:r>
    </w:p>
    <w:p w14:paraId="72F0F4ED" w14:textId="058639CA" w:rsidR="00C11250" w:rsidRPr="00E82586" w:rsidRDefault="002675E9" w:rsidP="00E82586">
      <w:pPr>
        <w:spacing w:before="120" w:after="240"/>
        <w:ind w:left="567" w:hanging="567"/>
        <w:rPr>
          <w:color w:val="000000" w:themeColor="text1"/>
        </w:rPr>
      </w:pPr>
      <w:r w:rsidRPr="00C260A8">
        <w:rPr>
          <w:color w:val="000000" w:themeColor="text1"/>
        </w:rPr>
        <w:t>2.</w:t>
      </w:r>
      <w:r w:rsidR="00673B7A">
        <w:rPr>
          <w:color w:val="000000" w:themeColor="text1"/>
        </w:rPr>
        <w:t>8</w:t>
      </w:r>
      <w:r w:rsidRPr="00C260A8">
        <w:rPr>
          <w:color w:val="000000" w:themeColor="text1"/>
        </w:rPr>
        <w:tab/>
      </w:r>
      <w:r w:rsidR="00FC43A1" w:rsidRPr="00C260A8">
        <w:rPr>
          <w:color w:val="000000" w:themeColor="text1"/>
        </w:rPr>
        <w:t>An</w:t>
      </w:r>
      <w:r w:rsidR="00AA4CC9" w:rsidRPr="00C260A8">
        <w:rPr>
          <w:color w:val="000000" w:themeColor="text1"/>
        </w:rPr>
        <w:t xml:space="preserve"> Acting Judge is entitled to </w:t>
      </w:r>
      <w:r w:rsidR="00FC43A1" w:rsidRPr="00C260A8">
        <w:rPr>
          <w:color w:val="000000" w:themeColor="text1"/>
        </w:rPr>
        <w:t>an</w:t>
      </w:r>
      <w:r w:rsidR="00AA4CC9" w:rsidRPr="00C260A8">
        <w:rPr>
          <w:color w:val="000000" w:themeColor="text1"/>
        </w:rPr>
        <w:t xml:space="preserve"> allowance in lieu of a vehicle equal to the amount of reimbursement for private vehicle running costs that applies</w:t>
      </w:r>
      <w:r w:rsidR="002D2BD0" w:rsidRPr="00C260A8">
        <w:rPr>
          <w:color w:val="000000" w:themeColor="text1"/>
        </w:rPr>
        <w:t xml:space="preserve"> to Federal Court Judges, as determined by the Commonwealth Remuneration</w:t>
      </w:r>
      <w:r w:rsidR="001F14B4" w:rsidRPr="00C260A8">
        <w:rPr>
          <w:color w:val="000000" w:themeColor="text1"/>
        </w:rPr>
        <w:t xml:space="preserve"> Tribunal, from time to time</w:t>
      </w:r>
      <w:r w:rsidRPr="00C260A8">
        <w:rPr>
          <w:color w:val="000000" w:themeColor="text1"/>
        </w:rPr>
        <w:t>.</w:t>
      </w:r>
      <w:r w:rsidR="00AA4CC9" w:rsidRPr="00C260A8">
        <w:rPr>
          <w:color w:val="000000" w:themeColor="text1"/>
        </w:rPr>
        <w:t xml:space="preserve"> This allowance is </w:t>
      </w:r>
      <w:r w:rsidR="00FC43A1" w:rsidRPr="00C260A8">
        <w:rPr>
          <w:color w:val="000000" w:themeColor="text1"/>
        </w:rPr>
        <w:t xml:space="preserve">paid pro-rata for the period of the appointment and is </w:t>
      </w:r>
      <w:r w:rsidR="00AA4CC9" w:rsidRPr="00C260A8">
        <w:rPr>
          <w:color w:val="000000" w:themeColor="text1"/>
        </w:rPr>
        <w:t>not superable.</w:t>
      </w:r>
    </w:p>
    <w:p w14:paraId="4E34DBDF" w14:textId="6B0B46AC" w:rsidR="00512B39" w:rsidRPr="00A32CC2" w:rsidRDefault="00673B7A" w:rsidP="00512B39">
      <w:pPr>
        <w:pStyle w:val="Heading2"/>
        <w:spacing w:before="120" w:after="60"/>
      </w:pPr>
      <w:r>
        <w:t>3</w:t>
      </w:r>
      <w:r w:rsidR="00512B39" w:rsidRPr="00A32CC2">
        <w:t xml:space="preserve">. Travelling Allowance for an Acting Judge — within and outside Australia </w:t>
      </w:r>
    </w:p>
    <w:p w14:paraId="5CE3DAAB" w14:textId="6F588AC2" w:rsidR="00512B39" w:rsidRDefault="00673B7A" w:rsidP="00512B39">
      <w:pPr>
        <w:tabs>
          <w:tab w:val="left" w:pos="426"/>
        </w:tabs>
        <w:spacing w:before="120" w:after="120"/>
        <w:ind w:left="425" w:hanging="425"/>
      </w:pPr>
      <w:r>
        <w:t>3</w:t>
      </w:r>
      <w:r w:rsidR="00512B39" w:rsidRPr="00A32CC2">
        <w:t xml:space="preserve">.1 </w:t>
      </w:r>
      <w:r w:rsidR="00512B39" w:rsidRPr="00A32CC2">
        <w:tab/>
        <w:t xml:space="preserve">An Acting Judge of the Supreme Court </w:t>
      </w:r>
      <w:r w:rsidR="00A32CC2">
        <w:t>is</w:t>
      </w:r>
      <w:r w:rsidR="00A32CC2" w:rsidRPr="00A32CC2">
        <w:t xml:space="preserve"> </w:t>
      </w:r>
      <w:r w:rsidR="00512B39" w:rsidRPr="00A32CC2">
        <w:t>entitled to the same travelling allowance provisions as for other ACT Supreme Court Judges (being those of a Judge of the Federal Court of Australia), which are outlined in Commonwealth Remuneration Tribunal Determinations for Judicial and Related Offices, issued from time to time.</w:t>
      </w:r>
    </w:p>
    <w:p w14:paraId="43872E9D" w14:textId="614295D9" w:rsidR="00DF1C00" w:rsidRPr="00A32CC2" w:rsidRDefault="00673B7A" w:rsidP="00DF1C00">
      <w:pPr>
        <w:pStyle w:val="Heading2"/>
        <w:spacing w:before="120" w:after="60"/>
      </w:pPr>
      <w:r>
        <w:t>4</w:t>
      </w:r>
      <w:r w:rsidR="00DF1C00" w:rsidRPr="00A32CC2">
        <w:t xml:space="preserve">. </w:t>
      </w:r>
      <w:r w:rsidR="004F5CE6" w:rsidRPr="00A32CC2">
        <w:t>Employer s</w:t>
      </w:r>
      <w:r w:rsidR="00A01167" w:rsidRPr="00A32CC2">
        <w:t xml:space="preserve">uperannuation </w:t>
      </w:r>
      <w:r w:rsidR="004F5CE6" w:rsidRPr="00A32CC2">
        <w:t xml:space="preserve">contribution – </w:t>
      </w:r>
      <w:r w:rsidR="00A01167" w:rsidRPr="00A32CC2">
        <w:t xml:space="preserve">Acting Judge </w:t>
      </w:r>
      <w:r w:rsidR="00DF1C00" w:rsidRPr="00A32CC2">
        <w:t xml:space="preserve"> </w:t>
      </w:r>
    </w:p>
    <w:p w14:paraId="34141095" w14:textId="25A4D013" w:rsidR="00DF1C00" w:rsidRPr="00A32CC2" w:rsidRDefault="00673B7A" w:rsidP="00CD118B">
      <w:pPr>
        <w:spacing w:before="120" w:after="60"/>
        <w:ind w:left="426" w:hanging="426"/>
      </w:pPr>
      <w:r>
        <w:t>4</w:t>
      </w:r>
      <w:r w:rsidR="00DF1C00" w:rsidRPr="00A32CC2">
        <w:t xml:space="preserve">.1 </w:t>
      </w:r>
      <w:r w:rsidR="00270450" w:rsidRPr="00A32CC2">
        <w:t>A</w:t>
      </w:r>
      <w:r w:rsidR="00DF1C00" w:rsidRPr="00A32CC2">
        <w:t xml:space="preserve">n Acting Judge of the Supreme Court </w:t>
      </w:r>
      <w:r w:rsidR="004F5CE6" w:rsidRPr="00A32CC2">
        <w:t>is only eligible for the employer’s superannuation contribution in this determination if their superannuation entitlements are not provided for elsewhere.</w:t>
      </w:r>
    </w:p>
    <w:p w14:paraId="08EB2ED1" w14:textId="77777777" w:rsidR="00673B7A" w:rsidRPr="0015355F" w:rsidRDefault="00673B7A" w:rsidP="00673B7A">
      <w:pPr>
        <w:pStyle w:val="ColorfulList-Accent11"/>
        <w:tabs>
          <w:tab w:val="left" w:pos="426"/>
        </w:tabs>
        <w:spacing w:before="120" w:after="60"/>
        <w:ind w:left="426" w:hanging="426"/>
        <w:rPr>
          <w:color w:val="000000" w:themeColor="text1"/>
        </w:rPr>
      </w:pPr>
      <w:r>
        <w:t>4</w:t>
      </w:r>
      <w:r w:rsidRPr="00A32CC2">
        <w:t xml:space="preserve">.2 </w:t>
      </w:r>
      <w:r>
        <w:t xml:space="preserve">  </w:t>
      </w:r>
      <w:r w:rsidRPr="00BA31FA">
        <w:rPr>
          <w:szCs w:val="24"/>
        </w:rPr>
        <w:t xml:space="preserve">Superannuation entitlements for </w:t>
      </w:r>
      <w:r>
        <w:rPr>
          <w:szCs w:val="24"/>
        </w:rPr>
        <w:t>an Acting Judge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1A22453B" w14:textId="4DC45D1B" w:rsidR="001721BE" w:rsidRPr="00E82586" w:rsidRDefault="00673B7A" w:rsidP="00E82586">
      <w:pPr>
        <w:pStyle w:val="ColorfulList-Accent11"/>
        <w:tabs>
          <w:tab w:val="left" w:pos="426"/>
        </w:tabs>
        <w:spacing w:before="120" w:after="240"/>
        <w:ind w:left="425" w:hanging="425"/>
      </w:pPr>
      <w:r>
        <w:t>4.3</w:t>
      </w:r>
      <w:r w:rsidRPr="00A32CC2">
        <w:t xml:space="preserve"> </w:t>
      </w:r>
      <w:r w:rsidRPr="00A32CC2">
        <w:tab/>
        <w:t>The value of the employer’s superannuation contribution must not be paid in cash to the person appointed to an office in clause 2 of this Determination.</w:t>
      </w:r>
    </w:p>
    <w:p w14:paraId="005594E6" w14:textId="7DA017B0" w:rsidR="00C11250" w:rsidRDefault="00673B7A" w:rsidP="00A01167">
      <w:pPr>
        <w:pStyle w:val="Heading2"/>
        <w:spacing w:before="240" w:after="60"/>
      </w:pPr>
      <w:r>
        <w:t>5</w:t>
      </w:r>
      <w:r w:rsidR="003C3D49" w:rsidRPr="003C3D49">
        <w:t>. Definitions</w:t>
      </w:r>
    </w:p>
    <w:p w14:paraId="6E3DF1E0" w14:textId="545CE70A" w:rsidR="00C11250" w:rsidRDefault="00673B7A" w:rsidP="00FB05AF">
      <w:pPr>
        <w:tabs>
          <w:tab w:val="left" w:pos="567"/>
        </w:tabs>
        <w:spacing w:before="120" w:after="60"/>
        <w:ind w:left="567" w:hanging="567"/>
      </w:pPr>
      <w:r>
        <w:t>5</w:t>
      </w:r>
      <w:r w:rsidR="003C3D49">
        <w:t xml:space="preserve">.1 </w:t>
      </w:r>
      <w:r w:rsidR="00CB08BF">
        <w:tab/>
      </w:r>
      <w:r w:rsidR="003C3D49" w:rsidRPr="003C3D49">
        <w:t>In this Determination:</w:t>
      </w:r>
    </w:p>
    <w:p w14:paraId="597512AA" w14:textId="18C4ABD5" w:rsidR="00C11250" w:rsidRDefault="003C3D49">
      <w:pPr>
        <w:spacing w:before="120" w:after="60"/>
        <w:ind w:left="720"/>
        <w:rPr>
          <w:b/>
        </w:rPr>
      </w:pPr>
      <w:r w:rsidRPr="00FB05AF">
        <w:rPr>
          <w:b/>
          <w:i/>
        </w:rPr>
        <w:t>employer</w:t>
      </w:r>
      <w:r w:rsidRPr="003C3D49">
        <w:t xml:space="preserve"> means the Australian Capital Territory and includes any person authorised to act on behalf of the Australian Capital Territory.</w:t>
      </w:r>
    </w:p>
    <w:p w14:paraId="7B59E862" w14:textId="5004C03E" w:rsidR="00C11250" w:rsidRDefault="003C3D49" w:rsidP="008D5DF4">
      <w:pPr>
        <w:spacing w:before="120" w:after="60"/>
        <w:ind w:left="720"/>
      </w:pPr>
      <w:r w:rsidRPr="00FB05AF">
        <w:rPr>
          <w:b/>
          <w:i/>
        </w:rPr>
        <w:t>fringe benefits tax</w:t>
      </w:r>
      <w:r w:rsidRPr="003C3D49">
        <w:t xml:space="preserve"> means the tax assessed under the </w:t>
      </w:r>
      <w:r w:rsidRPr="00267E35">
        <w:rPr>
          <w:i/>
        </w:rPr>
        <w:t>Fringe Benefits Tax Assessment Act 1986</w:t>
      </w:r>
      <w:r w:rsidRPr="003C3D49">
        <w:t>.</w:t>
      </w:r>
    </w:p>
    <w:p w14:paraId="61C00F68" w14:textId="702907FE" w:rsidR="00C11250" w:rsidRDefault="00673B7A" w:rsidP="00A01167">
      <w:pPr>
        <w:pStyle w:val="Heading2"/>
        <w:spacing w:before="240" w:after="60"/>
      </w:pPr>
      <w:r>
        <w:t>6</w:t>
      </w:r>
      <w:r w:rsidR="00AD7BB4" w:rsidRPr="007F3DA2">
        <w:t xml:space="preserve">. </w:t>
      </w:r>
      <w:r w:rsidR="00AD7BB4">
        <w:t>Revocation of previous determination</w:t>
      </w:r>
    </w:p>
    <w:p w14:paraId="316534BA" w14:textId="27A5D058" w:rsidR="00227441" w:rsidRDefault="00673B7A" w:rsidP="009216A4">
      <w:pPr>
        <w:tabs>
          <w:tab w:val="left" w:pos="567"/>
        </w:tabs>
        <w:spacing w:before="120" w:after="60"/>
        <w:ind w:left="567" w:hanging="567"/>
      </w:pPr>
      <w:r>
        <w:t>6</w:t>
      </w:r>
      <w:r w:rsidR="009216A4" w:rsidRPr="009D58BF">
        <w:t>.1</w:t>
      </w:r>
      <w:r w:rsidR="002F757A" w:rsidRPr="009D58BF">
        <w:tab/>
      </w:r>
      <w:r w:rsidR="00227441">
        <w:t xml:space="preserve">Determination </w:t>
      </w:r>
      <w:r>
        <w:t>14</w:t>
      </w:r>
      <w:r w:rsidR="00227441">
        <w:t xml:space="preserve"> of 202</w:t>
      </w:r>
      <w:r>
        <w:t>2</w:t>
      </w:r>
      <w:r w:rsidR="00227441">
        <w:t xml:space="preserve"> is revoked. </w:t>
      </w:r>
    </w:p>
    <w:p w14:paraId="4556BBE3" w14:textId="00CF720E" w:rsidR="000F5A54" w:rsidRDefault="000F5A54" w:rsidP="009216A4">
      <w:pPr>
        <w:tabs>
          <w:tab w:val="left" w:pos="567"/>
        </w:tabs>
        <w:spacing w:before="120" w:after="60"/>
        <w:ind w:left="567" w:hanging="567"/>
      </w:pPr>
    </w:p>
    <w:p w14:paraId="7A876342" w14:textId="77777777" w:rsidR="000F5A54" w:rsidRDefault="000F5A54" w:rsidP="009216A4">
      <w:pPr>
        <w:tabs>
          <w:tab w:val="left" w:pos="567"/>
        </w:tabs>
        <w:spacing w:before="120" w:after="60"/>
        <w:ind w:left="567" w:hanging="567"/>
      </w:pPr>
    </w:p>
    <w:p w14:paraId="5F2733DE" w14:textId="77777777" w:rsidR="000F5A54" w:rsidRDefault="000F5A54" w:rsidP="009216A4">
      <w:pPr>
        <w:tabs>
          <w:tab w:val="left" w:pos="567"/>
        </w:tabs>
        <w:spacing w:before="120" w:after="60"/>
        <w:ind w:left="567" w:hanging="567"/>
      </w:pPr>
    </w:p>
    <w:p w14:paraId="09FB78F8" w14:textId="77777777" w:rsidR="000F5A54" w:rsidRDefault="000F5A54" w:rsidP="009216A4">
      <w:pPr>
        <w:tabs>
          <w:tab w:val="left" w:pos="567"/>
        </w:tabs>
        <w:spacing w:before="120" w:after="60"/>
        <w:ind w:left="567" w:hanging="567"/>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340"/>
      </w:tblGrid>
      <w:tr w:rsidR="000F5A54" w14:paraId="521AFCA0" w14:textId="77777777" w:rsidTr="002E5490">
        <w:trPr>
          <w:trHeight w:val="2117"/>
        </w:trPr>
        <w:tc>
          <w:tcPr>
            <w:tcW w:w="4682" w:type="dxa"/>
          </w:tcPr>
          <w:p w14:paraId="72C419B6" w14:textId="77777777" w:rsidR="002E5490" w:rsidRDefault="002E5490" w:rsidP="000F5A54">
            <w:pPr>
              <w:tabs>
                <w:tab w:val="left" w:pos="4253"/>
                <w:tab w:val="left" w:pos="7230"/>
                <w:tab w:val="left" w:leader="dot" w:pos="8222"/>
              </w:tabs>
              <w:rPr>
                <w:szCs w:val="24"/>
              </w:rPr>
            </w:pPr>
          </w:p>
          <w:p w14:paraId="7D5FE0F6" w14:textId="77777777" w:rsidR="002E5490" w:rsidRDefault="002E5490" w:rsidP="000F5A54">
            <w:pPr>
              <w:tabs>
                <w:tab w:val="left" w:pos="4253"/>
                <w:tab w:val="left" w:pos="7230"/>
                <w:tab w:val="left" w:leader="dot" w:pos="8222"/>
              </w:tabs>
              <w:rPr>
                <w:szCs w:val="24"/>
              </w:rPr>
            </w:pPr>
          </w:p>
          <w:p w14:paraId="12FE57AA" w14:textId="681B60DD" w:rsidR="000F5A54" w:rsidRPr="000F41B0" w:rsidRDefault="000F5A54" w:rsidP="000F5A54">
            <w:pPr>
              <w:tabs>
                <w:tab w:val="left" w:pos="4253"/>
                <w:tab w:val="left" w:pos="7230"/>
                <w:tab w:val="left" w:leader="dot" w:pos="8222"/>
              </w:tabs>
              <w:rPr>
                <w:szCs w:val="24"/>
              </w:rPr>
            </w:pPr>
            <w:r>
              <w:rPr>
                <w:szCs w:val="24"/>
              </w:rPr>
              <w:t>Ms Sandra Lambert AM</w:t>
            </w:r>
            <w:r w:rsidRPr="000F41B0">
              <w:rPr>
                <w:szCs w:val="24"/>
              </w:rPr>
              <w:tab/>
            </w:r>
          </w:p>
          <w:p w14:paraId="4275CDC7" w14:textId="77777777" w:rsidR="000F5A54" w:rsidRPr="000F41B0" w:rsidRDefault="000F5A54" w:rsidP="000F5A54">
            <w:pPr>
              <w:tabs>
                <w:tab w:val="left" w:pos="7230"/>
              </w:tabs>
              <w:rPr>
                <w:szCs w:val="24"/>
              </w:rPr>
            </w:pPr>
            <w:r w:rsidRPr="000F41B0">
              <w:rPr>
                <w:szCs w:val="24"/>
              </w:rPr>
              <w:t>Chair</w:t>
            </w:r>
          </w:p>
          <w:p w14:paraId="60329F99" w14:textId="12FA1088" w:rsidR="000F5A54" w:rsidRDefault="000F5A54" w:rsidP="009216A4">
            <w:pPr>
              <w:tabs>
                <w:tab w:val="left" w:pos="567"/>
              </w:tabs>
              <w:spacing w:before="120" w:after="60"/>
            </w:pPr>
          </w:p>
        </w:tc>
        <w:tc>
          <w:tcPr>
            <w:tcW w:w="4340" w:type="dxa"/>
          </w:tcPr>
          <w:p w14:paraId="1121A09A" w14:textId="274733CB" w:rsidR="000F5A54" w:rsidRDefault="000F5A54" w:rsidP="009216A4">
            <w:pPr>
              <w:tabs>
                <w:tab w:val="left" w:pos="567"/>
              </w:tabs>
              <w:spacing w:before="120" w:after="60"/>
            </w:pPr>
            <w:r>
              <w:rPr>
                <w:noProof/>
              </w:rPr>
              <w:drawing>
                <wp:anchor distT="0" distB="0" distL="114300" distR="114300" simplePos="0" relativeHeight="251664384" behindDoc="0" locked="0" layoutInCell="1" allowOverlap="1" wp14:anchorId="0A3E985B" wp14:editId="578E0BDB">
                  <wp:simplePos x="0" y="0"/>
                  <wp:positionH relativeFrom="column">
                    <wp:posOffset>196215</wp:posOffset>
                  </wp:positionH>
                  <wp:positionV relativeFrom="paragraph">
                    <wp:posOffset>164465</wp:posOffset>
                  </wp:positionV>
                  <wp:extent cx="2137790" cy="1028700"/>
                  <wp:effectExtent l="0" t="0" r="0" b="0"/>
                  <wp:wrapSquare wrapText="bothSides"/>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0"/>
                          <a:stretch>
                            <a:fillRect/>
                          </a:stretch>
                        </pic:blipFill>
                        <pic:spPr>
                          <a:xfrm>
                            <a:off x="0" y="0"/>
                            <a:ext cx="2137790" cy="1028700"/>
                          </a:xfrm>
                          <a:prstGeom prst="rect">
                            <a:avLst/>
                          </a:prstGeom>
                        </pic:spPr>
                      </pic:pic>
                    </a:graphicData>
                  </a:graphic>
                  <wp14:sizeRelH relativeFrom="page">
                    <wp14:pctWidth>0</wp14:pctWidth>
                  </wp14:sizeRelH>
                  <wp14:sizeRelV relativeFrom="page">
                    <wp14:pctHeight>0</wp14:pctHeight>
                  </wp14:sizeRelV>
                </wp:anchor>
              </w:drawing>
            </w:r>
          </w:p>
        </w:tc>
      </w:tr>
      <w:tr w:rsidR="000F5A54" w14:paraId="68E0CA17" w14:textId="77777777" w:rsidTr="002E5490">
        <w:tc>
          <w:tcPr>
            <w:tcW w:w="4682" w:type="dxa"/>
          </w:tcPr>
          <w:p w14:paraId="3CF9AD19" w14:textId="77777777" w:rsidR="002E5490" w:rsidRDefault="002E5490" w:rsidP="000F5A54">
            <w:pPr>
              <w:tabs>
                <w:tab w:val="left" w:pos="4253"/>
                <w:tab w:val="left" w:leader="dot" w:pos="8222"/>
              </w:tabs>
              <w:rPr>
                <w:szCs w:val="24"/>
              </w:rPr>
            </w:pPr>
          </w:p>
          <w:p w14:paraId="2DABE65E" w14:textId="77777777" w:rsidR="002E5490" w:rsidRDefault="002E5490" w:rsidP="000F5A54">
            <w:pPr>
              <w:tabs>
                <w:tab w:val="left" w:pos="4253"/>
                <w:tab w:val="left" w:leader="dot" w:pos="8222"/>
              </w:tabs>
              <w:rPr>
                <w:szCs w:val="24"/>
              </w:rPr>
            </w:pPr>
          </w:p>
          <w:p w14:paraId="1102D954" w14:textId="51726C27" w:rsidR="000F5A54" w:rsidRPr="000F41B0" w:rsidRDefault="000F5A54" w:rsidP="000F5A54">
            <w:pPr>
              <w:tabs>
                <w:tab w:val="left" w:pos="4253"/>
                <w:tab w:val="left" w:leader="dot" w:pos="8222"/>
              </w:tabs>
              <w:rPr>
                <w:szCs w:val="24"/>
              </w:rPr>
            </w:pPr>
            <w:r>
              <w:rPr>
                <w:szCs w:val="24"/>
              </w:rPr>
              <w:t>Mr Dale Boucher PSM</w:t>
            </w:r>
            <w:r w:rsidRPr="000F41B0">
              <w:rPr>
                <w:szCs w:val="24"/>
              </w:rPr>
              <w:tab/>
            </w:r>
          </w:p>
          <w:p w14:paraId="35581627" w14:textId="77777777" w:rsidR="000F5A54" w:rsidRDefault="000F5A54" w:rsidP="000F5A54">
            <w:pPr>
              <w:tabs>
                <w:tab w:val="left" w:pos="4253"/>
                <w:tab w:val="left" w:leader="dot" w:pos="8222"/>
              </w:tabs>
              <w:rPr>
                <w:szCs w:val="24"/>
              </w:rPr>
            </w:pPr>
            <w:r w:rsidRPr="000F41B0">
              <w:rPr>
                <w:szCs w:val="24"/>
              </w:rPr>
              <w:t>Member</w:t>
            </w:r>
          </w:p>
          <w:p w14:paraId="705A674E" w14:textId="498F5FA6" w:rsidR="000F5A54" w:rsidRDefault="000F5A54" w:rsidP="009216A4">
            <w:pPr>
              <w:tabs>
                <w:tab w:val="left" w:pos="567"/>
              </w:tabs>
              <w:spacing w:before="120" w:after="60"/>
            </w:pPr>
          </w:p>
        </w:tc>
        <w:tc>
          <w:tcPr>
            <w:tcW w:w="4340" w:type="dxa"/>
          </w:tcPr>
          <w:p w14:paraId="573A0BBA" w14:textId="1E58EB67" w:rsidR="000F5A54" w:rsidRDefault="000F5A54" w:rsidP="009216A4">
            <w:pPr>
              <w:tabs>
                <w:tab w:val="left" w:pos="567"/>
              </w:tabs>
              <w:spacing w:before="120" w:after="60"/>
            </w:pPr>
            <w:r>
              <w:rPr>
                <w:noProof/>
              </w:rPr>
              <w:drawing>
                <wp:anchor distT="0" distB="0" distL="114300" distR="114300" simplePos="0" relativeHeight="251665408" behindDoc="0" locked="0" layoutInCell="1" allowOverlap="1" wp14:anchorId="55402368" wp14:editId="62797EE6">
                  <wp:simplePos x="0" y="0"/>
                  <wp:positionH relativeFrom="column">
                    <wp:posOffset>144145</wp:posOffset>
                  </wp:positionH>
                  <wp:positionV relativeFrom="paragraph">
                    <wp:posOffset>113030</wp:posOffset>
                  </wp:positionV>
                  <wp:extent cx="1781175" cy="1025525"/>
                  <wp:effectExtent l="0" t="0" r="9525" b="3175"/>
                  <wp:wrapSquare wrapText="bothSides"/>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1"/>
                          <a:stretch>
                            <a:fillRect/>
                          </a:stretch>
                        </pic:blipFill>
                        <pic:spPr>
                          <a:xfrm>
                            <a:off x="0" y="0"/>
                            <a:ext cx="1781175" cy="1025525"/>
                          </a:xfrm>
                          <a:prstGeom prst="rect">
                            <a:avLst/>
                          </a:prstGeom>
                        </pic:spPr>
                      </pic:pic>
                    </a:graphicData>
                  </a:graphic>
                  <wp14:sizeRelH relativeFrom="page">
                    <wp14:pctWidth>0</wp14:pctWidth>
                  </wp14:sizeRelH>
                  <wp14:sizeRelV relativeFrom="page">
                    <wp14:pctHeight>0</wp14:pctHeight>
                  </wp14:sizeRelV>
                </wp:anchor>
              </w:drawing>
            </w:r>
          </w:p>
        </w:tc>
      </w:tr>
      <w:tr w:rsidR="000F5A54" w14:paraId="6787CD80" w14:textId="77777777" w:rsidTr="002E5490">
        <w:tc>
          <w:tcPr>
            <w:tcW w:w="4682" w:type="dxa"/>
          </w:tcPr>
          <w:p w14:paraId="4DF9B599" w14:textId="77777777" w:rsidR="002E5490" w:rsidRDefault="002E5490" w:rsidP="000F5A54">
            <w:pPr>
              <w:tabs>
                <w:tab w:val="left" w:pos="4253"/>
                <w:tab w:val="left" w:pos="7230"/>
                <w:tab w:val="left" w:leader="dot" w:pos="8222"/>
              </w:tabs>
              <w:rPr>
                <w:szCs w:val="24"/>
              </w:rPr>
            </w:pPr>
          </w:p>
          <w:p w14:paraId="4F1FCEE7" w14:textId="36B16197" w:rsidR="000F5A54" w:rsidRDefault="000F5A54" w:rsidP="000F5A54">
            <w:pPr>
              <w:tabs>
                <w:tab w:val="left" w:pos="4253"/>
                <w:tab w:val="left" w:pos="7230"/>
                <w:tab w:val="left" w:leader="dot" w:pos="8222"/>
              </w:tabs>
              <w:rPr>
                <w:szCs w:val="24"/>
              </w:rPr>
            </w:pPr>
            <w:r>
              <w:rPr>
                <w:szCs w:val="24"/>
              </w:rPr>
              <w:t>Mr Michael Manthorpe PSM FIPAA</w:t>
            </w:r>
          </w:p>
          <w:p w14:paraId="125150FB" w14:textId="77777777" w:rsidR="000F5A54" w:rsidRDefault="000F5A54" w:rsidP="000F5A54">
            <w:pPr>
              <w:tabs>
                <w:tab w:val="left" w:pos="4253"/>
                <w:tab w:val="left" w:leader="dot" w:pos="8222"/>
              </w:tabs>
              <w:rPr>
                <w:szCs w:val="24"/>
              </w:rPr>
            </w:pPr>
            <w:r>
              <w:rPr>
                <w:szCs w:val="24"/>
              </w:rPr>
              <w:t>Member</w:t>
            </w:r>
          </w:p>
          <w:p w14:paraId="12B5C74C" w14:textId="77777777" w:rsidR="000F5A54" w:rsidRDefault="000F5A54" w:rsidP="009216A4">
            <w:pPr>
              <w:tabs>
                <w:tab w:val="left" w:pos="567"/>
              </w:tabs>
              <w:spacing w:before="120" w:after="60"/>
            </w:pPr>
          </w:p>
        </w:tc>
        <w:tc>
          <w:tcPr>
            <w:tcW w:w="4340" w:type="dxa"/>
          </w:tcPr>
          <w:p w14:paraId="62AB7A83" w14:textId="3B988C82" w:rsidR="000F5A54" w:rsidRDefault="000F5A54" w:rsidP="009216A4">
            <w:pPr>
              <w:tabs>
                <w:tab w:val="left" w:pos="567"/>
              </w:tabs>
              <w:spacing w:before="120" w:after="60"/>
            </w:pPr>
            <w:r>
              <w:rPr>
                <w:noProof/>
              </w:rPr>
              <w:drawing>
                <wp:anchor distT="0" distB="0" distL="114300" distR="114300" simplePos="0" relativeHeight="251666432" behindDoc="0" locked="0" layoutInCell="1" allowOverlap="1" wp14:anchorId="665325E6" wp14:editId="4A7ECBF3">
                  <wp:simplePos x="0" y="0"/>
                  <wp:positionH relativeFrom="column">
                    <wp:posOffset>28575</wp:posOffset>
                  </wp:positionH>
                  <wp:positionV relativeFrom="paragraph">
                    <wp:posOffset>184150</wp:posOffset>
                  </wp:positionV>
                  <wp:extent cx="1955800" cy="381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tc>
      </w:tr>
    </w:tbl>
    <w:p w14:paraId="4B940023" w14:textId="5C02F7CB" w:rsidR="000F5A54" w:rsidRDefault="000F5A54" w:rsidP="009216A4">
      <w:pPr>
        <w:tabs>
          <w:tab w:val="left" w:pos="567"/>
        </w:tabs>
        <w:spacing w:before="120" w:after="60"/>
        <w:ind w:left="567" w:hanging="567"/>
      </w:pPr>
    </w:p>
    <w:bookmarkEnd w:id="0"/>
    <w:p w14:paraId="4D5F0D00" w14:textId="0A911120" w:rsidR="004537AA" w:rsidRDefault="002E5490" w:rsidP="004537AA">
      <w:pPr>
        <w:tabs>
          <w:tab w:val="left" w:pos="4320"/>
        </w:tabs>
        <w:jc w:val="right"/>
      </w:pPr>
      <w:r>
        <w:t>22</w:t>
      </w:r>
      <w:r w:rsidR="00673B7A">
        <w:t xml:space="preserve"> November</w:t>
      </w:r>
      <w:r w:rsidR="004537AA">
        <w:t xml:space="preserve"> 202</w:t>
      </w:r>
      <w:r w:rsidR="00673B7A">
        <w:t>3</w:t>
      </w:r>
    </w:p>
    <w:sectPr w:rsidR="004537AA" w:rsidSect="00DD73BE">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FEA2" w14:textId="77777777" w:rsidR="002B3C69" w:rsidRDefault="002B3C69">
      <w:r>
        <w:separator/>
      </w:r>
    </w:p>
  </w:endnote>
  <w:endnote w:type="continuationSeparator" w:id="0">
    <w:p w14:paraId="2F1FBAD0" w14:textId="77777777" w:rsidR="002B3C69" w:rsidRDefault="002B3C69">
      <w:r>
        <w:continuationSeparator/>
      </w:r>
    </w:p>
  </w:endnote>
  <w:endnote w:type="continuationNotice" w:id="1">
    <w:p w14:paraId="31F4000B" w14:textId="77777777" w:rsidR="002B3C69" w:rsidRDefault="002B3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C6C5" w14:textId="77777777" w:rsidR="00804334" w:rsidRDefault="00804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55D5D" w14:textId="77777777" w:rsidR="00804334" w:rsidRDefault="00804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3650" w14:textId="4725CFC2" w:rsidR="00804334" w:rsidRPr="0082327D" w:rsidRDefault="00804334" w:rsidP="0082327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06755F">
      <w:rPr>
        <w:rFonts w:ascii="Calibri" w:hAnsi="Calibri"/>
        <w:noProof/>
      </w:rPr>
      <w:t>7</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CFAC" w14:textId="77777777" w:rsidR="00804334" w:rsidRDefault="0080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1CC9" w14:textId="77777777" w:rsidR="002B3C69" w:rsidRDefault="002B3C69">
      <w:r>
        <w:separator/>
      </w:r>
    </w:p>
  </w:footnote>
  <w:footnote w:type="continuationSeparator" w:id="0">
    <w:p w14:paraId="07C2BE8F" w14:textId="77777777" w:rsidR="002B3C69" w:rsidRDefault="002B3C69">
      <w:r>
        <w:continuationSeparator/>
      </w:r>
    </w:p>
  </w:footnote>
  <w:footnote w:type="continuationNotice" w:id="1">
    <w:p w14:paraId="28CCC44E" w14:textId="77777777" w:rsidR="002B3C69" w:rsidRDefault="002B3C69"/>
  </w:footnote>
  <w:footnote w:id="2">
    <w:p w14:paraId="5FFD054D" w14:textId="77777777" w:rsidR="009239A2" w:rsidRPr="009239A2" w:rsidRDefault="009239A2" w:rsidP="009239A2">
      <w:pPr>
        <w:pStyle w:val="FootnoteText"/>
        <w:jc w:val="left"/>
        <w:rPr>
          <w:sz w:val="16"/>
          <w:szCs w:val="16"/>
        </w:rPr>
      </w:pPr>
      <w:r w:rsidRPr="009239A2">
        <w:rPr>
          <w:rStyle w:val="FootnoteReference"/>
          <w:sz w:val="16"/>
          <w:szCs w:val="16"/>
        </w:rPr>
        <w:footnoteRef/>
      </w:r>
      <w:r w:rsidRPr="009239A2">
        <w:rPr>
          <w:sz w:val="16"/>
          <w:szCs w:val="16"/>
        </w:rPr>
        <w:t xml:space="preserve"> </w:t>
      </w:r>
      <w:hyperlink r:id="rId1" w:history="1">
        <w:r w:rsidRPr="009239A2">
          <w:rPr>
            <w:rStyle w:val="Hyperlink"/>
            <w:sz w:val="16"/>
            <w:szCs w:val="16"/>
          </w:rPr>
          <w:t>Fair Work Commission Decision 2 June 2023</w:t>
        </w:r>
      </w:hyperlink>
    </w:p>
  </w:footnote>
  <w:footnote w:id="3">
    <w:p w14:paraId="08C13A36" w14:textId="77777777" w:rsidR="009239A2" w:rsidRPr="009239A2" w:rsidRDefault="009239A2" w:rsidP="009239A2">
      <w:pPr>
        <w:pStyle w:val="FootnoteText"/>
        <w:jc w:val="left"/>
        <w:rPr>
          <w:rFonts w:cs="Calibri"/>
          <w:sz w:val="16"/>
          <w:szCs w:val="10"/>
        </w:rPr>
      </w:pPr>
      <w:r w:rsidRPr="009239A2">
        <w:rPr>
          <w:rStyle w:val="FootnoteReference"/>
          <w:rFonts w:cs="Calibri"/>
          <w:sz w:val="16"/>
          <w:szCs w:val="10"/>
        </w:rPr>
        <w:footnoteRef/>
      </w:r>
      <w:r w:rsidRPr="009239A2">
        <w:rPr>
          <w:rFonts w:cs="Calibri"/>
          <w:sz w:val="16"/>
          <w:szCs w:val="10"/>
        </w:rPr>
        <w:t xml:space="preserve"> ACT Treasury, 25 October 2023, CPI – September Quarter 2023 </w:t>
      </w:r>
      <w:hyperlink r:id="rId2" w:history="1">
        <w:r w:rsidRPr="009239A2">
          <w:rPr>
            <w:rStyle w:val="Hyperlink"/>
            <w:rFonts w:cs="Calibri"/>
            <w:sz w:val="16"/>
            <w:szCs w:val="10"/>
          </w:rPr>
          <w:t>https://www.treasury.act.gov.au/__data/assets/pdf_file/0009/399978/CPI.pdf/_recache</w:t>
        </w:r>
      </w:hyperlink>
      <w:r w:rsidRPr="009239A2">
        <w:rPr>
          <w:rFonts w:cs="Calibri"/>
          <w:sz w:val="16"/>
          <w:szCs w:val="10"/>
        </w:rPr>
        <w:t xml:space="preserve"> </w:t>
      </w:r>
    </w:p>
  </w:footnote>
  <w:footnote w:id="4">
    <w:p w14:paraId="77E2D7EB" w14:textId="77777777" w:rsidR="009239A2" w:rsidRPr="009239A2" w:rsidRDefault="009239A2" w:rsidP="009239A2">
      <w:pPr>
        <w:pStyle w:val="FootnoteText"/>
        <w:jc w:val="left"/>
        <w:rPr>
          <w:sz w:val="16"/>
          <w:szCs w:val="10"/>
        </w:rPr>
      </w:pPr>
      <w:r w:rsidRPr="009239A2">
        <w:rPr>
          <w:rStyle w:val="FootnoteReference"/>
          <w:rFonts w:cs="Calibri"/>
          <w:sz w:val="16"/>
          <w:szCs w:val="10"/>
        </w:rPr>
        <w:footnoteRef/>
      </w:r>
      <w:r w:rsidRPr="009239A2">
        <w:rPr>
          <w:rFonts w:cs="Calibri"/>
          <w:sz w:val="16"/>
          <w:szCs w:val="10"/>
        </w:rPr>
        <w:t xml:space="preserve"> Australian Bureau of Statistics Release 25 October 2023</w:t>
      </w:r>
      <w:r w:rsidRPr="009239A2">
        <w:rPr>
          <w:sz w:val="16"/>
          <w:szCs w:val="10"/>
        </w:rPr>
        <w:t xml:space="preserve"> </w:t>
      </w:r>
      <w:hyperlink r:id="rId3" w:history="1">
        <w:r w:rsidRPr="009239A2">
          <w:rPr>
            <w:rStyle w:val="Hyperlink"/>
            <w:sz w:val="16"/>
            <w:szCs w:val="10"/>
          </w:rPr>
          <w:t>https://www.abs.gov.au/statistics/economy/price-indexes-and-inflation/consumer-price-index-australia/latest-release</w:t>
        </w:r>
      </w:hyperlink>
      <w:r w:rsidRPr="009239A2">
        <w:rPr>
          <w:sz w:val="16"/>
          <w:szCs w:val="10"/>
        </w:rPr>
        <w:t xml:space="preserve"> </w:t>
      </w:r>
    </w:p>
  </w:footnote>
  <w:footnote w:id="5">
    <w:p w14:paraId="54825C50" w14:textId="77777777" w:rsidR="009239A2" w:rsidRPr="00ED4564" w:rsidRDefault="009239A2" w:rsidP="009239A2">
      <w:pPr>
        <w:pStyle w:val="FootnoteText"/>
        <w:jc w:val="left"/>
        <w:rPr>
          <w:rFonts w:cs="Calibri"/>
          <w:szCs w:val="18"/>
        </w:rPr>
      </w:pPr>
      <w:r w:rsidRPr="009239A2">
        <w:rPr>
          <w:rStyle w:val="FootnoteReference"/>
          <w:rFonts w:cs="Calibri"/>
          <w:sz w:val="16"/>
          <w:szCs w:val="10"/>
        </w:rPr>
        <w:footnoteRef/>
      </w:r>
      <w:r w:rsidRPr="009239A2">
        <w:rPr>
          <w:rFonts w:cs="Calibri"/>
          <w:sz w:val="16"/>
          <w:szCs w:val="10"/>
        </w:rPr>
        <w:t xml:space="preserve">  </w:t>
      </w:r>
      <w:hyperlink r:id="rId4" w:history="1">
        <w:r w:rsidRPr="009239A2">
          <w:rPr>
            <w:rStyle w:val="Hyperlink"/>
            <w:rFonts w:cs="Calibri"/>
            <w:sz w:val="16"/>
            <w:szCs w:val="10"/>
          </w:rPr>
          <w:t>ACT Budget 2023-2024 Budget Outlook, Chapter 2 Economic Outlook</w:t>
        </w:r>
      </w:hyperlink>
      <w:r w:rsidRPr="009239A2">
        <w:rPr>
          <w:rFonts w:cs="Calibri"/>
          <w:sz w:val="16"/>
          <w:szCs w:val="10"/>
        </w:rPr>
        <w:t>, page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509F" w14:textId="77777777" w:rsidR="00804334" w:rsidRDefault="00804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D334" w14:textId="260DE21C" w:rsidR="00804334" w:rsidRDefault="00804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F416" w14:textId="77777777" w:rsidR="00804334" w:rsidRDefault="0080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47827F0"/>
    <w:multiLevelType w:val="hybridMultilevel"/>
    <w:tmpl w:val="DBA25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543DA"/>
    <w:multiLevelType w:val="multilevel"/>
    <w:tmpl w:val="AAB0C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14EF54AF"/>
    <w:multiLevelType w:val="multilevel"/>
    <w:tmpl w:val="29FC2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B0E5C"/>
    <w:multiLevelType w:val="multilevel"/>
    <w:tmpl w:val="2FEAB1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954DA8"/>
    <w:multiLevelType w:val="hybridMultilevel"/>
    <w:tmpl w:val="C85E30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83EE9"/>
    <w:multiLevelType w:val="multilevel"/>
    <w:tmpl w:val="7DB04756"/>
    <w:lvl w:ilvl="0">
      <w:start w:val="3"/>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4" w15:restartNumberingAfterBreak="0">
    <w:nsid w:val="41632F93"/>
    <w:multiLevelType w:val="hybridMultilevel"/>
    <w:tmpl w:val="BC0E1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F26E8"/>
    <w:multiLevelType w:val="multilevel"/>
    <w:tmpl w:val="7D5E21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A91194"/>
    <w:multiLevelType w:val="hybridMultilevel"/>
    <w:tmpl w:val="0E96D4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12423E"/>
    <w:multiLevelType w:val="hybridMultilevel"/>
    <w:tmpl w:val="EC96E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55159721">
    <w:abstractNumId w:val="3"/>
  </w:num>
  <w:num w:numId="2" w16cid:durableId="233928310">
    <w:abstractNumId w:val="10"/>
  </w:num>
  <w:num w:numId="3" w16cid:durableId="907038925">
    <w:abstractNumId w:val="0"/>
  </w:num>
  <w:num w:numId="4" w16cid:durableId="1571964009">
    <w:abstractNumId w:val="19"/>
  </w:num>
  <w:num w:numId="5" w16cid:durableId="2059089413">
    <w:abstractNumId w:val="13"/>
  </w:num>
  <w:num w:numId="6" w16cid:durableId="850877351">
    <w:abstractNumId w:val="17"/>
  </w:num>
  <w:num w:numId="7" w16cid:durableId="1591549091">
    <w:abstractNumId w:val="6"/>
  </w:num>
  <w:num w:numId="8" w16cid:durableId="1003581333">
    <w:abstractNumId w:val="9"/>
  </w:num>
  <w:num w:numId="9" w16cid:durableId="1497569512">
    <w:abstractNumId w:val="5"/>
  </w:num>
  <w:num w:numId="10" w16cid:durableId="1343629378">
    <w:abstractNumId w:val="14"/>
  </w:num>
  <w:num w:numId="11" w16cid:durableId="230233526">
    <w:abstractNumId w:val="1"/>
  </w:num>
  <w:num w:numId="12" w16cid:durableId="1201893518">
    <w:abstractNumId w:val="18"/>
  </w:num>
  <w:num w:numId="13" w16cid:durableId="1776053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359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28685">
    <w:abstractNumId w:val="4"/>
  </w:num>
  <w:num w:numId="16" w16cid:durableId="1114444061">
    <w:abstractNumId w:val="2"/>
  </w:num>
  <w:num w:numId="17" w16cid:durableId="1399205424">
    <w:abstractNumId w:val="15"/>
  </w:num>
  <w:num w:numId="18" w16cid:durableId="1848015646">
    <w:abstractNumId w:val="8"/>
  </w:num>
  <w:num w:numId="19" w16cid:durableId="709232296">
    <w:abstractNumId w:val="12"/>
  </w:num>
  <w:num w:numId="20" w16cid:durableId="159659227">
    <w:abstractNumId w:val="11"/>
  </w:num>
  <w:num w:numId="21" w16cid:durableId="2100367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439446">
    <w:abstractNumId w:val="19"/>
    <w:lvlOverride w:ilvl="0">
      <w:startOverride w:val="1"/>
    </w:lvlOverride>
    <w:lvlOverride w:ilvl="1">
      <w:startOverride w:val="1"/>
    </w:lvlOverride>
    <w:lvlOverride w:ilvl="2">
      <w:startOverride w:val="1"/>
    </w:lvlOverride>
  </w:num>
  <w:num w:numId="23" w16cid:durableId="1132940863">
    <w:abstractNumId w:val="7"/>
  </w:num>
  <w:num w:numId="24" w16cid:durableId="16920306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44FC"/>
    <w:rsid w:val="000047DF"/>
    <w:rsid w:val="00015C84"/>
    <w:rsid w:val="0002104E"/>
    <w:rsid w:val="00024A89"/>
    <w:rsid w:val="000356E9"/>
    <w:rsid w:val="00045FE9"/>
    <w:rsid w:val="00047903"/>
    <w:rsid w:val="00051602"/>
    <w:rsid w:val="0005314A"/>
    <w:rsid w:val="00054ABB"/>
    <w:rsid w:val="000560A5"/>
    <w:rsid w:val="00056F1E"/>
    <w:rsid w:val="00060A6B"/>
    <w:rsid w:val="00060E78"/>
    <w:rsid w:val="00062197"/>
    <w:rsid w:val="000625FB"/>
    <w:rsid w:val="0006755F"/>
    <w:rsid w:val="00071170"/>
    <w:rsid w:val="000739D1"/>
    <w:rsid w:val="00076CA5"/>
    <w:rsid w:val="00090EB5"/>
    <w:rsid w:val="000930D9"/>
    <w:rsid w:val="00093D63"/>
    <w:rsid w:val="000945B5"/>
    <w:rsid w:val="00094CC2"/>
    <w:rsid w:val="00094EA2"/>
    <w:rsid w:val="000A394D"/>
    <w:rsid w:val="000A3D97"/>
    <w:rsid w:val="000A54AA"/>
    <w:rsid w:val="000B4901"/>
    <w:rsid w:val="000B5975"/>
    <w:rsid w:val="000C0126"/>
    <w:rsid w:val="000C0FBA"/>
    <w:rsid w:val="000C255C"/>
    <w:rsid w:val="000D063D"/>
    <w:rsid w:val="000D1005"/>
    <w:rsid w:val="000D2E7C"/>
    <w:rsid w:val="000D71D2"/>
    <w:rsid w:val="000D7702"/>
    <w:rsid w:val="000E23D5"/>
    <w:rsid w:val="000E61C6"/>
    <w:rsid w:val="000F5A54"/>
    <w:rsid w:val="000F616B"/>
    <w:rsid w:val="000F6F50"/>
    <w:rsid w:val="00100973"/>
    <w:rsid w:val="00100F10"/>
    <w:rsid w:val="001015F3"/>
    <w:rsid w:val="0010519E"/>
    <w:rsid w:val="0010590D"/>
    <w:rsid w:val="00107588"/>
    <w:rsid w:val="001077F1"/>
    <w:rsid w:val="0011446D"/>
    <w:rsid w:val="00124251"/>
    <w:rsid w:val="00125E3B"/>
    <w:rsid w:val="00132A9D"/>
    <w:rsid w:val="0013640A"/>
    <w:rsid w:val="001377F0"/>
    <w:rsid w:val="001423CA"/>
    <w:rsid w:val="00142570"/>
    <w:rsid w:val="00143279"/>
    <w:rsid w:val="00145287"/>
    <w:rsid w:val="0014617C"/>
    <w:rsid w:val="0015355F"/>
    <w:rsid w:val="00153E47"/>
    <w:rsid w:val="0015430B"/>
    <w:rsid w:val="001554F4"/>
    <w:rsid w:val="00155B9E"/>
    <w:rsid w:val="0016506F"/>
    <w:rsid w:val="00166597"/>
    <w:rsid w:val="001721BE"/>
    <w:rsid w:val="001722DB"/>
    <w:rsid w:val="0017263D"/>
    <w:rsid w:val="001742F0"/>
    <w:rsid w:val="00174520"/>
    <w:rsid w:val="00175610"/>
    <w:rsid w:val="0018324E"/>
    <w:rsid w:val="001916BC"/>
    <w:rsid w:val="001929EA"/>
    <w:rsid w:val="00192E21"/>
    <w:rsid w:val="001A2EC1"/>
    <w:rsid w:val="001A4707"/>
    <w:rsid w:val="001A4B4B"/>
    <w:rsid w:val="001B1067"/>
    <w:rsid w:val="001B2A05"/>
    <w:rsid w:val="001C0C3B"/>
    <w:rsid w:val="001C3DA2"/>
    <w:rsid w:val="001C3DBB"/>
    <w:rsid w:val="001D1AF9"/>
    <w:rsid w:val="001D2916"/>
    <w:rsid w:val="001E40E1"/>
    <w:rsid w:val="001F14B4"/>
    <w:rsid w:val="001F6D77"/>
    <w:rsid w:val="0020190A"/>
    <w:rsid w:val="002055BF"/>
    <w:rsid w:val="0021099D"/>
    <w:rsid w:val="002156C3"/>
    <w:rsid w:val="00222DC6"/>
    <w:rsid w:val="00223CB9"/>
    <w:rsid w:val="00227441"/>
    <w:rsid w:val="002318F4"/>
    <w:rsid w:val="00235B3A"/>
    <w:rsid w:val="002366FC"/>
    <w:rsid w:val="00241DD2"/>
    <w:rsid w:val="00251993"/>
    <w:rsid w:val="002538D3"/>
    <w:rsid w:val="00260EDD"/>
    <w:rsid w:val="002639F9"/>
    <w:rsid w:val="002675E9"/>
    <w:rsid w:val="00267E35"/>
    <w:rsid w:val="00270450"/>
    <w:rsid w:val="002740B6"/>
    <w:rsid w:val="00282079"/>
    <w:rsid w:val="00287A77"/>
    <w:rsid w:val="00292814"/>
    <w:rsid w:val="00292964"/>
    <w:rsid w:val="00293EEE"/>
    <w:rsid w:val="002A134C"/>
    <w:rsid w:val="002A4ADA"/>
    <w:rsid w:val="002B0CAD"/>
    <w:rsid w:val="002B391E"/>
    <w:rsid w:val="002B3C69"/>
    <w:rsid w:val="002B7F06"/>
    <w:rsid w:val="002C0635"/>
    <w:rsid w:val="002C1258"/>
    <w:rsid w:val="002C15A4"/>
    <w:rsid w:val="002C2521"/>
    <w:rsid w:val="002C2963"/>
    <w:rsid w:val="002C3B13"/>
    <w:rsid w:val="002C4C5C"/>
    <w:rsid w:val="002C506A"/>
    <w:rsid w:val="002C590A"/>
    <w:rsid w:val="002C5A60"/>
    <w:rsid w:val="002D2BD0"/>
    <w:rsid w:val="002D40AF"/>
    <w:rsid w:val="002D47D2"/>
    <w:rsid w:val="002E23E7"/>
    <w:rsid w:val="002E5490"/>
    <w:rsid w:val="002E565F"/>
    <w:rsid w:val="002E64FC"/>
    <w:rsid w:val="002F757A"/>
    <w:rsid w:val="003019CD"/>
    <w:rsid w:val="00301E14"/>
    <w:rsid w:val="0030340C"/>
    <w:rsid w:val="003117E2"/>
    <w:rsid w:val="003169E3"/>
    <w:rsid w:val="00316C62"/>
    <w:rsid w:val="00320D9C"/>
    <w:rsid w:val="00322FBA"/>
    <w:rsid w:val="00330830"/>
    <w:rsid w:val="00332984"/>
    <w:rsid w:val="0033335A"/>
    <w:rsid w:val="00340D83"/>
    <w:rsid w:val="00341B3D"/>
    <w:rsid w:val="00342534"/>
    <w:rsid w:val="00343339"/>
    <w:rsid w:val="00347A7E"/>
    <w:rsid w:val="003500BA"/>
    <w:rsid w:val="0035064D"/>
    <w:rsid w:val="00354E39"/>
    <w:rsid w:val="0036438B"/>
    <w:rsid w:val="00365F2D"/>
    <w:rsid w:val="0037076F"/>
    <w:rsid w:val="00373D11"/>
    <w:rsid w:val="00373E3E"/>
    <w:rsid w:val="003765D8"/>
    <w:rsid w:val="00380918"/>
    <w:rsid w:val="00380FF3"/>
    <w:rsid w:val="00381CF4"/>
    <w:rsid w:val="00383A02"/>
    <w:rsid w:val="00386D1A"/>
    <w:rsid w:val="00395907"/>
    <w:rsid w:val="003B0300"/>
    <w:rsid w:val="003B1A08"/>
    <w:rsid w:val="003B1FF4"/>
    <w:rsid w:val="003C2146"/>
    <w:rsid w:val="003C3D49"/>
    <w:rsid w:val="003C4C41"/>
    <w:rsid w:val="003D2D25"/>
    <w:rsid w:val="003D2D97"/>
    <w:rsid w:val="003D6355"/>
    <w:rsid w:val="003E65A3"/>
    <w:rsid w:val="003F0351"/>
    <w:rsid w:val="003F15E5"/>
    <w:rsid w:val="003F50FC"/>
    <w:rsid w:val="003F6771"/>
    <w:rsid w:val="004004FA"/>
    <w:rsid w:val="004310A4"/>
    <w:rsid w:val="00433BF4"/>
    <w:rsid w:val="00433C57"/>
    <w:rsid w:val="00437715"/>
    <w:rsid w:val="00441AA7"/>
    <w:rsid w:val="00443E59"/>
    <w:rsid w:val="004455DD"/>
    <w:rsid w:val="0045334E"/>
    <w:rsid w:val="004537AA"/>
    <w:rsid w:val="0045769A"/>
    <w:rsid w:val="0046117C"/>
    <w:rsid w:val="00464859"/>
    <w:rsid w:val="00470F0C"/>
    <w:rsid w:val="004714EA"/>
    <w:rsid w:val="00483DE6"/>
    <w:rsid w:val="0048412F"/>
    <w:rsid w:val="00487C2A"/>
    <w:rsid w:val="0049023E"/>
    <w:rsid w:val="004A18AA"/>
    <w:rsid w:val="004A1A11"/>
    <w:rsid w:val="004A5804"/>
    <w:rsid w:val="004B14B2"/>
    <w:rsid w:val="004B66BB"/>
    <w:rsid w:val="004B688C"/>
    <w:rsid w:val="004B77CC"/>
    <w:rsid w:val="004C098E"/>
    <w:rsid w:val="004C2674"/>
    <w:rsid w:val="004C2A9A"/>
    <w:rsid w:val="004C42DA"/>
    <w:rsid w:val="004C6DE2"/>
    <w:rsid w:val="004D1C27"/>
    <w:rsid w:val="004E5081"/>
    <w:rsid w:val="004F0025"/>
    <w:rsid w:val="004F597E"/>
    <w:rsid w:val="004F5B87"/>
    <w:rsid w:val="004F5CE6"/>
    <w:rsid w:val="004F77CB"/>
    <w:rsid w:val="00505FB4"/>
    <w:rsid w:val="00510ECA"/>
    <w:rsid w:val="00512B39"/>
    <w:rsid w:val="00513C42"/>
    <w:rsid w:val="005152BC"/>
    <w:rsid w:val="00516063"/>
    <w:rsid w:val="00517C2B"/>
    <w:rsid w:val="00520023"/>
    <w:rsid w:val="005210C7"/>
    <w:rsid w:val="00521DCD"/>
    <w:rsid w:val="005238CB"/>
    <w:rsid w:val="005266AF"/>
    <w:rsid w:val="005306CC"/>
    <w:rsid w:val="00531C63"/>
    <w:rsid w:val="00535602"/>
    <w:rsid w:val="00537D80"/>
    <w:rsid w:val="00545DFF"/>
    <w:rsid w:val="005473F1"/>
    <w:rsid w:val="00547466"/>
    <w:rsid w:val="005502B8"/>
    <w:rsid w:val="005511DA"/>
    <w:rsid w:val="00551480"/>
    <w:rsid w:val="00557E3B"/>
    <w:rsid w:val="005708C7"/>
    <w:rsid w:val="00570E76"/>
    <w:rsid w:val="00575293"/>
    <w:rsid w:val="00575A6D"/>
    <w:rsid w:val="005917EF"/>
    <w:rsid w:val="0059383C"/>
    <w:rsid w:val="00595CFC"/>
    <w:rsid w:val="005A0205"/>
    <w:rsid w:val="005A139C"/>
    <w:rsid w:val="005A6144"/>
    <w:rsid w:val="005A6309"/>
    <w:rsid w:val="005A64DB"/>
    <w:rsid w:val="005B10C2"/>
    <w:rsid w:val="005B14C3"/>
    <w:rsid w:val="005B5288"/>
    <w:rsid w:val="005B596D"/>
    <w:rsid w:val="005C50FC"/>
    <w:rsid w:val="005D05B1"/>
    <w:rsid w:val="005E66E2"/>
    <w:rsid w:val="005E7713"/>
    <w:rsid w:val="005E7A3E"/>
    <w:rsid w:val="005F2A73"/>
    <w:rsid w:val="005F411E"/>
    <w:rsid w:val="00601E75"/>
    <w:rsid w:val="0060437E"/>
    <w:rsid w:val="00604506"/>
    <w:rsid w:val="00604F0B"/>
    <w:rsid w:val="006122F5"/>
    <w:rsid w:val="00614531"/>
    <w:rsid w:val="0061674A"/>
    <w:rsid w:val="00620D79"/>
    <w:rsid w:val="00625249"/>
    <w:rsid w:val="00630B59"/>
    <w:rsid w:val="006314DE"/>
    <w:rsid w:val="00634596"/>
    <w:rsid w:val="00645C2A"/>
    <w:rsid w:val="00650B10"/>
    <w:rsid w:val="0065133D"/>
    <w:rsid w:val="00652206"/>
    <w:rsid w:val="006537A6"/>
    <w:rsid w:val="00656DCD"/>
    <w:rsid w:val="00666C38"/>
    <w:rsid w:val="00667C09"/>
    <w:rsid w:val="00667D31"/>
    <w:rsid w:val="00673B7A"/>
    <w:rsid w:val="00674580"/>
    <w:rsid w:val="00674BD0"/>
    <w:rsid w:val="00677B60"/>
    <w:rsid w:val="00680F31"/>
    <w:rsid w:val="00681AD5"/>
    <w:rsid w:val="00690D01"/>
    <w:rsid w:val="00696C9B"/>
    <w:rsid w:val="00697229"/>
    <w:rsid w:val="006A034A"/>
    <w:rsid w:val="006A0AF4"/>
    <w:rsid w:val="006A198D"/>
    <w:rsid w:val="006A5149"/>
    <w:rsid w:val="006A5F59"/>
    <w:rsid w:val="006A7E03"/>
    <w:rsid w:val="006B1541"/>
    <w:rsid w:val="006B231A"/>
    <w:rsid w:val="006B2E82"/>
    <w:rsid w:val="006B3A4D"/>
    <w:rsid w:val="006C38FA"/>
    <w:rsid w:val="006D004C"/>
    <w:rsid w:val="006D27E3"/>
    <w:rsid w:val="006D4069"/>
    <w:rsid w:val="006D6312"/>
    <w:rsid w:val="006E2F19"/>
    <w:rsid w:val="006E3171"/>
    <w:rsid w:val="006E53A9"/>
    <w:rsid w:val="006E6165"/>
    <w:rsid w:val="006E7EE7"/>
    <w:rsid w:val="006F1565"/>
    <w:rsid w:val="0070081A"/>
    <w:rsid w:val="007022CA"/>
    <w:rsid w:val="00702DEE"/>
    <w:rsid w:val="007101E4"/>
    <w:rsid w:val="00712C57"/>
    <w:rsid w:val="00714C87"/>
    <w:rsid w:val="007226B3"/>
    <w:rsid w:val="00722E3B"/>
    <w:rsid w:val="007232A0"/>
    <w:rsid w:val="00723FDC"/>
    <w:rsid w:val="00730C82"/>
    <w:rsid w:val="00730F49"/>
    <w:rsid w:val="007352AF"/>
    <w:rsid w:val="00741CBF"/>
    <w:rsid w:val="00743573"/>
    <w:rsid w:val="0075284A"/>
    <w:rsid w:val="007534BC"/>
    <w:rsid w:val="00756603"/>
    <w:rsid w:val="00764B49"/>
    <w:rsid w:val="00764C6F"/>
    <w:rsid w:val="007659D6"/>
    <w:rsid w:val="00765FDA"/>
    <w:rsid w:val="00766086"/>
    <w:rsid w:val="00774F91"/>
    <w:rsid w:val="00780B85"/>
    <w:rsid w:val="00790A3E"/>
    <w:rsid w:val="00790D28"/>
    <w:rsid w:val="00790EE7"/>
    <w:rsid w:val="007A4970"/>
    <w:rsid w:val="007B1718"/>
    <w:rsid w:val="007B2573"/>
    <w:rsid w:val="007B32AA"/>
    <w:rsid w:val="007B444B"/>
    <w:rsid w:val="007C14CA"/>
    <w:rsid w:val="007D187F"/>
    <w:rsid w:val="007D3374"/>
    <w:rsid w:val="007D38B5"/>
    <w:rsid w:val="007D72F3"/>
    <w:rsid w:val="007E6903"/>
    <w:rsid w:val="007E6AB7"/>
    <w:rsid w:val="007F2740"/>
    <w:rsid w:val="007F3BC7"/>
    <w:rsid w:val="007F3DA2"/>
    <w:rsid w:val="007F4AA4"/>
    <w:rsid w:val="007F553F"/>
    <w:rsid w:val="00802958"/>
    <w:rsid w:val="00802ACA"/>
    <w:rsid w:val="008035CE"/>
    <w:rsid w:val="00804334"/>
    <w:rsid w:val="00804AB1"/>
    <w:rsid w:val="0080694B"/>
    <w:rsid w:val="008077E1"/>
    <w:rsid w:val="00813294"/>
    <w:rsid w:val="00814E4F"/>
    <w:rsid w:val="0081643F"/>
    <w:rsid w:val="0081661C"/>
    <w:rsid w:val="0082327D"/>
    <w:rsid w:val="008275FC"/>
    <w:rsid w:val="008277D3"/>
    <w:rsid w:val="00844136"/>
    <w:rsid w:val="008616B2"/>
    <w:rsid w:val="00862D60"/>
    <w:rsid w:val="00865598"/>
    <w:rsid w:val="00867A92"/>
    <w:rsid w:val="00870068"/>
    <w:rsid w:val="00875E4A"/>
    <w:rsid w:val="00877EB0"/>
    <w:rsid w:val="00880986"/>
    <w:rsid w:val="00882C73"/>
    <w:rsid w:val="00893E45"/>
    <w:rsid w:val="0089656C"/>
    <w:rsid w:val="008966ED"/>
    <w:rsid w:val="00896DBC"/>
    <w:rsid w:val="008A209F"/>
    <w:rsid w:val="008A420D"/>
    <w:rsid w:val="008B4239"/>
    <w:rsid w:val="008B5B0D"/>
    <w:rsid w:val="008B6DDC"/>
    <w:rsid w:val="008C1997"/>
    <w:rsid w:val="008C2937"/>
    <w:rsid w:val="008C43AB"/>
    <w:rsid w:val="008C5BE2"/>
    <w:rsid w:val="008C7DEE"/>
    <w:rsid w:val="008D0A3D"/>
    <w:rsid w:val="008D28B2"/>
    <w:rsid w:val="008D304D"/>
    <w:rsid w:val="008D5909"/>
    <w:rsid w:val="008D5DF4"/>
    <w:rsid w:val="008D6946"/>
    <w:rsid w:val="008E2921"/>
    <w:rsid w:val="008E2ACA"/>
    <w:rsid w:val="008E31D4"/>
    <w:rsid w:val="008F42AC"/>
    <w:rsid w:val="00900D4B"/>
    <w:rsid w:val="009029F9"/>
    <w:rsid w:val="00902A1E"/>
    <w:rsid w:val="00903A7E"/>
    <w:rsid w:val="00907CE5"/>
    <w:rsid w:val="0091032A"/>
    <w:rsid w:val="00910D69"/>
    <w:rsid w:val="009118FF"/>
    <w:rsid w:val="00913249"/>
    <w:rsid w:val="00916374"/>
    <w:rsid w:val="009216A4"/>
    <w:rsid w:val="009239A2"/>
    <w:rsid w:val="009265E5"/>
    <w:rsid w:val="009320A6"/>
    <w:rsid w:val="009336E0"/>
    <w:rsid w:val="00935CB9"/>
    <w:rsid w:val="00946CD2"/>
    <w:rsid w:val="00947D3B"/>
    <w:rsid w:val="009532A9"/>
    <w:rsid w:val="00953A0F"/>
    <w:rsid w:val="00960FDB"/>
    <w:rsid w:val="00964233"/>
    <w:rsid w:val="00964A93"/>
    <w:rsid w:val="00967041"/>
    <w:rsid w:val="0096745A"/>
    <w:rsid w:val="009704C4"/>
    <w:rsid w:val="00970D74"/>
    <w:rsid w:val="009728F3"/>
    <w:rsid w:val="009734D5"/>
    <w:rsid w:val="009766A1"/>
    <w:rsid w:val="009859F7"/>
    <w:rsid w:val="00987B1A"/>
    <w:rsid w:val="00990719"/>
    <w:rsid w:val="00990E42"/>
    <w:rsid w:val="009948C5"/>
    <w:rsid w:val="009953B2"/>
    <w:rsid w:val="009A108C"/>
    <w:rsid w:val="009B27C7"/>
    <w:rsid w:val="009B4B59"/>
    <w:rsid w:val="009B7027"/>
    <w:rsid w:val="009C1288"/>
    <w:rsid w:val="009C1E92"/>
    <w:rsid w:val="009C76B5"/>
    <w:rsid w:val="009D0FEC"/>
    <w:rsid w:val="009D1A1F"/>
    <w:rsid w:val="009D34D7"/>
    <w:rsid w:val="009D58BF"/>
    <w:rsid w:val="009E06F0"/>
    <w:rsid w:val="009E33F2"/>
    <w:rsid w:val="009E34DA"/>
    <w:rsid w:val="009E4C67"/>
    <w:rsid w:val="009E5715"/>
    <w:rsid w:val="009E5D52"/>
    <w:rsid w:val="009F0F8B"/>
    <w:rsid w:val="009F295B"/>
    <w:rsid w:val="009F3D4D"/>
    <w:rsid w:val="00A01167"/>
    <w:rsid w:val="00A02717"/>
    <w:rsid w:val="00A033EC"/>
    <w:rsid w:val="00A05793"/>
    <w:rsid w:val="00A06C78"/>
    <w:rsid w:val="00A146F4"/>
    <w:rsid w:val="00A262D0"/>
    <w:rsid w:val="00A266A2"/>
    <w:rsid w:val="00A2716C"/>
    <w:rsid w:val="00A32CC2"/>
    <w:rsid w:val="00A403CA"/>
    <w:rsid w:val="00A426FE"/>
    <w:rsid w:val="00A452F0"/>
    <w:rsid w:val="00A45EEE"/>
    <w:rsid w:val="00A5162A"/>
    <w:rsid w:val="00A517A4"/>
    <w:rsid w:val="00A545B9"/>
    <w:rsid w:val="00A54FA5"/>
    <w:rsid w:val="00A644F7"/>
    <w:rsid w:val="00A7057A"/>
    <w:rsid w:val="00A72561"/>
    <w:rsid w:val="00A74F92"/>
    <w:rsid w:val="00A77396"/>
    <w:rsid w:val="00A822E2"/>
    <w:rsid w:val="00A837A2"/>
    <w:rsid w:val="00A86E2D"/>
    <w:rsid w:val="00A874CC"/>
    <w:rsid w:val="00A90033"/>
    <w:rsid w:val="00A904F3"/>
    <w:rsid w:val="00AA0D13"/>
    <w:rsid w:val="00AA4CC9"/>
    <w:rsid w:val="00AA4FAF"/>
    <w:rsid w:val="00AA7615"/>
    <w:rsid w:val="00AA7AE5"/>
    <w:rsid w:val="00AB21B2"/>
    <w:rsid w:val="00AB253A"/>
    <w:rsid w:val="00AB436C"/>
    <w:rsid w:val="00AC12D1"/>
    <w:rsid w:val="00AC3B40"/>
    <w:rsid w:val="00AC5560"/>
    <w:rsid w:val="00AC729A"/>
    <w:rsid w:val="00AD165D"/>
    <w:rsid w:val="00AD3C98"/>
    <w:rsid w:val="00AD5923"/>
    <w:rsid w:val="00AD7BB4"/>
    <w:rsid w:val="00AD7DB2"/>
    <w:rsid w:val="00AE56D9"/>
    <w:rsid w:val="00AE689E"/>
    <w:rsid w:val="00AE77C3"/>
    <w:rsid w:val="00AE7B83"/>
    <w:rsid w:val="00AF1F0B"/>
    <w:rsid w:val="00B00C69"/>
    <w:rsid w:val="00B05488"/>
    <w:rsid w:val="00B25138"/>
    <w:rsid w:val="00B2537A"/>
    <w:rsid w:val="00B258DD"/>
    <w:rsid w:val="00B2742E"/>
    <w:rsid w:val="00B337DF"/>
    <w:rsid w:val="00B40DE4"/>
    <w:rsid w:val="00B41C52"/>
    <w:rsid w:val="00B46077"/>
    <w:rsid w:val="00B47E19"/>
    <w:rsid w:val="00B51DDB"/>
    <w:rsid w:val="00B543C2"/>
    <w:rsid w:val="00B5505E"/>
    <w:rsid w:val="00B634A3"/>
    <w:rsid w:val="00B72AC7"/>
    <w:rsid w:val="00B7359A"/>
    <w:rsid w:val="00B74CF4"/>
    <w:rsid w:val="00B75783"/>
    <w:rsid w:val="00B777B8"/>
    <w:rsid w:val="00B8383B"/>
    <w:rsid w:val="00B849C9"/>
    <w:rsid w:val="00B91851"/>
    <w:rsid w:val="00B94E3B"/>
    <w:rsid w:val="00B960E0"/>
    <w:rsid w:val="00B96ECC"/>
    <w:rsid w:val="00B97AEA"/>
    <w:rsid w:val="00B97BF2"/>
    <w:rsid w:val="00BA762F"/>
    <w:rsid w:val="00BB066A"/>
    <w:rsid w:val="00BB07AE"/>
    <w:rsid w:val="00BB089E"/>
    <w:rsid w:val="00BB118E"/>
    <w:rsid w:val="00BB3DB3"/>
    <w:rsid w:val="00BB7044"/>
    <w:rsid w:val="00BC21DF"/>
    <w:rsid w:val="00BC2ABD"/>
    <w:rsid w:val="00BC6AEE"/>
    <w:rsid w:val="00BC7A33"/>
    <w:rsid w:val="00BD0D94"/>
    <w:rsid w:val="00BD6EDE"/>
    <w:rsid w:val="00BE146A"/>
    <w:rsid w:val="00BE19DF"/>
    <w:rsid w:val="00BE3052"/>
    <w:rsid w:val="00BE4B52"/>
    <w:rsid w:val="00BF1833"/>
    <w:rsid w:val="00C03DBD"/>
    <w:rsid w:val="00C05120"/>
    <w:rsid w:val="00C05982"/>
    <w:rsid w:val="00C06AC3"/>
    <w:rsid w:val="00C070D1"/>
    <w:rsid w:val="00C10C16"/>
    <w:rsid w:val="00C10E1A"/>
    <w:rsid w:val="00C11250"/>
    <w:rsid w:val="00C12504"/>
    <w:rsid w:val="00C15665"/>
    <w:rsid w:val="00C22742"/>
    <w:rsid w:val="00C23982"/>
    <w:rsid w:val="00C24F93"/>
    <w:rsid w:val="00C2538E"/>
    <w:rsid w:val="00C260A8"/>
    <w:rsid w:val="00C32F19"/>
    <w:rsid w:val="00C5322A"/>
    <w:rsid w:val="00C53316"/>
    <w:rsid w:val="00C5362E"/>
    <w:rsid w:val="00C57524"/>
    <w:rsid w:val="00C619C4"/>
    <w:rsid w:val="00C637B7"/>
    <w:rsid w:val="00C76A53"/>
    <w:rsid w:val="00C7762A"/>
    <w:rsid w:val="00C77EAF"/>
    <w:rsid w:val="00C810A6"/>
    <w:rsid w:val="00C81FA1"/>
    <w:rsid w:val="00C82612"/>
    <w:rsid w:val="00C901B8"/>
    <w:rsid w:val="00C94C28"/>
    <w:rsid w:val="00C95B39"/>
    <w:rsid w:val="00CA682D"/>
    <w:rsid w:val="00CA6D44"/>
    <w:rsid w:val="00CB0848"/>
    <w:rsid w:val="00CB08BF"/>
    <w:rsid w:val="00CB545A"/>
    <w:rsid w:val="00CB7D64"/>
    <w:rsid w:val="00CC036B"/>
    <w:rsid w:val="00CC0BA1"/>
    <w:rsid w:val="00CC4206"/>
    <w:rsid w:val="00CC4A40"/>
    <w:rsid w:val="00CC57FE"/>
    <w:rsid w:val="00CC5C68"/>
    <w:rsid w:val="00CC6AAD"/>
    <w:rsid w:val="00CD118B"/>
    <w:rsid w:val="00CD5165"/>
    <w:rsid w:val="00CD6D68"/>
    <w:rsid w:val="00CE010F"/>
    <w:rsid w:val="00CE0DDE"/>
    <w:rsid w:val="00CE2B20"/>
    <w:rsid w:val="00CF2E46"/>
    <w:rsid w:val="00D003B9"/>
    <w:rsid w:val="00D00565"/>
    <w:rsid w:val="00D02CE0"/>
    <w:rsid w:val="00D02D9B"/>
    <w:rsid w:val="00D107EF"/>
    <w:rsid w:val="00D111E9"/>
    <w:rsid w:val="00D12281"/>
    <w:rsid w:val="00D12844"/>
    <w:rsid w:val="00D24A6F"/>
    <w:rsid w:val="00D268C8"/>
    <w:rsid w:val="00D3526B"/>
    <w:rsid w:val="00D423A3"/>
    <w:rsid w:val="00D44865"/>
    <w:rsid w:val="00D452F4"/>
    <w:rsid w:val="00D46DF6"/>
    <w:rsid w:val="00D56A6B"/>
    <w:rsid w:val="00D60C23"/>
    <w:rsid w:val="00D6128B"/>
    <w:rsid w:val="00D63E1D"/>
    <w:rsid w:val="00D738C1"/>
    <w:rsid w:val="00D9673E"/>
    <w:rsid w:val="00D9699C"/>
    <w:rsid w:val="00DA1BE7"/>
    <w:rsid w:val="00DA3F08"/>
    <w:rsid w:val="00DA50F3"/>
    <w:rsid w:val="00DA5569"/>
    <w:rsid w:val="00DA6A18"/>
    <w:rsid w:val="00DA6D73"/>
    <w:rsid w:val="00DB2430"/>
    <w:rsid w:val="00DB35EF"/>
    <w:rsid w:val="00DB4390"/>
    <w:rsid w:val="00DB64EB"/>
    <w:rsid w:val="00DC011D"/>
    <w:rsid w:val="00DC30BE"/>
    <w:rsid w:val="00DC35CF"/>
    <w:rsid w:val="00DD17B5"/>
    <w:rsid w:val="00DD1F0B"/>
    <w:rsid w:val="00DD30D2"/>
    <w:rsid w:val="00DD73BE"/>
    <w:rsid w:val="00DE0D05"/>
    <w:rsid w:val="00DE6EB1"/>
    <w:rsid w:val="00DF0AB8"/>
    <w:rsid w:val="00DF0D48"/>
    <w:rsid w:val="00DF1C00"/>
    <w:rsid w:val="00DF2CA8"/>
    <w:rsid w:val="00DF2F32"/>
    <w:rsid w:val="00DF6B06"/>
    <w:rsid w:val="00DF73B5"/>
    <w:rsid w:val="00E01D93"/>
    <w:rsid w:val="00E1008A"/>
    <w:rsid w:val="00E14F84"/>
    <w:rsid w:val="00E16907"/>
    <w:rsid w:val="00E230FE"/>
    <w:rsid w:val="00E27F08"/>
    <w:rsid w:val="00E32058"/>
    <w:rsid w:val="00E33098"/>
    <w:rsid w:val="00E34CA3"/>
    <w:rsid w:val="00E356CE"/>
    <w:rsid w:val="00E35C4B"/>
    <w:rsid w:val="00E35CA9"/>
    <w:rsid w:val="00E36389"/>
    <w:rsid w:val="00E43087"/>
    <w:rsid w:val="00E546CC"/>
    <w:rsid w:val="00E56DDD"/>
    <w:rsid w:val="00E602AE"/>
    <w:rsid w:val="00E61D6D"/>
    <w:rsid w:val="00E71600"/>
    <w:rsid w:val="00E7244F"/>
    <w:rsid w:val="00E76FE2"/>
    <w:rsid w:val="00E80AA9"/>
    <w:rsid w:val="00E82586"/>
    <w:rsid w:val="00E924D1"/>
    <w:rsid w:val="00EA041D"/>
    <w:rsid w:val="00EA1A9E"/>
    <w:rsid w:val="00EA576E"/>
    <w:rsid w:val="00EA7871"/>
    <w:rsid w:val="00EB5EE4"/>
    <w:rsid w:val="00EC16D9"/>
    <w:rsid w:val="00EC75F4"/>
    <w:rsid w:val="00EE7426"/>
    <w:rsid w:val="00EF3FD7"/>
    <w:rsid w:val="00F1021B"/>
    <w:rsid w:val="00F215BD"/>
    <w:rsid w:val="00F328E5"/>
    <w:rsid w:val="00F34E1B"/>
    <w:rsid w:val="00F35025"/>
    <w:rsid w:val="00F35989"/>
    <w:rsid w:val="00F35A9C"/>
    <w:rsid w:val="00F412B1"/>
    <w:rsid w:val="00F44CAD"/>
    <w:rsid w:val="00F4595C"/>
    <w:rsid w:val="00F47A99"/>
    <w:rsid w:val="00F50BB9"/>
    <w:rsid w:val="00F532B1"/>
    <w:rsid w:val="00F53DC7"/>
    <w:rsid w:val="00F610F8"/>
    <w:rsid w:val="00F6462E"/>
    <w:rsid w:val="00F64856"/>
    <w:rsid w:val="00F6623F"/>
    <w:rsid w:val="00F67DFE"/>
    <w:rsid w:val="00F71CC3"/>
    <w:rsid w:val="00F74FF0"/>
    <w:rsid w:val="00F75042"/>
    <w:rsid w:val="00F76B05"/>
    <w:rsid w:val="00F778DA"/>
    <w:rsid w:val="00F77F4B"/>
    <w:rsid w:val="00F875AC"/>
    <w:rsid w:val="00F87F74"/>
    <w:rsid w:val="00F902F2"/>
    <w:rsid w:val="00F90F96"/>
    <w:rsid w:val="00F95AFA"/>
    <w:rsid w:val="00FA0455"/>
    <w:rsid w:val="00FA2484"/>
    <w:rsid w:val="00FA7ED7"/>
    <w:rsid w:val="00FB05AF"/>
    <w:rsid w:val="00FB27BD"/>
    <w:rsid w:val="00FB3B06"/>
    <w:rsid w:val="00FB4BFB"/>
    <w:rsid w:val="00FB7E3C"/>
    <w:rsid w:val="00FC1A46"/>
    <w:rsid w:val="00FC1AD2"/>
    <w:rsid w:val="00FC43A1"/>
    <w:rsid w:val="00FC5C65"/>
    <w:rsid w:val="00FD37E1"/>
    <w:rsid w:val="00FD5743"/>
    <w:rsid w:val="00FD5D11"/>
    <w:rsid w:val="00FD7A63"/>
    <w:rsid w:val="00FE11B6"/>
    <w:rsid w:val="00FE384A"/>
    <w:rsid w:val="00FE674B"/>
    <w:rsid w:val="00FE6C66"/>
    <w:rsid w:val="00FF0669"/>
    <w:rsid w:val="00FF40D4"/>
    <w:rsid w:val="00FF71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EFB699"/>
  <w15:docId w15:val="{43D9AB54-A4F4-4BBD-96F9-4C9B6461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8E31D4"/>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8E31D4"/>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rPr>
  </w:style>
  <w:style w:type="character" w:customStyle="1" w:styleId="CommentTextChar">
    <w:name w:val="Comment Text Char"/>
    <w:link w:val="CommentText"/>
    <w:uiPriority w:val="99"/>
    <w:rsid w:val="009E4C67"/>
    <w:rPr>
      <w:rFonts w:ascii="Calibri" w:hAnsi="Calibri"/>
      <w:sz w:val="24"/>
      <w:szCs w:val="24"/>
      <w:lang w:eastAsia="en-US"/>
    </w:rPr>
  </w:style>
  <w:style w:type="character" w:customStyle="1" w:styleId="Heading3Char">
    <w:name w:val="Heading 3 Char"/>
    <w:link w:val="Heading3"/>
    <w:uiPriority w:val="9"/>
    <w:rsid w:val="003C3D49"/>
    <w:rPr>
      <w:rFonts w:ascii="Calibri" w:hAnsi="Calibri"/>
      <w:b/>
      <w:bCs/>
      <w:sz w:val="24"/>
      <w:lang w:eastAsia="en-US"/>
    </w:rPr>
  </w:style>
  <w:style w:type="paragraph" w:styleId="CommentSubject">
    <w:name w:val="annotation subject"/>
    <w:basedOn w:val="CommentText"/>
    <w:next w:val="CommentText"/>
    <w:link w:val="CommentSubjectChar"/>
    <w:rsid w:val="00AD3C98"/>
    <w:rPr>
      <w:b/>
      <w:bCs/>
      <w:sz w:val="20"/>
      <w:szCs w:val="20"/>
    </w:rPr>
  </w:style>
  <w:style w:type="character" w:customStyle="1" w:styleId="CommentSubjectChar">
    <w:name w:val="Comment Subject Char"/>
    <w:basedOn w:val="CommentTextChar"/>
    <w:link w:val="CommentSubject"/>
    <w:rsid w:val="00AD3C98"/>
    <w:rPr>
      <w:rFonts w:ascii="Calibri" w:hAnsi="Calibri"/>
      <w:b/>
      <w:bCs/>
      <w:sz w:val="24"/>
      <w:szCs w:val="24"/>
      <w:lang w:eastAsia="en-US"/>
    </w:rPr>
  </w:style>
  <w:style w:type="paragraph" w:styleId="Revision">
    <w:name w:val="Revision"/>
    <w:hidden/>
    <w:uiPriority w:val="71"/>
    <w:rsid w:val="00545DFF"/>
    <w:rPr>
      <w:rFonts w:ascii="Calibri" w:hAnsi="Calibri"/>
      <w:sz w:val="24"/>
      <w:lang w:eastAsia="en-US"/>
    </w:rPr>
  </w:style>
  <w:style w:type="paragraph" w:styleId="ListParagraph">
    <w:name w:val="List Paragraph"/>
    <w:basedOn w:val="Normal"/>
    <w:uiPriority w:val="72"/>
    <w:qFormat/>
    <w:rsid w:val="00A54FA5"/>
    <w:pPr>
      <w:ind w:left="720"/>
      <w:contextualSpacing/>
    </w:pPr>
  </w:style>
  <w:style w:type="paragraph" w:customStyle="1" w:styleId="Body">
    <w:name w:val="Body"/>
    <w:rsid w:val="0099071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FootnoteTextChar">
    <w:name w:val="Footnote Text Char"/>
    <w:basedOn w:val="DefaultParagraphFont"/>
    <w:link w:val="FootnoteText"/>
    <w:uiPriority w:val="99"/>
    <w:semiHidden/>
    <w:rsid w:val="0065133D"/>
    <w:rPr>
      <w:rFonts w:ascii="Calibri" w:hAnsi="Calibri"/>
      <w:sz w:val="24"/>
      <w:szCs w:val="24"/>
      <w:lang w:eastAsia="en-US"/>
    </w:rPr>
  </w:style>
  <w:style w:type="character" w:styleId="UnresolvedMention">
    <w:name w:val="Unresolved Mention"/>
    <w:basedOn w:val="DefaultParagraphFont"/>
    <w:uiPriority w:val="99"/>
    <w:semiHidden/>
    <w:unhideWhenUsed/>
    <w:rsid w:val="00C5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0528">
      <w:bodyDiv w:val="1"/>
      <w:marLeft w:val="0"/>
      <w:marRight w:val="0"/>
      <w:marTop w:val="0"/>
      <w:marBottom w:val="0"/>
      <w:divBdr>
        <w:top w:val="none" w:sz="0" w:space="0" w:color="auto"/>
        <w:left w:val="none" w:sz="0" w:space="0" w:color="auto"/>
        <w:bottom w:val="none" w:sz="0" w:space="0" w:color="auto"/>
        <w:right w:val="none" w:sz="0" w:space="0" w:color="auto"/>
      </w:divBdr>
    </w:div>
    <w:div w:id="158934070">
      <w:bodyDiv w:val="1"/>
      <w:marLeft w:val="0"/>
      <w:marRight w:val="0"/>
      <w:marTop w:val="0"/>
      <w:marBottom w:val="0"/>
      <w:divBdr>
        <w:top w:val="none" w:sz="0" w:space="0" w:color="auto"/>
        <w:left w:val="none" w:sz="0" w:space="0" w:color="auto"/>
        <w:bottom w:val="none" w:sz="0" w:space="0" w:color="auto"/>
        <w:right w:val="none" w:sz="0" w:space="0" w:color="auto"/>
      </w:divBdr>
    </w:div>
    <w:div w:id="1368992698">
      <w:bodyDiv w:val="1"/>
      <w:marLeft w:val="0"/>
      <w:marRight w:val="0"/>
      <w:marTop w:val="0"/>
      <w:marBottom w:val="0"/>
      <w:divBdr>
        <w:top w:val="none" w:sz="0" w:space="0" w:color="auto"/>
        <w:left w:val="none" w:sz="0" w:space="0" w:color="auto"/>
        <w:bottom w:val="none" w:sz="0" w:space="0" w:color="auto"/>
        <w:right w:val="none" w:sz="0" w:space="0" w:color="auto"/>
      </w:divBdr>
    </w:div>
    <w:div w:id="1387335331">
      <w:bodyDiv w:val="1"/>
      <w:marLeft w:val="0"/>
      <w:marRight w:val="0"/>
      <w:marTop w:val="0"/>
      <w:marBottom w:val="0"/>
      <w:divBdr>
        <w:top w:val="none" w:sz="0" w:space="0" w:color="auto"/>
        <w:left w:val="none" w:sz="0" w:space="0" w:color="auto"/>
        <w:bottom w:val="none" w:sz="0" w:space="0" w:color="auto"/>
        <w:right w:val="none" w:sz="0" w:space="0" w:color="auto"/>
      </w:divBdr>
    </w:div>
    <w:div w:id="1430420040">
      <w:bodyDiv w:val="1"/>
      <w:marLeft w:val="0"/>
      <w:marRight w:val="0"/>
      <w:marTop w:val="0"/>
      <w:marBottom w:val="0"/>
      <w:divBdr>
        <w:top w:val="none" w:sz="0" w:space="0" w:color="auto"/>
        <w:left w:val="none" w:sz="0" w:space="0" w:color="auto"/>
        <w:bottom w:val="none" w:sz="0" w:space="0" w:color="auto"/>
        <w:right w:val="none" w:sz="0" w:space="0" w:color="auto"/>
      </w:divBdr>
    </w:div>
    <w:div w:id="1504659135">
      <w:bodyDiv w:val="1"/>
      <w:marLeft w:val="0"/>
      <w:marRight w:val="0"/>
      <w:marTop w:val="0"/>
      <w:marBottom w:val="0"/>
      <w:divBdr>
        <w:top w:val="none" w:sz="0" w:space="0" w:color="auto"/>
        <w:left w:val="none" w:sz="0" w:space="0" w:color="auto"/>
        <w:bottom w:val="none" w:sz="0" w:space="0" w:color="auto"/>
        <w:right w:val="none" w:sz="0" w:space="0" w:color="auto"/>
      </w:divBdr>
    </w:div>
    <w:div w:id="1603606968">
      <w:bodyDiv w:val="1"/>
      <w:marLeft w:val="0"/>
      <w:marRight w:val="0"/>
      <w:marTop w:val="0"/>
      <w:marBottom w:val="0"/>
      <w:divBdr>
        <w:top w:val="none" w:sz="0" w:space="0" w:color="auto"/>
        <w:left w:val="none" w:sz="0" w:space="0" w:color="auto"/>
        <w:bottom w:val="none" w:sz="0" w:space="0" w:color="auto"/>
        <w:right w:val="none" w:sz="0" w:space="0" w:color="auto"/>
      </w:divBdr>
    </w:div>
    <w:div w:id="1830176467">
      <w:bodyDiv w:val="1"/>
      <w:marLeft w:val="0"/>
      <w:marRight w:val="0"/>
      <w:marTop w:val="0"/>
      <w:marBottom w:val="0"/>
      <w:divBdr>
        <w:top w:val="none" w:sz="0" w:space="0" w:color="auto"/>
        <w:left w:val="none" w:sz="0" w:space="0" w:color="auto"/>
        <w:bottom w:val="none" w:sz="0" w:space="0" w:color="auto"/>
        <w:right w:val="none" w:sz="0" w:space="0" w:color="auto"/>
      </w:divBdr>
    </w:div>
    <w:div w:id="186466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0A2CE-6F4D-4BB6-9D34-626929CD1A3A}"/>
</file>

<file path=customXml/itemProps2.xml><?xml version="1.0" encoding="utf-8"?>
<ds:datastoreItem xmlns:ds="http://schemas.openxmlformats.org/officeDocument/2006/customXml" ds:itemID="{5BD04E5E-3F3E-4092-9AEE-984553D9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1454</Words>
  <Characters>8012</Characters>
  <Application>Microsoft Office Word</Application>
  <DocSecurity>0</DocSecurity>
  <Lines>205</Lines>
  <Paragraphs>108</Paragraphs>
  <ScaleCrop>false</ScaleCrop>
  <HeadingPairs>
    <vt:vector size="2" baseType="variant">
      <vt:variant>
        <vt:lpstr>Title</vt:lpstr>
      </vt:variant>
      <vt:variant>
        <vt:i4>1</vt:i4>
      </vt:variant>
    </vt:vector>
  </HeadingPairs>
  <TitlesOfParts>
    <vt:vector size="1" baseType="lpstr">
      <vt:lpstr>Determination 14 of 2022 Supreme Court</vt:lpstr>
    </vt:vector>
  </TitlesOfParts>
  <Company>InTACT</Company>
  <LinksUpToDate>false</LinksUpToDate>
  <CharactersWithSpaces>9358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11 of 2023 Supreme Court</dc:title>
  <dc:subject>Remuneration</dc:subject>
  <dc:creator>ACT Remuneration Tribunal</dc:creator>
  <cp:lastModifiedBy>Burton, Amelia</cp:lastModifiedBy>
  <cp:revision>6</cp:revision>
  <cp:lastPrinted>2022-12-14T00:45:00Z</cp:lastPrinted>
  <dcterms:created xsi:type="dcterms:W3CDTF">2023-11-21T03:38:00Z</dcterms:created>
  <dcterms:modified xsi:type="dcterms:W3CDTF">2023-11-22T23:41:00Z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10 of 2013 on ACT Supreme Court Judicial Positions</vt:lpwstr>
  </property>
  <property fmtid="{D5CDD505-2E9C-101B-9397-08002B2CF9AE}" pid="4" name="Function">
    <vt:lpwstr>Remuneration</vt:lpwstr>
  </property>
  <property fmtid="{D5CDD505-2E9C-101B-9397-08002B2CF9AE}" pid="5" name="docIndexRef">
    <vt:lpwstr>5ca5bc8b-127e-4150-8c1e-beaaf1c8f584</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